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Tahoma" w:hAnsi="Tahoma" w:eastAsia="Tahoma" w:cs="Tahoma"/>
          <w:sz w:val="20"/>
          <w:szCs w:val="20"/>
        </w:rPr>
        <w:t xml:space="preserve">"Great achievement is usually born of great sacrifice, and is never the result of selfishness." (Napoleon Hill)</w:t>
      </w:r>
    </w:p>
    <w:p>
      <w:pPr/>
      <w:r>
        <w:rPr>
          <w:rFonts w:ascii="Tahoma" w:hAnsi="Tahoma" w:eastAsia="Tahoma" w:cs="Tahoma"/>
          <w:sz w:val="26"/>
          <w:szCs w:val="26"/>
          <w:b w:val="1"/>
          <w:bCs w:val="1"/>
        </w:rPr>
        <w:t xml:space="preserve">"Believe you can and you're halfway there." (Theodor Roosevelt)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 w:val="1"/>
      <w:b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2020-02-15T12:44:18+00:00</dcterms:created>
  <dcterms:modified xsi:type="dcterms:W3CDTF">2020-02-15T12:44:18+00:00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