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관리본(No.   )</w:t>
                  </w:r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3B3FB62C" w14:textId="2B3EE3DF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(RMSP 각Pixel갑 확인 및 색조 표시, 분포 그래프 표시 ,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- 1-2. Marker RSMP Avg. Cut 기능추가(VEUS-494)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- 2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 xml:space="preserve">.Each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r w:rsidRPr="00A916E4">
        <w:rPr>
          <w:rFonts w:asciiTheme="minorHAnsi" w:eastAsiaTheme="minorHAnsi" w:hAnsiTheme="minorHAnsi" w:hint="eastAsia"/>
        </w:rPr>
        <w:t>됨 )</w:t>
      </w:r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(ex  \result\220701\091927\220701_091927_Results.xlsx)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Program files에 설치시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실험 할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Python37 폴더가 설치 되지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AI  로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.Old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.생성된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테스트 하는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않습니다. )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 xml:space="preserve">-1.1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>Marker Pixel Cut  (현재 VEUDx)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0A95C7C2" w:rsidR="00E27606" w:rsidRPr="00541CAD" w:rsidRDefault="00B832EF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F1D1D2B" wp14:editId="7AD3737E">
            <wp:extent cx="6448425" cy="1699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711" cy="17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- 1.2 </w:t>
      </w: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7A30349F" w:rsidR="00B832EF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65FA1A3" wp14:editId="552D7CDF">
            <wp:extent cx="6460697" cy="28660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764" cy="2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53740A7A" w:rsidR="009F1152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*</w:t>
      </w:r>
      <w:r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.1과 1.2중 </w:t>
      </w:r>
      <w:r>
        <w:rPr>
          <w:rFonts w:asciiTheme="minorHAnsi" w:eastAsiaTheme="minorHAnsi" w:hAnsiTheme="minorHAnsi" w:hint="eastAsia"/>
          <w:b/>
          <w:bCs/>
        </w:rPr>
        <w:t xml:space="preserve">하나를 선택해야하고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48F4B39C" w:rsidR="009F1152" w:rsidRDefault="009F1152" w:rsidP="009F1152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6E9B4C4C" wp14:editId="659077BE">
            <wp:extent cx="6141085" cy="16718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024" cy="1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체크 안하면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XXX</w:t>
      </w:r>
      <w:r w:rsidRPr="000C7044">
        <w:rPr>
          <w:rFonts w:asciiTheme="minorHAnsi" w:eastAsiaTheme="minorHAnsi" w:hAnsiTheme="minorHAnsi"/>
        </w:rPr>
        <w:t>_fl_check</w:t>
      </w:r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 xml:space="preserve">체크시 엑셀 pixel_dist(5000) 쉬트에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안하면</w:t>
      </w:r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>엑셀 pixel_dist(1000) 쉬트에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DI팀에서 RSMP길이에 따른 분류를 테스트 하기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않습니다. )</w:t>
      </w:r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분류값을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 누르면 현재 화면에 있는 내용을 저장하고 다시 실행시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수정후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>를 누르면 내장된 분류값으로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3912BD3F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표시 , Cut 비율에 따른 변경 확인 </w:t>
      </w:r>
    </w:p>
    <w:p w14:paraId="1EF2E86A" w14:textId="102B681B" w:rsidR="00CB05BA" w:rsidRDefault="00221D15" w:rsidP="00221D15">
      <w:pPr>
        <w:pStyle w:val="ab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r w:rsidRPr="00221D15">
        <w:rPr>
          <w:sz w:val="20"/>
          <w:szCs w:val="20"/>
        </w:rPr>
        <w:t>pixel_Analysis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각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0E166880" w:rsidR="00C77BEE" w:rsidRDefault="00C77BEE">
      <w:pPr>
        <w:widowControl/>
        <w:wordWrap/>
        <w:autoSpaceDE/>
        <w:autoSpaceDN/>
        <w:jc w:val="left"/>
        <w:rPr>
          <w:rFonts w:asciiTheme="minorHAnsi" w:eastAsiaTheme="minorHAnsi" w:hAnsiTheme="minorHAnsi" w:cstheme="minorBidi"/>
        </w:rPr>
      </w:pPr>
      <w:r>
        <w:rPr>
          <w:rFonts w:eastAsiaTheme="minorHAnsi"/>
        </w:rPr>
        <w:br w:type="page"/>
      </w:r>
    </w:p>
    <w:p w14:paraId="0CB3A3C3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>ixel Analysis 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4DBC8C99" w:rsidR="00CB05BA" w:rsidRPr="00CB05BA" w:rsidRDefault="00C77BEE" w:rsidP="00221D15">
      <w:pPr>
        <w:pStyle w:val="ab"/>
        <w:numPr>
          <w:ilvl w:val="0"/>
          <w:numId w:val="22"/>
        </w:numPr>
        <w:rPr>
          <w:rFonts w:eastAsiaTheme="minorHAnsi"/>
          <w:b/>
          <w:bCs/>
        </w:rPr>
      </w:pPr>
      <w:r>
        <w:rPr>
          <w:sz w:val="20"/>
          <w:szCs w:val="20"/>
        </w:rPr>
        <w:t xml:space="preserve">“Show Pixel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olor” </w:t>
      </w:r>
      <w:r w:rsidR="00221D15" w:rsidRPr="00221D15">
        <w:rPr>
          <w:rFonts w:hint="eastAsia"/>
          <w:sz w:val="20"/>
          <w:szCs w:val="20"/>
        </w:rPr>
        <w:t>체크시 아래 같이 색조표시</w:t>
      </w:r>
      <w:r w:rsidR="00221D15">
        <w:rPr>
          <w:rFonts w:hint="eastAsia"/>
          <w:sz w:val="20"/>
          <w:szCs w:val="20"/>
        </w:rPr>
        <w:t xml:space="preserve"> </w:t>
      </w:r>
      <w:r w:rsidR="00221D15" w:rsidRPr="00221D15">
        <w:rPr>
          <w:rFonts w:hint="eastAsia"/>
          <w:sz w:val="20"/>
          <w:szCs w:val="20"/>
        </w:rPr>
        <w:t xml:space="preserve">된 </w:t>
      </w:r>
      <w:r w:rsidR="00221D15" w:rsidRPr="00221D15">
        <w:rPr>
          <w:sz w:val="20"/>
          <w:szCs w:val="20"/>
        </w:rPr>
        <w:t>RSMP</w:t>
      </w:r>
      <w:r w:rsidR="00221D15" w:rsidRPr="00221D15">
        <w:rPr>
          <w:rFonts w:hint="eastAsia"/>
          <w:sz w:val="20"/>
          <w:szCs w:val="20"/>
        </w:rPr>
        <w:t>도 표시됨</w:t>
      </w:r>
      <w:r w:rsidR="00221D15">
        <w:rPr>
          <w:rFonts w:eastAsiaTheme="minorHAnsi" w:hint="eastAsia"/>
          <w:b/>
          <w:bCs/>
        </w:rPr>
        <w:t xml:space="preserve"> </w:t>
      </w:r>
    </w:p>
    <w:p w14:paraId="75B5A428" w14:textId="53F7C81F" w:rsidR="00C92E65" w:rsidRPr="00221D15" w:rsidRDefault="00221D15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3C53DE1" wp14:editId="0A1CA68C">
            <wp:extent cx="5731510" cy="29337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시간날짜 의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쉬트</w:t>
      </w:r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r w:rsidR="00C92E65" w:rsidRPr="00C92E65">
        <w:rPr>
          <w:rFonts w:asciiTheme="minorHAnsi" w:eastAsiaTheme="minorHAnsi" w:hAnsiTheme="minorHAnsi"/>
        </w:rPr>
        <w:t>convertFileName_A_Slot</w:t>
      </w:r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>모든 파일을 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r w:rsidR="00250BE4" w:rsidRPr="00C92E65">
        <w:rPr>
          <w:rFonts w:asciiTheme="minorHAnsi" w:eastAsiaTheme="minorHAnsi" w:hAnsiTheme="minorHAnsi"/>
        </w:rPr>
        <w:t>convertFileName_A_Slot</w:t>
      </w:r>
      <w:r>
        <w:rPr>
          <w:rFonts w:asciiTheme="minorHAnsi" w:eastAsiaTheme="minorHAnsi" w:hAnsiTheme="minorHAnsi"/>
        </w:rPr>
        <w:t xml:space="preserve">” </w:t>
      </w:r>
      <w:r>
        <w:rPr>
          <w:rFonts w:asciiTheme="minorHAnsi" w:eastAsiaTheme="minorHAnsi" w:hAnsiTheme="minorHAnsi" w:hint="eastAsia"/>
        </w:rPr>
        <w:t>를 더블클릭한다.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0593" w14:textId="77777777" w:rsidR="006F2BDD" w:rsidRDefault="006F2BDD" w:rsidP="00F47E3A">
      <w:r>
        <w:separator/>
      </w:r>
    </w:p>
  </w:endnote>
  <w:endnote w:type="continuationSeparator" w:id="0">
    <w:p w14:paraId="374F68E9" w14:textId="77777777" w:rsidR="006F2BDD" w:rsidRDefault="006F2BDD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medistep</w:t>
          </w:r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AF1C" w14:textId="77777777" w:rsidR="006F2BDD" w:rsidRDefault="006F2BDD" w:rsidP="00F47E3A">
      <w:r>
        <w:separator/>
      </w:r>
    </w:p>
  </w:footnote>
  <w:footnote w:type="continuationSeparator" w:id="0">
    <w:p w14:paraId="7B463AA0" w14:textId="77777777" w:rsidR="006F2BDD" w:rsidRDefault="006F2BDD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제·개정일</w:t>
          </w:r>
        </w:p>
      </w:tc>
      <w:tc>
        <w:tcPr>
          <w:tcW w:w="1894" w:type="dxa"/>
          <w:shd w:val="clear" w:color="auto" w:fill="auto"/>
          <w:vAlign w:val="center"/>
        </w:tcPr>
        <w:p w14:paraId="46DDDE8E" w14:textId="606DD272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10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12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제·개정일</w:t>
          </w:r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6F2BDD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77BEE"/>
    <w:rsid w:val="00C8256D"/>
    <w:rsid w:val="00C87A74"/>
    <w:rsid w:val="00C91A43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관 리자</cp:lastModifiedBy>
  <cp:revision>30</cp:revision>
  <cp:lastPrinted>2017-10-26T00:28:00Z</cp:lastPrinted>
  <dcterms:created xsi:type="dcterms:W3CDTF">2022-06-14T06:03:00Z</dcterms:created>
  <dcterms:modified xsi:type="dcterms:W3CDTF">2022-10-12T04:51:00Z</dcterms:modified>
</cp:coreProperties>
</file>