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//detectar cara cercana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function closestEdge(x,y,w,h)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topEdgeDist = distMetric(x,y,w/2,0);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bottomEdgeDist = distMetric(x,y,w/2,h);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leftEdgeDist = distMetric(x,y,0,h/2);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rightEdgeDist = distMetric(x,y,w,h/2);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min = Math.min(topEdgeDist,bottomEdgeDist,leftEdgeDist,rightEdgeDist);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switch (min)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case leftEdgeDist: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return "left";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case rightEdgeDist: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return "right";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case topEdgeDist: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return "top";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case bottomEdgeDist: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return "bottom";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function closestEdge2(x,y,w,h){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//Distance Formula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function distMetric(x,y,x2,y2)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xDiff = x - x2;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var yDiff = y - y2;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return (xDiff * xDiff) + (yDiff * yDiff);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boxes = document.querySelectorAll(".noticiaItem");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for(var i = 0; i &lt; boxes.length; i++){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boxes[i].onmouseenter = function(e){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//alert(this.offsetTop);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x = e.pageX - $(this).offset().left;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y = e.pageY - $(this).offset().top;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//alert("valores: ".concat(x," ",y," ",this.clientWidth," ",this.clientHeight));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edge = closestEdge(x,y,this.clientWidth, this.clientHeight);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overlay = this.childNodes[1];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image = this.childNodes[0];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switch(edge){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"left":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//tween overlay from the left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overlay.style.top = "0%";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overlay.style.left = "-100%";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{left: '0%'});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1.2});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"right":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overlay.style.top = "0%";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overlay.style.left = "100%";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//tween overlay from the right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{left: '0%'});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1.2});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"top":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overlay.style.top = "-100%";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overlay.style.left = "0%";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//tween overlay from the right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{top: '0%'});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1.2});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"bottom":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overlay.style.top = "100%";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overlay.style.left = "0%";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//tween overlay from the right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{top: '0%'});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1.2});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boxes[i].onmouseleave = function(e){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x = e.pageX - $(this).offset().left;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y = e.pageY - $(this).offset().top;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edge = closestEdge(x,y,this.clientWidth, this.clientHeight);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overlay = this.childNodes[1];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var image = this.childNodes[0];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switch(edge){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"left":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{left: '-100%'});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1.0});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"right":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{left: '100%'});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1.0});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"top":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{top: '-100%'});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1.0});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case "bottom":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TweenMax.to(overlay, .5, {top: '100%'});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TweenMax.to(image, .5, {scale: 1.0});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