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line="276"/>
        <w:jc w:val="left"/>
      </w:pPr>
      <w:r>
        <w:rPr>
          <w:rFonts w:ascii="Calibri" w:cs="Calibri" w:eastAsia="Calibri" w:hAnsi="Calibri"/>
          <w:b w:val="false"/>
          <w:bCs w:val="false"/>
          <w:color w:val="333333"/>
          <w:sz w:val="22"/>
          <w:szCs w:val="22"/>
        </w:rPr>
        <w:t xml:space="preserve"/>
      </w:r>
    </w:p>
    <w:p>
      <w:pPr>
        <w:spacing w:after="100" w:before="100" w:line="276"/>
        <w:jc w:val="left"/>
      </w:pPr>
      <w:r>
        <w:rPr>
          <w:rFonts w:ascii="Calibri" w:cs="Calibri" w:eastAsia="Calibri" w:hAnsi="Calibri"/>
          <w:b w:val="false"/>
          <w:bCs w:val="false"/>
          <w:color w:val="333333"/>
          <w:sz w:val="22"/>
          <w:szCs w:val="22"/>
        </w:rPr>
        <w:t xml:space="preserve"/>
      </w:r>
    </w:p>
    <w:p>
      <w:pPr>
        <w:spacing w:after="100" w:before="100" w:line="276"/>
        <w:jc w:val="left"/>
      </w:pPr>
      <w:r>
        <w:rPr>
          <w:rFonts w:ascii="Calibri" w:cs="Calibri" w:eastAsia="Calibri" w:hAnsi="Calibri"/>
          <w:b w:val="false"/>
          <w:bCs w:val="false"/>
          <w:color w:val="333333"/>
          <w:sz w:val="22"/>
          <w:szCs w:val="22"/>
        </w:rPr>
        <w:t xml:space="preserve"/>
      </w:r>
    </w:p>
    <w:p>
      <w:pPr>
        <w:spacing w:after="100" w:before="100" w:line="276"/>
        <w:jc w:val="left"/>
      </w:pPr>
      <w:r>
        <w:rPr>
          <w:rFonts w:ascii="Calibri" w:cs="Calibri" w:eastAsia="Calibri" w:hAnsi="Calibri"/>
          <w:b w:val="false"/>
          <w:bCs w:val="false"/>
          <w:color w:val="333333"/>
          <w:sz w:val="22"/>
          <w:szCs w:val="22"/>
        </w:rPr>
        <w:t xml:space="preserve"/>
      </w:r>
    </w:p>
    <w:p>
      <w:pPr>
        <w:spacing w:after="100" w:before="400"/>
        <w:jc w:val="center"/>
      </w:pPr>
      <w:r>
        <w:rPr>
          <w:rFonts w:ascii="Calibri" w:cs="Calibri" w:eastAsia="Calibri" w:hAnsi="Calibri"/>
          <w:b/>
          <w:bCs/>
          <w:color w:val="1B365D"/>
          <w:sz w:val="44"/>
          <w:szCs w:val="44"/>
        </w:rPr>
        <w:t xml:space="preserve">GOVERNANCE POLICY MANAGEMENT SYSTEM WITH AUDIT LOGGING</w:t>
      </w:r>
    </w:p>
    <w:p>
      <w:pPr>
        <w:spacing w:after="600" w:before="100"/>
        <w:jc w:val="center"/>
      </w:pPr>
      <w:r>
        <w:rPr>
          <w:rFonts w:ascii="Calibri" w:cs="Calibri" w:eastAsia="Calibri" w:hAnsi="Calibri"/>
          <w:color w:val="4A607A"/>
          <w:sz w:val="26"/>
          <w:szCs w:val="26"/>
        </w:rPr>
        <w:t xml:space="preserve">Microservices Architecture, API Gateway Design, Communication Protocol Comparison, and Distributed Transaction Reliability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1B365D"/>
          </w:tcPr>
          <w:p/>
        </w:tc>
      </w:tr>
    </w:tbl>
    <w:p>
      <w:pPr>
        <w:spacing w:after="100" w:before="100" w:line="276"/>
        <w:jc w:val="left"/>
      </w:pPr>
      <w:r>
        <w:rPr>
          <w:rFonts w:ascii="Calibri" w:cs="Calibri" w:eastAsia="Calibri" w:hAnsi="Calibri"/>
          <w:b w:val="false"/>
          <w:bCs w:val="false"/>
          <w:color w:val="333333"/>
          <w:sz w:val="22"/>
          <w:szCs w:val="22"/>
        </w:rPr>
        <w:t xml:space="preserve"/>
      </w:r>
    </w:p>
    <w:p>
      <w:pPr>
        <w:spacing w:after="100" w:before="100" w:line="276"/>
        <w:jc w:val="left"/>
      </w:pPr>
      <w:r>
        <w:rPr>
          <w:rFonts w:ascii="Calibri" w:cs="Calibri" w:eastAsia="Calibri" w:hAnsi="Calibri"/>
          <w:b w:val="false"/>
          <w:bCs w:val="false"/>
          <w:color w:val="333333"/>
          <w:sz w:val="22"/>
          <w:szCs w:val="22"/>
        </w:rPr>
        <w:t xml:space="preserve"/>
      </w:r>
    </w:p>
    <w:p>
      <w:pPr>
        <w:spacing w:after="100" w:before="100" w:line="276"/>
        <w:jc w:val="left"/>
      </w:pPr>
      <w:r>
        <w:rPr>
          <w:rFonts w:ascii="Calibri" w:cs="Calibri" w:eastAsia="Calibri" w:hAnsi="Calibri"/>
          <w:b w:val="false"/>
          <w:bCs w:val="false"/>
          <w:color w:val="333333"/>
          <w:sz w:val="22"/>
          <w:szCs w:val="22"/>
        </w:rPr>
        <w:t xml:space="preserve"/>
      </w:r>
    </w:p>
    <w:p>
      <w:pPr>
        <w:spacing w:after="100" w:before="100" w:line="276"/>
        <w:jc w:val="left"/>
      </w:pPr>
      <w:r>
        <w:rPr>
          <w:rFonts w:ascii="Calibri" w:cs="Calibri" w:eastAsia="Calibri" w:hAnsi="Calibri"/>
          <w:b w:val="false"/>
          <w:bCs w:val="false"/>
          <w:color w:val="333333"/>
          <w:sz w:val="22"/>
          <w:szCs w:val="22"/>
        </w:rPr>
        <w:t xml:space="preserve"/>
      </w:r>
    </w:p>
    <w:p>
      <w:pPr>
        <w:spacing w:after="100" w:before="100" w:line="276"/>
        <w:jc w:val="left"/>
      </w:pPr>
      <w:r>
        <w:rPr>
          <w:rFonts w:ascii="Calibri" w:cs="Calibri" w:eastAsia="Calibri" w:hAnsi="Calibri"/>
          <w:b w:val="false"/>
          <w:bCs w:val="false"/>
          <w:color w:val="333333"/>
          <w:sz w:val="22"/>
          <w:szCs w:val="22"/>
        </w:rPr>
        <w:t xml:space="preserve"/>
      </w:r>
    </w:p>
    <w:p>
      <w:pPr>
        <w:spacing w:after="100" w:before="100" w:line="276"/>
        <w:jc w:val="left"/>
      </w:pPr>
      <w:r>
        <w:rPr>
          <w:rFonts w:ascii="Calibri" w:cs="Calibri" w:eastAsia="Calibri" w:hAnsi="Calibri"/>
          <w:b w:val="false"/>
          <w:bCs w:val="false"/>
          <w:color w:val="333333"/>
          <w:sz w:val="22"/>
          <w:szCs w:val="22"/>
        </w:rPr>
        <w:t xml:space="preserve"/>
      </w:r>
    </w:p>
    <w:p>
      <w:pPr>
        <w:spacing w:after="100" w:before="100" w:line="276"/>
        <w:jc w:val="center"/>
      </w:pPr>
      <w:r>
        <w:rPr>
          <w:rFonts w:ascii="Calibri" w:cs="Calibri" w:eastAsia="Calibri" w:hAnsi="Calibri"/>
          <w:b/>
          <w:bCs/>
          <w:color w:val="4A607A"/>
          <w:sz w:val="22"/>
          <w:szCs w:val="22"/>
        </w:rPr>
        <w:t xml:space="preserve">Prepared For: </w:t>
      </w:r>
      <w:r>
        <w:rPr>
          <w:rFonts w:ascii="Calibri" w:cs="Calibri" w:eastAsia="Calibri" w:hAnsi="Calibri"/>
          <w:b w:val="false"/>
          <w:bCs w:val="false"/>
          <w:color w:val="333333"/>
          <w:sz w:val="22"/>
          <w:szCs w:val="22"/>
        </w:rPr>
        <w:t xml:space="preserve">Project Deliverables &amp; Architecture Review
</w:t>
      </w:r>
      <w:r>
        <w:rPr>
          <w:rFonts w:ascii="Calibri" w:cs="Calibri" w:eastAsia="Calibri" w:hAnsi="Calibri"/>
          <w:b/>
          <w:bCs/>
          <w:color w:val="4A607A"/>
          <w:sz w:val="22"/>
          <w:szCs w:val="22"/>
        </w:rPr>
        <w:t xml:space="preserve">Prepared By: </w:t>
      </w:r>
      <w:r>
        <w:rPr>
          <w:rFonts w:ascii="Calibri" w:cs="Calibri" w:eastAsia="Calibri" w:hAnsi="Calibri"/>
          <w:b w:val="false"/>
          <w:bCs w:val="false"/>
          <w:color w:val="333333"/>
          <w:sz w:val="22"/>
          <w:szCs w:val="22"/>
        </w:rPr>
        <w:t xml:space="preserve">AI Coding Assistant &amp; Developer
</w:t>
      </w:r>
      <w:r>
        <w:rPr>
          <w:rFonts w:ascii="Calibri" w:cs="Calibri" w:eastAsia="Calibri" w:hAnsi="Calibri"/>
          <w:b/>
          <w:bCs/>
          <w:color w:val="4A607A"/>
          <w:sz w:val="22"/>
          <w:szCs w:val="22"/>
        </w:rPr>
        <w:t xml:space="preserve">Date: </w:t>
      </w:r>
      <w:r>
        <w:rPr>
          <w:rFonts w:ascii="Calibri" w:cs="Calibri" w:eastAsia="Calibri" w:hAnsi="Calibri"/>
          <w:b w:val="false"/>
          <w:bCs w:val="false"/>
          <w:color w:val="333333"/>
          <w:sz w:val="22"/>
          <w:szCs w:val="22"/>
        </w:rPr>
        <w:t xml:space="preserve">June 20, 2026
</w:t>
      </w:r>
      <w:r>
        <w:rPr>
          <w:rFonts w:ascii="Calibri" w:cs="Calibri" w:eastAsia="Calibri" w:hAnsi="Calibri"/>
          <w:b/>
          <w:bCs/>
          <w:color w:val="4A607A"/>
          <w:sz w:val="22"/>
          <w:szCs w:val="22"/>
        </w:rPr>
        <w:t xml:space="preserve">Version: </w:t>
      </w:r>
      <w:r>
        <w:rPr>
          <w:rFonts w:ascii="Calibri" w:cs="Calibri" w:eastAsia="Calibri" w:hAnsi="Calibri"/>
          <w:b w:val="false"/>
          <w:bCs w:val="false"/>
          <w:color w:val="333333"/>
          <w:sz w:val="22"/>
          <w:szCs w:val="22"/>
        </w:rPr>
        <w:t xml:space="preserve">1.0 (Production Stable)
</w:t>
      </w:r>
    </w:p>
    <w:p>
      <w:r>
        <w:br w:type="page"/>
      </w:r>
    </w:p>
    <w:p>
      <w:pPr>
        <w:pStyle w:val="Heading1"/>
        <w:spacing w:after="120" w:before="240"/>
      </w:pPr>
      <w:r>
        <w:rPr>
          <w:rFonts w:ascii="Calibri" w:cs="Calibri" w:eastAsia="Calibri" w:hAnsi="Calibri"/>
          <w:b/>
          <w:bCs/>
          <w:color w:val="1B365D"/>
          <w:sz w:val="32"/>
          <w:szCs w:val="32"/>
        </w:rPr>
        <w:t xml:space="preserve">Table of Contents</w:t>
      </w:r>
    </w:p>
    <w:p>
      <w:pPr>
        <w:spacing w:after="100" w:before="100" w:line="276"/>
        <w:jc w:val="left"/>
      </w:pPr>
      <w:r>
        <w:rPr>
          <w:rFonts w:ascii="Calibri" w:cs="Calibri" w:eastAsia="Calibri" w:hAnsi="Calibri"/>
          <w:b/>
          <w:bCs/>
          <w:color w:val="333333"/>
          <w:sz w:val="22"/>
          <w:szCs w:val="22"/>
        </w:rPr>
        <w:t xml:space="preserve">1. System Architecture &amp; Structural Overview</w:t>
      </w:r>
      <w:r>
        <w:rPr>
          <w:rFonts w:ascii="Calibri" w:cs="Calibri" w:eastAsia="Calibri" w:hAnsi="Calibri"/>
          <w:b w:val="false"/>
          <w:bCs w:val="false"/>
          <w:color w:val="777777"/>
          <w:sz w:val="22"/>
          <w:szCs w:val="22"/>
        </w:rPr>
        <w:t xml:space="preserve"> ..................................................................................................... 3</w:t>
      </w:r>
    </w:p>
    <w:p>
      <w:pPr>
        <w:spacing w:after="100" w:before="100" w:line="276"/>
        <w:jc w:val="left"/>
      </w:pPr>
      <w:r>
        <w:rPr>
          <w:rFonts w:ascii="Calibri" w:cs="Calibri" w:eastAsia="Calibri" w:hAnsi="Calibri"/>
          <w:b w:val="false"/>
          <w:bCs w:val="false"/>
          <w:color w:val="333333"/>
          <w:sz w:val="22"/>
          <w:szCs w:val="22"/>
        </w:rPr>
        <w:t xml:space="preserve">   1.1 Before Architecture (Synchronous &amp; Unprotected)</w:t>
      </w:r>
      <w:r>
        <w:rPr>
          <w:rFonts w:ascii="Calibri" w:cs="Calibri" w:eastAsia="Calibri" w:hAnsi="Calibri"/>
          <w:b w:val="false"/>
          <w:bCs w:val="false"/>
          <w:color w:val="777777"/>
          <w:sz w:val="22"/>
          <w:szCs w:val="22"/>
        </w:rPr>
        <w:t xml:space="preserve"> ................................................................................ 3</w:t>
      </w:r>
    </w:p>
    <w:p>
      <w:pPr>
        <w:spacing w:after="100" w:before="100" w:line="276"/>
        <w:jc w:val="left"/>
      </w:pPr>
      <w:r>
        <w:rPr>
          <w:rFonts w:ascii="Calibri" w:cs="Calibri" w:eastAsia="Calibri" w:hAnsi="Calibri"/>
          <w:b w:val="false"/>
          <w:bCs w:val="false"/>
          <w:color w:val="333333"/>
          <w:sz w:val="22"/>
          <w:szCs w:val="22"/>
        </w:rPr>
        <w:t xml:space="preserve">   1.2 After Architecture (Resilient &amp; Event-Driven)</w:t>
      </w:r>
      <w:r>
        <w:rPr>
          <w:rFonts w:ascii="Calibri" w:cs="Calibri" w:eastAsia="Calibri" w:hAnsi="Calibri"/>
          <w:b w:val="false"/>
          <w:bCs w:val="false"/>
          <w:color w:val="777777"/>
          <w:sz w:val="22"/>
          <w:szCs w:val="22"/>
        </w:rPr>
        <w:t xml:space="preserve"> .................................................................................... 4</w:t>
      </w:r>
    </w:p>
    <w:p>
      <w:pPr>
        <w:spacing w:after="100" w:before="100" w:line="276"/>
        <w:jc w:val="left"/>
      </w:pPr>
      <w:r>
        <w:rPr>
          <w:rFonts w:ascii="Calibri" w:cs="Calibri" w:eastAsia="Calibri" w:hAnsi="Calibri"/>
          <w:b/>
          <w:bCs/>
          <w:color w:val="333333"/>
          <w:sz w:val="22"/>
          <w:szCs w:val="22"/>
        </w:rPr>
        <w:t xml:space="preserve">2. API Gateway Design &amp; Security</w:t>
      </w:r>
      <w:r>
        <w:rPr>
          <w:rFonts w:ascii="Calibri" w:cs="Calibri" w:eastAsia="Calibri" w:hAnsi="Calibri"/>
          <w:b w:val="false"/>
          <w:bCs w:val="false"/>
          <w:color w:val="777777"/>
          <w:sz w:val="22"/>
          <w:szCs w:val="22"/>
        </w:rPr>
        <w:t xml:space="preserve"> ......................................................................................... 5</w:t>
      </w:r>
    </w:p>
    <w:p>
      <w:pPr>
        <w:spacing w:after="100" w:before="100" w:line="276"/>
        <w:jc w:val="left"/>
      </w:pPr>
      <w:r>
        <w:rPr>
          <w:rFonts w:ascii="Calibri" w:cs="Calibri" w:eastAsia="Calibri" w:hAnsi="Calibri"/>
          <w:b w:val="false"/>
          <w:bCs w:val="false"/>
          <w:color w:val="333333"/>
          <w:sz w:val="22"/>
          <w:szCs w:val="22"/>
        </w:rPr>
        <w:t xml:space="preserve">   2.1 Route Aggregation and Downstream Dispatching</w:t>
      </w:r>
      <w:r>
        <w:rPr>
          <w:rFonts w:ascii="Calibri" w:cs="Calibri" w:eastAsia="Calibri" w:hAnsi="Calibri"/>
          <w:b w:val="false"/>
          <w:bCs w:val="false"/>
          <w:color w:val="777777"/>
          <w:sz w:val="22"/>
          <w:szCs w:val="22"/>
        </w:rPr>
        <w:t xml:space="preserve"> .................................................................... 5</w:t>
      </w:r>
    </w:p>
    <w:p>
      <w:pPr>
        <w:spacing w:after="100" w:before="100" w:line="276"/>
        <w:jc w:val="left"/>
      </w:pPr>
      <w:r>
        <w:rPr>
          <w:rFonts w:ascii="Calibri" w:cs="Calibri" w:eastAsia="Calibri" w:hAnsi="Calibri"/>
          <w:b w:val="false"/>
          <w:bCs w:val="false"/>
          <w:color w:val="333333"/>
          <w:sz w:val="22"/>
          <w:szCs w:val="22"/>
        </w:rPr>
        <w:t xml:space="preserve">   2.2 Redis Token-Bucket Rate Limiter</w:t>
      </w:r>
      <w:r>
        <w:rPr>
          <w:rFonts w:ascii="Calibri" w:cs="Calibri" w:eastAsia="Calibri" w:hAnsi="Calibri"/>
          <w:b w:val="false"/>
          <w:bCs w:val="false"/>
          <w:color w:val="777777"/>
          <w:sz w:val="22"/>
          <w:szCs w:val="22"/>
        </w:rPr>
        <w:t xml:space="preserve"> ......................................................................................... 5</w:t>
      </w:r>
    </w:p>
    <w:p>
      <w:pPr>
        <w:spacing w:after="100" w:before="100" w:line="276"/>
        <w:jc w:val="left"/>
      </w:pPr>
      <w:r>
        <w:rPr>
          <w:rFonts w:ascii="Calibri" w:cs="Calibri" w:eastAsia="Calibri" w:hAnsi="Calibri"/>
          <w:b w:val="false"/>
          <w:bCs w:val="false"/>
          <w:color w:val="333333"/>
          <w:sz w:val="22"/>
          <w:szCs w:val="22"/>
        </w:rPr>
        <w:t xml:space="preserve">   2.3 Resilience4j Route Level Circuit Breakers &amp; Fallback Mechanisms</w:t>
      </w:r>
      <w:r>
        <w:rPr>
          <w:rFonts w:ascii="Calibri" w:cs="Calibri" w:eastAsia="Calibri" w:hAnsi="Calibri"/>
          <w:b w:val="false"/>
          <w:bCs w:val="false"/>
          <w:color w:val="777777"/>
          <w:sz w:val="22"/>
          <w:szCs w:val="22"/>
        </w:rPr>
        <w:t xml:space="preserve"> ............................................... 5</w:t>
      </w:r>
    </w:p>
    <w:p>
      <w:pPr>
        <w:spacing w:after="100" w:before="100" w:line="276"/>
        <w:jc w:val="left"/>
      </w:pPr>
      <w:r>
        <w:rPr>
          <w:rFonts w:ascii="Calibri" w:cs="Calibri" w:eastAsia="Calibri" w:hAnsi="Calibri"/>
          <w:b/>
          <w:bCs/>
          <w:color w:val="333333"/>
          <w:sz w:val="22"/>
          <w:szCs w:val="22"/>
        </w:rPr>
        <w:t xml:space="preserve">3. Communication Protocols: gRPC vs. REST</w:t>
      </w:r>
      <w:r>
        <w:rPr>
          <w:rFonts w:ascii="Calibri" w:cs="Calibri" w:eastAsia="Calibri" w:hAnsi="Calibri"/>
          <w:b w:val="false"/>
          <w:bCs w:val="false"/>
          <w:color w:val="777777"/>
          <w:sz w:val="22"/>
          <w:szCs w:val="22"/>
        </w:rPr>
        <w:t xml:space="preserve"> ........................................................................... 6</w:t>
      </w:r>
    </w:p>
    <w:p>
      <w:pPr>
        <w:spacing w:after="100" w:before="100" w:line="276"/>
        <w:jc w:val="left"/>
      </w:pPr>
      <w:r>
        <w:rPr>
          <w:rFonts w:ascii="Calibri" w:cs="Calibri" w:eastAsia="Calibri" w:hAnsi="Calibri"/>
          <w:b w:val="false"/>
          <w:bCs w:val="false"/>
          <w:color w:val="333333"/>
          <w:sz w:val="22"/>
          <w:szCs w:val="22"/>
        </w:rPr>
        <w:t xml:space="preserve">   3.1 Architectural Comparison Table</w:t>
      </w:r>
      <w:r>
        <w:rPr>
          <w:rFonts w:ascii="Calibri" w:cs="Calibri" w:eastAsia="Calibri" w:hAnsi="Calibri"/>
          <w:b w:val="false"/>
          <w:bCs w:val="false"/>
          <w:color w:val="777777"/>
          <w:sz w:val="22"/>
          <w:szCs w:val="22"/>
        </w:rPr>
        <w:t xml:space="preserve"> ......................................................................................... 6</w:t>
      </w:r>
    </w:p>
    <w:p>
      <w:pPr>
        <w:spacing w:after="100" w:before="100" w:line="276"/>
        <w:jc w:val="left"/>
      </w:pPr>
      <w:r>
        <w:rPr>
          <w:rFonts w:ascii="Calibri" w:cs="Calibri" w:eastAsia="Calibri" w:hAnsi="Calibri"/>
          <w:b w:val="false"/>
          <w:bCs w:val="false"/>
          <w:color w:val="333333"/>
          <w:sz w:val="22"/>
          <w:szCs w:val="22"/>
        </w:rPr>
        <w:t xml:space="preserve">   3.2 Application in This System</w:t>
      </w:r>
      <w:r>
        <w:rPr>
          <w:rFonts w:ascii="Calibri" w:cs="Calibri" w:eastAsia="Calibri" w:hAnsi="Calibri"/>
          <w:b w:val="false"/>
          <w:bCs w:val="false"/>
          <w:color w:val="777777"/>
          <w:sz w:val="22"/>
          <w:szCs w:val="22"/>
        </w:rPr>
        <w:t xml:space="preserve"> .................................................................................................. 6</w:t>
      </w:r>
    </w:p>
    <w:p>
      <w:pPr>
        <w:spacing w:after="100" w:before="100" w:line="276"/>
        <w:jc w:val="left"/>
      </w:pPr>
      <w:r>
        <w:rPr>
          <w:rFonts w:ascii="Calibri" w:cs="Calibri" w:eastAsia="Calibri" w:hAnsi="Calibri"/>
          <w:b/>
          <w:bCs/>
          <w:color w:val="333333"/>
          <w:sz w:val="22"/>
          <w:szCs w:val="22"/>
        </w:rPr>
        <w:t xml:space="preserve">4. Distributed Systems Problem Solving &amp; Reliability Patterns</w:t>
      </w:r>
      <w:r>
        <w:rPr>
          <w:rFonts w:ascii="Calibri" w:cs="Calibri" w:eastAsia="Calibri" w:hAnsi="Calibri"/>
          <w:b w:val="false"/>
          <w:bCs w:val="false"/>
          <w:color w:val="777777"/>
          <w:sz w:val="22"/>
          <w:szCs w:val="22"/>
        </w:rPr>
        <w:t xml:space="preserve"> ................................................. 7</w:t>
      </w:r>
    </w:p>
    <w:p>
      <w:pPr>
        <w:spacing w:after="100" w:before="100" w:line="276"/>
        <w:jc w:val="left"/>
      </w:pPr>
      <w:r>
        <w:rPr>
          <w:rFonts w:ascii="Calibri" w:cs="Calibri" w:eastAsia="Calibri" w:hAnsi="Calibri"/>
          <w:b w:val="false"/>
          <w:bCs w:val="false"/>
          <w:color w:val="333333"/>
          <w:sz w:val="22"/>
          <w:szCs w:val="22"/>
        </w:rPr>
        <w:t xml:space="preserve">   4.1 Problem 1: DB Persistence vs. Event Publishing (The Dual-Write Problem)</w:t>
      </w:r>
      <w:r>
        <w:rPr>
          <w:rFonts w:ascii="Calibri" w:cs="Calibri" w:eastAsia="Calibri" w:hAnsi="Calibri"/>
          <w:b w:val="false"/>
          <w:bCs w:val="false"/>
          <w:color w:val="777777"/>
          <w:sz w:val="22"/>
          <w:szCs w:val="22"/>
        </w:rPr>
        <w:t xml:space="preserve"> ................................. 7</w:t>
      </w:r>
    </w:p>
    <w:p>
      <w:pPr>
        <w:spacing w:after="100" w:before="100" w:line="276"/>
        <w:jc w:val="left"/>
      </w:pPr>
      <w:r>
        <w:rPr>
          <w:rFonts w:ascii="Calibri" w:cs="Calibri" w:eastAsia="Calibri" w:hAnsi="Calibri"/>
          <w:b w:val="false"/>
          <w:bCs w:val="false"/>
          <w:color w:val="333333"/>
          <w:sz w:val="22"/>
          <w:szCs w:val="22"/>
        </w:rPr>
        <w:t xml:space="preserve">   4.2 Problem 2: Multi-Service Business Workflows (The Saga Pattern)</w:t>
      </w:r>
      <w:r>
        <w:rPr>
          <w:rFonts w:ascii="Calibri" w:cs="Calibri" w:eastAsia="Calibri" w:hAnsi="Calibri"/>
          <w:b w:val="false"/>
          <w:bCs w:val="false"/>
          <w:color w:val="777777"/>
          <w:sz w:val="22"/>
          <w:szCs w:val="22"/>
        </w:rPr>
        <w:t xml:space="preserve"> .......................................... 9</w:t>
      </w:r>
    </w:p>
    <w:p>
      <w:r>
        <w:br w:type="page"/>
      </w:r>
    </w:p>
    <w:p>
      <w:pPr>
        <w:pStyle w:val="Heading1"/>
        <w:spacing w:after="120" w:before="240"/>
      </w:pPr>
      <w:r>
        <w:rPr>
          <w:rFonts w:ascii="Calibri" w:cs="Calibri" w:eastAsia="Calibri" w:hAnsi="Calibri"/>
          <w:b/>
          <w:bCs/>
          <w:color w:val="1B365D"/>
          <w:sz w:val="32"/>
          <w:szCs w:val="32"/>
        </w:rPr>
        <w:t xml:space="preserve">1. System Architecture &amp; Structural Overview</w:t>
      </w:r>
    </w:p>
    <w:p>
      <w:pPr>
        <w:spacing w:after="100" w:before="100" w:line="276"/>
        <w:jc w:val="left"/>
      </w:pPr>
      <w:r>
        <w:rPr>
          <w:rFonts w:ascii="Calibri" w:cs="Calibri" w:eastAsia="Calibri" w:hAnsi="Calibri"/>
          <w:b w:val="false"/>
          <w:bCs w:val="false"/>
          <w:color w:val="333333"/>
          <w:sz w:val="22"/>
          <w:szCs w:val="22"/>
        </w:rPr>
        <w:t xml:space="preserve">The Governance Policy Management System is a production-ready, security-hardened microservices application designed to handle policy lifecycles (Draft, Pending Approval, Approved, Rejected) while ensuring audit trails are written immutably and resiliently. The system is composed of six primary services: Discovery Service (Eureka), API Gateway Service, Authentication Service, User Service, Governance Service, and Audit Service.</w:t>
      </w:r>
    </w:p>
    <w:p>
      <w:pPr>
        <w:pStyle w:val="Heading2"/>
        <w:spacing w:after="80" w:before="180"/>
      </w:pPr>
      <w:r>
        <w:rPr>
          <w:rFonts w:ascii="Calibri" w:cs="Calibri" w:eastAsia="Calibri" w:hAnsi="Calibri"/>
          <w:b/>
          <w:bCs/>
          <w:color w:val="4A607A"/>
          <w:sz w:val="26"/>
          <w:szCs w:val="26"/>
        </w:rPr>
        <w:t xml:space="preserve">1.1 Before Architecture (Synchronous &amp; Unprotected)</w:t>
      </w:r>
    </w:p>
    <w:p>
      <w:pPr>
        <w:spacing w:after="100" w:before="100" w:line="276"/>
        <w:jc w:val="left"/>
      </w:pPr>
      <w:r>
        <w:rPr>
          <w:rFonts w:ascii="Calibri" w:cs="Calibri" w:eastAsia="Calibri" w:hAnsi="Calibri"/>
          <w:b w:val="false"/>
          <w:bCs w:val="false"/>
          <w:color w:val="333333"/>
          <w:sz w:val="22"/>
          <w:szCs w:val="22"/>
        </w:rPr>
        <w:t xml:space="preserve">In the initial implementation of the microservices system, communication and stability were fragile due to tight coupling and lack of fail-safe wrappers. Below are the key vulnerabilities:</w:t>
      </w:r>
    </w:p>
    <w:p>
      <w:pPr>
        <w:pStyle w:val="ListParagraph"/>
        <w:numPr>
          <w:ilvl w:val="0"/>
          <w:numId w:val="1"/>
        </w:numPr>
        <w:spacing w:after="100" w:before="100" w:line="276"/>
        <w:jc w:val="left"/>
      </w:pPr>
      <w:r>
        <w:rPr>
          <w:rFonts w:ascii="Calibri" w:cs="Calibri" w:eastAsia="Calibri" w:hAnsi="Calibri"/>
          <w:b w:val="false"/>
          <w:bCs w:val="false"/>
          <w:color w:val="333333"/>
          <w:sz w:val="22"/>
          <w:szCs w:val="22"/>
        </w:rPr>
        <w:t xml:space="preserve">Unprotected Edge Entry: The Gateway routed client traffic directly. A failure or heavy load spike in any downstream service (e.g., Governance or User Service) caused threads to block inside the Gateway, eventually exhausting server resources and bringing down the entire API edge.</w:t>
      </w:r>
    </w:p>
    <w:p>
      <w:pPr>
        <w:pStyle w:val="ListParagraph"/>
        <w:numPr>
          <w:ilvl w:val="0"/>
          <w:numId w:val="1"/>
        </w:numPr>
        <w:spacing w:after="100" w:before="100" w:line="276"/>
        <w:jc w:val="left"/>
      </w:pPr>
      <w:r>
        <w:rPr>
          <w:rFonts w:ascii="Calibri" w:cs="Calibri" w:eastAsia="Calibri" w:hAnsi="Calibri"/>
          <w:b w:val="false"/>
          <w:bCs w:val="false"/>
          <w:color w:val="333333"/>
          <w:sz w:val="22"/>
          <w:szCs w:val="22"/>
        </w:rPr>
        <w:t xml:space="preserve">Tight Synchronous Coupling: The Authentication Service calls the User Service synchronously via gRPC. If the User Service experienced a database lock or went offline, Auth Service requests immediately threw exceptions and login/registration failed without recovery attempts.</w:t>
      </w:r>
    </w:p>
    <w:p>
      <w:pPr>
        <w:pStyle w:val="ListParagraph"/>
        <w:numPr>
          <w:ilvl w:val="0"/>
          <w:numId w:val="1"/>
        </w:numPr>
        <w:spacing w:after="100" w:before="100" w:line="276"/>
        <w:jc w:val="left"/>
      </w:pPr>
      <w:r>
        <w:rPr>
          <w:rFonts w:ascii="Calibri" w:cs="Calibri" w:eastAsia="Calibri" w:hAnsi="Calibri"/>
          <w:b w:val="false"/>
          <w:bCs w:val="false"/>
          <w:color w:val="333333"/>
          <w:sz w:val="22"/>
          <w:szCs w:val="22"/>
        </w:rPr>
        <w:t xml:space="preserve">Unprotected DB Operations: The User Service wrote data directly to user_db. Any temporary database dropout or slow connection block immediately bubbled up as 500 errors to callers, locking system threads.</w:t>
      </w:r>
    </w:p>
    <w:p>
      <w:pPr>
        <w:pStyle w:val="ListParagraph"/>
        <w:numPr>
          <w:ilvl w:val="0"/>
          <w:numId w:val="1"/>
        </w:numPr>
        <w:spacing w:after="100" w:before="100" w:line="276"/>
        <w:jc w:val="left"/>
      </w:pPr>
      <w:r>
        <w:rPr>
          <w:rFonts w:ascii="Calibri" w:cs="Calibri" w:eastAsia="Calibri" w:hAnsi="Calibri"/>
          <w:b w:val="false"/>
          <w:bCs w:val="false"/>
          <w:color w:val="333333"/>
          <w:sz w:val="22"/>
          <w:szCs w:val="22"/>
        </w:rPr>
        <w:t xml:space="preserve">Dual-Write Vulnerability: The Governance Service published state transition events directly to Kafka within the policy write transaction. If Kafka went offline or timed out, the local policy database transaction was aborted, resulting in system downtime. If the broker failed AFTER the DB transaction committed, the audit event was lost forever.</w:t>
      </w:r>
    </w:p>
    <w:p>
      <w:pPr>
        <w:spacing w:after="100" w:before="150" w:line="276"/>
        <w:jc w:val="left"/>
      </w:pPr>
      <w:r>
        <w:rPr>
          <w:rFonts w:ascii="Calibri" w:cs="Calibri" w:eastAsia="Calibri" w:hAnsi="Calibri"/>
          <w:b/>
          <w:bCs/>
          <w:color w:val="333333"/>
          <w:sz w:val="22"/>
          <w:szCs w:val="22"/>
        </w:rPr>
        <w:t xml:space="preserve">ASCII Diagram: Before Architecture (Fragile, Blocking &amp; Tight Coupling)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7DE" w:sz="4"/>
              <w:left w:val="single" w:color="D0D7DE" w:sz="4"/>
              <w:bottom w:val="single" w:color="D0D7DE" w:sz="4"/>
              <w:right w:val="single" w:color="D0D7DE" w:sz="4"/>
            </w:tcBorders>
            <w:shd w:fill="F4F6F9"/>
            <w:vAlign w:val="center"/>
          </w:tcPr>
          <w:p>
            <w:pPr>
              <w:spacing w:after="100" w:before="100" w:line="276"/>
              <w:jc w:val="left"/>
            </w:pPr>
            <w:r>
              <w:rPr>
                <w:rFonts w:ascii="Calibri" w:cs="Calibri" w:eastAsia="Calibri" w:hAnsi="Calibri"/>
                <w:b w:val="false"/>
                <w:bCs w:val="false"/>
                <w:color w:val="333333"/>
                <w:sz w:val="18"/>
                <w:szCs w:val="18"/>
              </w:rPr>
              <w:t xml:space="preserve">                    +--------------------------------------------+</w:t>
            </w:r>
          </w:p>
          <w:p>
            <w:pPr>
              <w:spacing w:after="100" w:before="100" w:line="276"/>
              <w:jc w:val="left"/>
            </w:pPr>
            <w:r>
              <w:rPr>
                <w:rFonts w:ascii="Calibri" w:cs="Calibri" w:eastAsia="Calibri" w:hAnsi="Calibri"/>
                <w:b w:val="false"/>
                <w:bCs w:val="false"/>
                <w:color w:val="333333"/>
                <w:sz w:val="18"/>
                <w:szCs w:val="18"/>
              </w:rPr>
              <w:t xml:space="preserve">                    |                Web Client                  |</w:t>
            </w:r>
          </w:p>
          <w:p>
            <w:pPr>
              <w:spacing w:after="100" w:before="100" w:line="276"/>
              <w:jc w:val="left"/>
            </w:pPr>
            <w:r>
              <w:rPr>
                <w:rFonts w:ascii="Calibri" w:cs="Calibri" w:eastAsia="Calibri" w:hAnsi="Calibri"/>
                <w:b w:val="false"/>
                <w:bCs w:val="false"/>
                <w:color w:val="333333"/>
                <w:sz w:val="18"/>
                <w:szCs w:val="18"/>
              </w:rPr>
              <w:t xml:space="preserve">                    +---------------------+----------------------+</w:t>
            </w:r>
          </w:p>
          <w:p>
            <w:pPr>
              <w:spacing w:after="100" w:before="100" w:line="276"/>
              <w:jc w:val="left"/>
            </w:pPr>
            <w:r>
              <w:rPr>
                <w:rFonts w:ascii="Calibri" w:cs="Calibri" w:eastAsia="Calibri" w:hAnsi="Calibri"/>
                <w:b w:val="false"/>
                <w:bCs w:val="false"/>
                <w:color w:val="333333"/>
                <w:sz w:val="18"/>
                <w:szCs w:val="18"/>
              </w:rPr>
              <w:t xml:space="preserve">                                          | (HTTP REST, No rate limit/CB)</w:t>
            </w:r>
          </w:p>
          <w:p>
            <w:pPr>
              <w:spacing w:after="100" w:before="100" w:line="276"/>
              <w:jc w:val="left"/>
            </w:pPr>
            <w:r>
              <w:rPr>
                <w:rFonts w:ascii="Calibri" w:cs="Calibri" w:eastAsia="Calibri" w:hAnsi="Calibri"/>
                <w:b w:val="false"/>
                <w:bCs w:val="false"/>
                <w:color w:val="333333"/>
                <w:sz w:val="18"/>
                <w:szCs w:val="18"/>
              </w:rPr>
              <w:t xml:space="preserve">                                          v</w:t>
            </w:r>
          </w:p>
          <w:p>
            <w:pPr>
              <w:spacing w:after="100" w:before="100" w:line="276"/>
              <w:jc w:val="left"/>
            </w:pPr>
            <w:r>
              <w:rPr>
                <w:rFonts w:ascii="Calibri" w:cs="Calibri" w:eastAsia="Calibri" w:hAnsi="Calibri"/>
                <w:b w:val="false"/>
                <w:bCs w:val="false"/>
                <w:color w:val="333333"/>
                <w:sz w:val="18"/>
                <w:szCs w:val="18"/>
              </w:rPr>
              <w:t xml:space="preserve">                    +---------------------+----------------------+</w:t>
            </w:r>
          </w:p>
          <w:p>
            <w:pPr>
              <w:spacing w:after="100" w:before="100" w:line="276"/>
              <w:jc w:val="left"/>
            </w:pPr>
            <w:r>
              <w:rPr>
                <w:rFonts w:ascii="Calibri" w:cs="Calibri" w:eastAsia="Calibri" w:hAnsi="Calibri"/>
                <w:b w:val="false"/>
                <w:bCs w:val="false"/>
                <w:color w:val="333333"/>
                <w:sz w:val="18"/>
                <w:szCs w:val="18"/>
              </w:rPr>
              <w:t xml:space="preserve">                    |          API Gateway (Direct Routing)      |</w:t>
            </w:r>
          </w:p>
          <w:p>
            <w:pPr>
              <w:spacing w:after="100" w:before="100" w:line="276"/>
              <w:jc w:val="left"/>
            </w:pPr>
            <w:r>
              <w:rPr>
                <w:rFonts w:ascii="Calibri" w:cs="Calibri" w:eastAsia="Calibri" w:hAnsi="Calibri"/>
                <w:b w:val="false"/>
                <w:bCs w:val="false"/>
                <w:color w:val="333333"/>
                <w:sz w:val="18"/>
                <w:szCs w:val="18"/>
              </w:rPr>
              <w:t xml:space="preserve">                    +---+-----------------+------------------+---+</w:t>
            </w:r>
          </w:p>
          <w:p>
            <w:pPr>
              <w:spacing w:after="100" w:before="100" w:line="276"/>
              <w:jc w:val="left"/>
            </w:pPr>
            <w:r>
              <w:rPr>
                <w:rFonts w:ascii="Calibri" w:cs="Calibri" w:eastAsia="Calibri" w:hAnsi="Calibri"/>
                <w:b w:val="false"/>
                <w:bCs w:val="false"/>
                <w:color w:val="333333"/>
                <w:sz w:val="18"/>
                <w:szCs w:val="18"/>
              </w:rPr>
              <w:t xml:space="preserve">                        |                 |                  |</w:t>
            </w:r>
          </w:p>
          <w:p>
            <w:pPr>
              <w:spacing w:after="100" w:before="100" w:line="276"/>
              <w:jc w:val="left"/>
            </w:pPr>
            <w:r>
              <w:rPr>
                <w:rFonts w:ascii="Calibri" w:cs="Calibri" w:eastAsia="Calibri" w:hAnsi="Calibri"/>
                <w:b w:val="false"/>
                <w:bCs w:val="false"/>
                <w:color w:val="333333"/>
                <w:sz w:val="18"/>
                <w:szCs w:val="18"/>
              </w:rPr>
              <w:t xml:space="preserve">       (Direct REST)    |                 | (Direct REST)    | (Direct REST)</w:t>
            </w:r>
          </w:p>
          <w:p>
            <w:pPr>
              <w:spacing w:after="100" w:before="100" w:line="276"/>
              <w:jc w:val="left"/>
            </w:pPr>
            <w:r>
              <w:rPr>
                <w:rFonts w:ascii="Calibri" w:cs="Calibri" w:eastAsia="Calibri" w:hAnsi="Calibri"/>
                <w:b w:val="false"/>
                <w:bCs w:val="false"/>
                <w:color w:val="333333"/>
                <w:sz w:val="18"/>
                <w:szCs w:val="18"/>
              </w:rPr>
              <w:t xml:space="preserve">       v                v                 v                  v</w:t>
            </w:r>
          </w:p>
          <w:p>
            <w:pPr>
              <w:spacing w:after="100" w:before="100" w:line="276"/>
              <w:jc w:val="left"/>
            </w:pPr>
            <w:r>
              <w:rPr>
                <w:rFonts w:ascii="Calibri" w:cs="Calibri" w:eastAsia="Calibri" w:hAnsi="Calibri"/>
                <w:b w:val="false"/>
                <w:bCs w:val="false"/>
                <w:color w:val="333333"/>
                <w:sz w:val="18"/>
                <w:szCs w:val="18"/>
              </w:rPr>
              <w:t xml:space="preserve">  +----------+    +-----------+     +------------+     +-----------+</w:t>
            </w:r>
          </w:p>
          <w:p>
            <w:pPr>
              <w:spacing w:after="100" w:before="100" w:line="276"/>
              <w:jc w:val="left"/>
            </w:pPr>
            <w:r>
              <w:rPr>
                <w:rFonts w:ascii="Calibri" w:cs="Calibri" w:eastAsia="Calibri" w:hAnsi="Calibri"/>
                <w:b w:val="false"/>
                <w:bCs w:val="false"/>
                <w:color w:val="333333"/>
                <w:sz w:val="18"/>
                <w:szCs w:val="18"/>
              </w:rPr>
              <w:t xml:space="preserve">  | Auth Svc |    | User Svc  |     | Governance |     | Audit Svc |</w:t>
            </w:r>
          </w:p>
          <w:p>
            <w:pPr>
              <w:spacing w:after="100" w:before="100" w:line="276"/>
              <w:jc w:val="left"/>
            </w:pPr>
            <w:r>
              <w:rPr>
                <w:rFonts w:ascii="Calibri" w:cs="Calibri" w:eastAsia="Calibri" w:hAnsi="Calibri"/>
                <w:b w:val="false"/>
                <w:bCs w:val="false"/>
                <w:color w:val="333333"/>
                <w:sz w:val="18"/>
                <w:szCs w:val="18"/>
              </w:rPr>
              <w:t xml:space="preserve">  +----+-----+    +-----+-----+     +-----+------+     +-----+-----+</w:t>
            </w:r>
          </w:p>
          <w:p>
            <w:pPr>
              <w:spacing w:after="100" w:before="100" w:line="276"/>
              <w:jc w:val="left"/>
            </w:pPr>
            <w:r>
              <w:rPr>
                <w:rFonts w:ascii="Calibri" w:cs="Calibri" w:eastAsia="Calibri" w:hAnsi="Calibri"/>
                <w:b w:val="false"/>
                <w:bCs w:val="false"/>
                <w:color w:val="333333"/>
                <w:sz w:val="18"/>
                <w:szCs w:val="18"/>
              </w:rPr>
              <w:t xml:space="preserve">       |                |                 |                  |</w:t>
            </w:r>
          </w:p>
          <w:p>
            <w:pPr>
              <w:spacing w:after="100" w:before="100" w:line="276"/>
              <w:jc w:val="left"/>
            </w:pPr>
            <w:r>
              <w:rPr>
                <w:rFonts w:ascii="Calibri" w:cs="Calibri" w:eastAsia="Calibri" w:hAnsi="Calibri"/>
                <w:b w:val="false"/>
                <w:bCs w:val="false"/>
                <w:color w:val="333333"/>
                <w:sz w:val="18"/>
                <w:szCs w:val="18"/>
              </w:rPr>
              <w:t xml:space="preserve">       | (gRPC, No CB)  | (Postgres)      | (Postgres)       | (Postgres)</w:t>
            </w:r>
          </w:p>
          <w:p>
            <w:pPr>
              <w:spacing w:after="100" w:before="100" w:line="276"/>
              <w:jc w:val="left"/>
            </w:pPr>
            <w:r>
              <w:rPr>
                <w:rFonts w:ascii="Calibri" w:cs="Calibri" w:eastAsia="Calibri" w:hAnsi="Calibri"/>
                <w:b w:val="false"/>
                <w:bCs w:val="false"/>
                <w:color w:val="333333"/>
                <w:sz w:val="18"/>
                <w:szCs w:val="18"/>
              </w:rPr>
              <w:t xml:space="preserve">       +------&gt; UserSvc v                 |                  v</w:t>
            </w:r>
          </w:p>
          <w:p>
            <w:pPr>
              <w:spacing w:after="100" w:before="100" w:line="276"/>
              <w:jc w:val="left"/>
            </w:pPr>
            <w:r>
              <w:rPr>
                <w:rFonts w:ascii="Calibri" w:cs="Calibri" w:eastAsia="Calibri" w:hAnsi="Calibri"/>
                <w:b w:val="false"/>
                <w:bCs w:val="false"/>
                <w:color w:val="333333"/>
                <w:sz w:val="18"/>
                <w:szCs w:val="18"/>
              </w:rPr>
              <w:t xml:space="preserve">                        [user_db]         | [governed_db]    [audit_db]</w:t>
            </w:r>
          </w:p>
          <w:p>
            <w:pPr>
              <w:spacing w:after="100" w:before="100" w:line="276"/>
              <w:jc w:val="left"/>
            </w:pPr>
            <w:r>
              <w:rPr>
                <w:rFonts w:ascii="Calibri" w:cs="Calibri" w:eastAsia="Calibri" w:hAnsi="Calibri"/>
                <w:b w:val="false"/>
                <w:bCs w:val="false"/>
                <w:color w:val="333333"/>
                <w:sz w:val="18"/>
                <w:szCs w:val="18"/>
              </w:rPr>
              <w:t xml:space="preserve">                                          |</w:t>
            </w:r>
          </w:p>
          <w:p>
            <w:pPr>
              <w:spacing w:after="100" w:before="100" w:line="276"/>
              <w:jc w:val="left"/>
            </w:pPr>
            <w:r>
              <w:rPr>
                <w:rFonts w:ascii="Calibri" w:cs="Calibri" w:eastAsia="Calibri" w:hAnsi="Calibri"/>
                <w:b w:val="false"/>
                <w:bCs w:val="false"/>
                <w:color w:val="333333"/>
                <w:sz w:val="18"/>
                <w:szCs w:val="18"/>
              </w:rPr>
              <w:t xml:space="preserve">                                          | (Sync event publish in DB transaction)</w:t>
            </w:r>
          </w:p>
          <w:p>
            <w:pPr>
              <w:spacing w:after="100" w:before="100" w:line="276"/>
              <w:jc w:val="left"/>
            </w:pPr>
            <w:r>
              <w:rPr>
                <w:rFonts w:ascii="Calibri" w:cs="Calibri" w:eastAsia="Calibri" w:hAnsi="Calibri"/>
                <w:b w:val="false"/>
                <w:bCs w:val="false"/>
                <w:color w:val="333333"/>
                <w:sz w:val="18"/>
                <w:szCs w:val="18"/>
              </w:rPr>
              <w:t xml:space="preserve">                                          v</w:t>
            </w:r>
          </w:p>
          <w:p>
            <w:pPr>
              <w:spacing w:after="100" w:before="100" w:line="276"/>
              <w:jc w:val="left"/>
            </w:pPr>
            <w:r>
              <w:rPr>
                <w:rFonts w:ascii="Calibri" w:cs="Calibri" w:eastAsia="Calibri" w:hAnsi="Calibri"/>
                <w:b w:val="false"/>
                <w:bCs w:val="false"/>
                <w:color w:val="333333"/>
                <w:sz w:val="18"/>
                <w:szCs w:val="18"/>
              </w:rPr>
              <w:t xml:space="preserve">                                     [Kafka Broker] (No outbox retry or CB)</w:t>
            </w:r>
          </w:p>
        </w:tc>
      </w:tr>
    </w:tbl>
    <w:p>
      <w:pPr>
        <w:spacing w:after="100" w:before="100" w:line="276"/>
        <w:jc w:val="left"/>
      </w:pPr>
      <w:r>
        <w:rPr>
          <w:rFonts w:ascii="Calibri" w:cs="Calibri" w:eastAsia="Calibri" w:hAnsi="Calibri"/>
          <w:b w:val="false"/>
          <w:bCs w:val="false"/>
          <w:color w:val="333333"/>
          <w:sz w:val="22"/>
          <w:szCs w:val="22"/>
        </w:rPr>
        <w:t xml:space="preserve"/>
      </w:r>
    </w:p>
    <w:p>
      <w:pPr>
        <w:pStyle w:val="Heading2"/>
        <w:spacing w:after="80" w:before="180"/>
      </w:pPr>
      <w:r>
        <w:rPr>
          <w:rFonts w:ascii="Calibri" w:cs="Calibri" w:eastAsia="Calibri" w:hAnsi="Calibri"/>
          <w:b/>
          <w:bCs/>
          <w:color w:val="4A607A"/>
          <w:sz w:val="26"/>
          <w:szCs w:val="26"/>
        </w:rPr>
        <w:t xml:space="preserve">1.2 After Architecture (Resilient &amp; Event-Driven)</w:t>
      </w:r>
    </w:p>
    <w:p>
      <w:pPr>
        <w:spacing w:after="100" w:before="100" w:line="276"/>
        <w:jc w:val="left"/>
      </w:pPr>
      <w:r>
        <w:rPr>
          <w:rFonts w:ascii="Calibri" w:cs="Calibri" w:eastAsia="Calibri" w:hAnsi="Calibri"/>
          <w:b w:val="false"/>
          <w:bCs w:val="false"/>
          <w:color w:val="333333"/>
          <w:sz w:val="22"/>
          <w:szCs w:val="22"/>
        </w:rPr>
        <w:t xml:space="preserve">To introduce high availability, the following architectural boundaries were established:</w:t>
      </w:r>
    </w:p>
    <w:p>
      <w:pPr>
        <w:pStyle w:val="ListParagraph"/>
        <w:numPr>
          <w:ilvl w:val="0"/>
          <w:numId w:val="1"/>
        </w:numPr>
        <w:spacing w:after="100" w:before="100" w:line="276"/>
        <w:jc w:val="left"/>
      </w:pPr>
      <w:r>
        <w:rPr>
          <w:rFonts w:ascii="Calibri" w:cs="Calibri" w:eastAsia="Calibri" w:hAnsi="Calibri"/>
          <w:b w:val="false"/>
          <w:bCs w:val="false"/>
          <w:color w:val="333333"/>
          <w:sz w:val="22"/>
          <w:szCs w:val="22"/>
        </w:rPr>
        <w:t xml:space="preserve">API Gateway Circuit Breakers: Resilience4j Circuit Breakers were wrapped around all downstream routes (e.g. authServiceCB, governanceServiceCB, auditServiceCB). If failure thresholds exceed 50%, the route trips open and requests are forwarded to a local FallbackController, returning a static or cache-friendly degraded response instantly.</w:t>
      </w:r>
    </w:p>
    <w:p>
      <w:pPr>
        <w:pStyle w:val="ListParagraph"/>
        <w:numPr>
          <w:ilvl w:val="0"/>
          <w:numId w:val="1"/>
        </w:numPr>
        <w:spacing w:after="100" w:before="100" w:line="276"/>
        <w:jc w:val="left"/>
      </w:pPr>
      <w:r>
        <w:rPr>
          <w:rFonts w:ascii="Calibri" w:cs="Calibri" w:eastAsia="Calibri" w:hAnsi="Calibri"/>
          <w:b w:val="false"/>
          <w:bCs w:val="false"/>
          <w:color w:val="333333"/>
          <w:sz w:val="22"/>
          <w:szCs w:val="22"/>
        </w:rPr>
        <w:t xml:space="preserve">gRPC Fault Isolation: Inside Auth Service, the UserGrpcClient was refactored to wrap synchronous user fetches in a circuit breaker. If User Service is down, Auth Service triggers a fallback logic (e.g. denying or fetching cached data) rather than throwing a blocking error.</w:t>
      </w:r>
    </w:p>
    <w:p>
      <w:pPr>
        <w:pStyle w:val="ListParagraph"/>
        <w:numPr>
          <w:ilvl w:val="0"/>
          <w:numId w:val="1"/>
        </w:numPr>
        <w:spacing w:after="100" w:before="100" w:line="276"/>
        <w:jc w:val="left"/>
      </w:pPr>
      <w:r>
        <w:rPr>
          <w:rFonts w:ascii="Calibri" w:cs="Calibri" w:eastAsia="Calibri" w:hAnsi="Calibri"/>
          <w:b w:val="false"/>
          <w:bCs w:val="false"/>
          <w:color w:val="333333"/>
          <w:sz w:val="22"/>
          <w:szCs w:val="22"/>
        </w:rPr>
        <w:t xml:space="preserve">Database Isolation: In the User Service, database writes and reads are executed under the protection of a dedicated Resilience4j database circuit breaker, preventing DB thread pools from locking the application in case of PostgreSQL lockups.</w:t>
      </w:r>
    </w:p>
    <w:p>
      <w:pPr>
        <w:pStyle w:val="ListParagraph"/>
        <w:numPr>
          <w:ilvl w:val="0"/>
          <w:numId w:val="1"/>
        </w:numPr>
        <w:spacing w:after="100" w:before="100" w:line="276"/>
        <w:jc w:val="left"/>
      </w:pPr>
      <w:r>
        <w:rPr>
          <w:rFonts w:ascii="Calibri" w:cs="Calibri" w:eastAsia="Calibri" w:hAnsi="Calibri"/>
          <w:b w:val="false"/>
          <w:bCs w:val="false"/>
          <w:color w:val="333333"/>
          <w:sz w:val="22"/>
          <w:szCs w:val="22"/>
        </w:rPr>
        <w:t xml:space="preserve">Transactional Outbox (Guaranteed Delivery): The Governance Service no longer publishes to Kafka within the policy write transaction. Instead, it saves both the policy change and an OutboxEvent entity into its local PostgreSQL database inside the same ACID transaction. An asynchronous event producer publishes events post-commit, with a scheduled background thread retrying failed deliveries. If a broker failure is permanent, events are safely routed to a Dead Letter Queue (DLQ) after maximum retries.</w:t>
      </w:r>
    </w:p>
    <w:p>
      <w:pPr>
        <w:spacing w:after="100" w:before="150" w:line="276"/>
        <w:jc w:val="left"/>
      </w:pPr>
      <w:r>
        <w:rPr>
          <w:rFonts w:ascii="Calibri" w:cs="Calibri" w:eastAsia="Calibri" w:hAnsi="Calibri"/>
          <w:b/>
          <w:bCs/>
          <w:color w:val="333333"/>
          <w:sz w:val="22"/>
          <w:szCs w:val="22"/>
        </w:rPr>
        <w:t xml:space="preserve">ASCII Diagram: After Architecture (Circuit Breakers, Outbox &amp; Resiliency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7DE" w:sz="4"/>
              <w:left w:val="single" w:color="D0D7DE" w:sz="4"/>
              <w:bottom w:val="single" w:color="D0D7DE" w:sz="4"/>
              <w:right w:val="single" w:color="D0D7DE" w:sz="4"/>
            </w:tcBorders>
            <w:shd w:fill="F4F6F9"/>
            <w:vAlign w:val="center"/>
          </w:tcPr>
          <w:p>
            <w:pPr>
              <w:spacing w:after="100" w:before="100" w:line="276"/>
              <w:jc w:val="left"/>
            </w:pPr>
            <w:r>
              <w:rPr>
                <w:rFonts w:ascii="Calibri" w:cs="Calibri" w:eastAsia="Calibri" w:hAnsi="Calibri"/>
                <w:b w:val="false"/>
                <w:bCs w:val="false"/>
                <w:color w:val="333333"/>
                <w:sz w:val="18"/>
                <w:szCs w:val="18"/>
              </w:rPr>
              <w:t xml:space="preserve">                      +------------------------------------------+</w:t>
            </w:r>
          </w:p>
          <w:p>
            <w:pPr>
              <w:spacing w:after="100" w:before="100" w:line="276"/>
              <w:jc w:val="left"/>
            </w:pPr>
            <w:r>
              <w:rPr>
                <w:rFonts w:ascii="Calibri" w:cs="Calibri" w:eastAsia="Calibri" w:hAnsi="Calibri"/>
                <w:b w:val="false"/>
                <w:bCs w:val="false"/>
                <w:color w:val="333333"/>
                <w:sz w:val="18"/>
                <w:szCs w:val="18"/>
              </w:rPr>
              <w:t xml:space="preserve">                      |               Web Client                 |</w:t>
            </w:r>
          </w:p>
          <w:p>
            <w:pPr>
              <w:spacing w:after="100" w:before="100" w:line="276"/>
              <w:jc w:val="left"/>
            </w:pPr>
            <w:r>
              <w:rPr>
                <w:rFonts w:ascii="Calibri" w:cs="Calibri" w:eastAsia="Calibri" w:hAnsi="Calibri"/>
                <w:b w:val="false"/>
                <w:bCs w:val="false"/>
                <w:color w:val="333333"/>
                <w:sz w:val="18"/>
                <w:szCs w:val="18"/>
              </w:rPr>
              <w:t xml:space="preserve">                      +--------------------+---------------------+</w:t>
            </w:r>
          </w:p>
          <w:p>
            <w:pPr>
              <w:spacing w:after="100" w:before="100" w:line="276"/>
              <w:jc w:val="left"/>
            </w:pPr>
            <w:r>
              <w:rPr>
                <w:rFonts w:ascii="Calibri" w:cs="Calibri" w:eastAsia="Calibri" w:hAnsi="Calibri"/>
                <w:b w:val="false"/>
                <w:bCs w:val="false"/>
                <w:color w:val="333333"/>
                <w:sz w:val="18"/>
                <w:szCs w:val="18"/>
              </w:rPr>
              <w:t xml:space="preserve">                                           | (Rate Limited &amp; Protected)</w:t>
            </w:r>
          </w:p>
          <w:p>
            <w:pPr>
              <w:spacing w:after="100" w:before="100" w:line="276"/>
              <w:jc w:val="left"/>
            </w:pPr>
            <w:r>
              <w:rPr>
                <w:rFonts w:ascii="Calibri" w:cs="Calibri" w:eastAsia="Calibri" w:hAnsi="Calibri"/>
                <w:b w:val="false"/>
                <w:bCs w:val="false"/>
                <w:color w:val="333333"/>
                <w:sz w:val="18"/>
                <w:szCs w:val="18"/>
              </w:rPr>
              <w:t xml:space="preserve">                                           v</w:t>
            </w:r>
          </w:p>
          <w:p>
            <w:pPr>
              <w:spacing w:after="100" w:before="100" w:line="276"/>
              <w:jc w:val="left"/>
            </w:pPr>
            <w:r>
              <w:rPr>
                <w:rFonts w:ascii="Calibri" w:cs="Calibri" w:eastAsia="Calibri" w:hAnsi="Calibri"/>
                <w:b w:val="false"/>
                <w:bCs w:val="false"/>
                <w:color w:val="333333"/>
                <w:sz w:val="18"/>
                <w:szCs w:val="18"/>
              </w:rPr>
              <w:t xml:space="preserve">                      +--------------------+---------------------+</w:t>
            </w:r>
          </w:p>
          <w:p>
            <w:pPr>
              <w:spacing w:after="100" w:before="100" w:line="276"/>
              <w:jc w:val="left"/>
            </w:pPr>
            <w:r>
              <w:rPr>
                <w:rFonts w:ascii="Calibri" w:cs="Calibri" w:eastAsia="Calibri" w:hAnsi="Calibri"/>
                <w:b w:val="false"/>
                <w:bCs w:val="false"/>
                <w:color w:val="333333"/>
                <w:sz w:val="18"/>
                <w:szCs w:val="18"/>
              </w:rPr>
              <w:t xml:space="preserve">                      |     API Gateway (Resilience4j CB Group)  |</w:t>
            </w:r>
          </w:p>
          <w:p>
            <w:pPr>
              <w:spacing w:after="100" w:before="100" w:line="276"/>
              <w:jc w:val="left"/>
            </w:pPr>
            <w:r>
              <w:rPr>
                <w:rFonts w:ascii="Calibri" w:cs="Calibri" w:eastAsia="Calibri" w:hAnsi="Calibri"/>
                <w:b w:val="false"/>
                <w:bCs w:val="false"/>
                <w:color w:val="333333"/>
                <w:sz w:val="18"/>
                <w:szCs w:val="18"/>
              </w:rPr>
              <w:t xml:space="preserve">                      +---+----------------+-----------------+---+</w:t>
            </w:r>
          </w:p>
          <w:p>
            <w:pPr>
              <w:spacing w:after="100" w:before="100" w:line="276"/>
              <w:jc w:val="left"/>
            </w:pPr>
            <w:r>
              <w:rPr>
                <w:rFonts w:ascii="Calibri" w:cs="Calibri" w:eastAsia="Calibri" w:hAnsi="Calibri"/>
                <w:b w:val="false"/>
                <w:bCs w:val="false"/>
                <w:color w:val="333333"/>
                <w:sz w:val="18"/>
                <w:szCs w:val="18"/>
              </w:rPr>
              <w:t xml:space="preserve">                          |                |                 |</w:t>
            </w:r>
          </w:p>
          <w:p>
            <w:pPr>
              <w:spacing w:after="100" w:before="100" w:line="276"/>
              <w:jc w:val="left"/>
            </w:pPr>
            <w:r>
              <w:rPr>
                <w:rFonts w:ascii="Calibri" w:cs="Calibri" w:eastAsia="Calibri" w:hAnsi="Calibri"/>
                <w:b w:val="false"/>
                <w:bCs w:val="false"/>
                <w:color w:val="333333"/>
                <w:sz w:val="18"/>
                <w:szCs w:val="18"/>
              </w:rPr>
              <w:t xml:space="preserve">         [CircuitBreaker] |                | [CircuitBreaker]| [CircuitBreaker]</w:t>
            </w:r>
          </w:p>
          <w:p>
            <w:pPr>
              <w:spacing w:after="100" w:before="100" w:line="276"/>
              <w:jc w:val="left"/>
            </w:pPr>
            <w:r>
              <w:rPr>
                <w:rFonts w:ascii="Calibri" w:cs="Calibri" w:eastAsia="Calibri" w:hAnsi="Calibri"/>
                <w:b w:val="false"/>
                <w:bCs w:val="false"/>
                <w:color w:val="333333"/>
                <w:sz w:val="18"/>
                <w:szCs w:val="18"/>
              </w:rPr>
              <w:t xml:space="preserve">         v                v                v                 v</w:t>
            </w:r>
          </w:p>
          <w:p>
            <w:pPr>
              <w:spacing w:after="100" w:before="100" w:line="276"/>
              <w:jc w:val="left"/>
            </w:pPr>
            <w:r>
              <w:rPr>
                <w:rFonts w:ascii="Calibri" w:cs="Calibri" w:eastAsia="Calibri" w:hAnsi="Calibri"/>
                <w:b w:val="false"/>
                <w:bCs w:val="false"/>
                <w:color w:val="333333"/>
                <w:sz w:val="18"/>
                <w:szCs w:val="18"/>
              </w:rPr>
              <w:t xml:space="preserve">    +----+-----+    +-----+----+     +-----+------+    +-----+-----+</w:t>
            </w:r>
          </w:p>
          <w:p>
            <w:pPr>
              <w:spacing w:after="100" w:before="100" w:line="276"/>
              <w:jc w:val="left"/>
            </w:pPr>
            <w:r>
              <w:rPr>
                <w:rFonts w:ascii="Calibri" w:cs="Calibri" w:eastAsia="Calibri" w:hAnsi="Calibri"/>
                <w:b w:val="false"/>
                <w:bCs w:val="false"/>
                <w:color w:val="333333"/>
                <w:sz w:val="18"/>
                <w:szCs w:val="18"/>
              </w:rPr>
              <w:t xml:space="preserve">    | Auth Svc |    | User Svc |     | Governance |    | Audit Svc |</w:t>
            </w:r>
          </w:p>
          <w:p>
            <w:pPr>
              <w:spacing w:after="100" w:before="100" w:line="276"/>
              <w:jc w:val="left"/>
            </w:pPr>
            <w:r>
              <w:rPr>
                <w:rFonts w:ascii="Calibri" w:cs="Calibri" w:eastAsia="Calibri" w:hAnsi="Calibri"/>
                <w:b w:val="false"/>
                <w:bCs w:val="false"/>
                <w:color w:val="333333"/>
                <w:sz w:val="18"/>
                <w:szCs w:val="18"/>
              </w:rPr>
              <w:t xml:space="preserve">    +----+-----+    +----+-----+     +-----+------+    +-----+-----+</w:t>
            </w:r>
          </w:p>
          <w:p>
            <w:pPr>
              <w:spacing w:after="100" w:before="100" w:line="276"/>
              <w:jc w:val="left"/>
            </w:pPr>
            <w:r>
              <w:rPr>
                <w:rFonts w:ascii="Calibri" w:cs="Calibri" w:eastAsia="Calibri" w:hAnsi="Calibri"/>
                <w:b w:val="false"/>
                <w:bCs w:val="false"/>
                <w:color w:val="333333"/>
                <w:sz w:val="18"/>
                <w:szCs w:val="18"/>
              </w:rPr>
              <w:t xml:space="preserve">         |               |                 |                 ^</w:t>
            </w:r>
          </w:p>
          <w:p>
            <w:pPr>
              <w:spacing w:after="100" w:before="100" w:line="276"/>
              <w:jc w:val="left"/>
            </w:pPr>
            <w:r>
              <w:rPr>
                <w:rFonts w:ascii="Calibri" w:cs="Calibri" w:eastAsia="Calibri" w:hAnsi="Calibri"/>
                <w:b w:val="false"/>
                <w:bCs w:val="false"/>
                <w:color w:val="333333"/>
                <w:sz w:val="18"/>
                <w:szCs w:val="18"/>
              </w:rPr>
              <w:t xml:space="preserve">         | [Resilience4j | [Resilience4j   | (Outbox Table)  | (Kafka Event</w:t>
            </w:r>
          </w:p>
          <w:p>
            <w:pPr>
              <w:spacing w:after="100" w:before="100" w:line="276"/>
              <w:jc w:val="left"/>
            </w:pPr>
            <w:r>
              <w:rPr>
                <w:rFonts w:ascii="Calibri" w:cs="Calibri" w:eastAsia="Calibri" w:hAnsi="Calibri"/>
                <w:b w:val="false"/>
                <w:bCs w:val="false"/>
                <w:color w:val="333333"/>
                <w:sz w:val="18"/>
                <w:szCs w:val="18"/>
              </w:rPr>
              <w:t xml:space="preserve">         |   gRPC CB]    |   Database CB]  |                 |  Consumer)</w:t>
            </w:r>
          </w:p>
          <w:p>
            <w:pPr>
              <w:spacing w:after="100" w:before="100" w:line="276"/>
              <w:jc w:val="left"/>
            </w:pPr>
            <w:r>
              <w:rPr>
                <w:rFonts w:ascii="Calibri" w:cs="Calibri" w:eastAsia="Calibri" w:hAnsi="Calibri"/>
                <w:b w:val="false"/>
                <w:bCs w:val="false"/>
                <w:color w:val="333333"/>
                <w:sz w:val="18"/>
                <w:szCs w:val="18"/>
              </w:rPr>
              <w:t xml:space="preserve">         +---&gt; UserSvc   v                 v                 |</w:t>
            </w:r>
          </w:p>
          <w:p>
            <w:pPr>
              <w:spacing w:after="100" w:before="100" w:line="276"/>
              <w:jc w:val="left"/>
            </w:pPr>
            <w:r>
              <w:rPr>
                <w:rFonts w:ascii="Calibri" w:cs="Calibri" w:eastAsia="Calibri" w:hAnsi="Calibri"/>
                <w:b w:val="false"/>
                <w:bCs w:val="false"/>
                <w:color w:val="333333"/>
                <w:sz w:val="18"/>
                <w:szCs w:val="18"/>
              </w:rPr>
              <w:t xml:space="preserve">                      [user_db]      +-----+------+          |</w:t>
            </w:r>
          </w:p>
          <w:p>
            <w:pPr>
              <w:spacing w:after="100" w:before="100" w:line="276"/>
              <w:jc w:val="left"/>
            </w:pPr>
            <w:r>
              <w:rPr>
                <w:rFonts w:ascii="Calibri" w:cs="Calibri" w:eastAsia="Calibri" w:hAnsi="Calibri"/>
                <w:b w:val="false"/>
                <w:bCs w:val="false"/>
                <w:color w:val="333333"/>
                <w:sz w:val="18"/>
                <w:szCs w:val="18"/>
              </w:rPr>
              <w:t xml:space="preserve">                                     | Policy DB  |          |</w:t>
            </w:r>
          </w:p>
          <w:p>
            <w:pPr>
              <w:spacing w:after="100" w:before="100" w:line="276"/>
              <w:jc w:val="left"/>
            </w:pPr>
            <w:r>
              <w:rPr>
                <w:rFonts w:ascii="Calibri" w:cs="Calibri" w:eastAsia="Calibri" w:hAnsi="Calibri"/>
                <w:b w:val="false"/>
                <w:bCs w:val="false"/>
                <w:color w:val="333333"/>
                <w:sz w:val="18"/>
                <w:szCs w:val="18"/>
              </w:rPr>
              <w:t xml:space="preserve">                                     |  Transaction          |</w:t>
            </w:r>
          </w:p>
          <w:p>
            <w:pPr>
              <w:spacing w:after="100" w:before="100" w:line="276"/>
              <w:jc w:val="left"/>
            </w:pPr>
            <w:r>
              <w:rPr>
                <w:rFonts w:ascii="Calibri" w:cs="Calibri" w:eastAsia="Calibri" w:hAnsi="Calibri"/>
                <w:b w:val="false"/>
                <w:bCs w:val="false"/>
                <w:color w:val="333333"/>
                <w:sz w:val="18"/>
                <w:szCs w:val="18"/>
              </w:rPr>
              <w:t xml:space="preserve">                                     +-----+------+          |</w:t>
            </w:r>
          </w:p>
          <w:p>
            <w:pPr>
              <w:spacing w:after="100" w:before="100" w:line="276"/>
              <w:jc w:val="left"/>
            </w:pPr>
            <w:r>
              <w:rPr>
                <w:rFonts w:ascii="Calibri" w:cs="Calibri" w:eastAsia="Calibri" w:hAnsi="Calibri"/>
                <w:b w:val="false"/>
                <w:bCs w:val="false"/>
                <w:color w:val="333333"/>
                <w:sz w:val="18"/>
                <w:szCs w:val="18"/>
              </w:rPr>
              <w:t xml:space="preserve">                                           |                 |</w:t>
            </w:r>
          </w:p>
          <w:p>
            <w:pPr>
              <w:spacing w:after="100" w:before="100" w:line="276"/>
              <w:jc w:val="left"/>
            </w:pPr>
            <w:r>
              <w:rPr>
                <w:rFonts w:ascii="Calibri" w:cs="Calibri" w:eastAsia="Calibri" w:hAnsi="Calibri"/>
                <w:b w:val="false"/>
                <w:bCs w:val="false"/>
                <w:color w:val="333333"/>
                <w:sz w:val="18"/>
                <w:szCs w:val="18"/>
              </w:rPr>
              <w:t xml:space="preserve">                                           | (Post-Commit /  |</w:t>
            </w:r>
          </w:p>
          <w:p>
            <w:pPr>
              <w:spacing w:after="100" w:before="100" w:line="276"/>
              <w:jc w:val="left"/>
            </w:pPr>
            <w:r>
              <w:rPr>
                <w:rFonts w:ascii="Calibri" w:cs="Calibri" w:eastAsia="Calibri" w:hAnsi="Calibri"/>
                <w:b w:val="false"/>
                <w:bCs w:val="false"/>
                <w:color w:val="333333"/>
                <w:sz w:val="18"/>
                <w:szCs w:val="18"/>
              </w:rPr>
              <w:t xml:space="preserve">                                           |  Scheduled poll)|</w:t>
            </w:r>
          </w:p>
          <w:p>
            <w:pPr>
              <w:spacing w:after="100" w:before="100" w:line="276"/>
              <w:jc w:val="left"/>
            </w:pPr>
            <w:r>
              <w:rPr>
                <w:rFonts w:ascii="Calibri" w:cs="Calibri" w:eastAsia="Calibri" w:hAnsi="Calibri"/>
                <w:b w:val="false"/>
                <w:bCs w:val="false"/>
                <w:color w:val="333333"/>
                <w:sz w:val="18"/>
                <w:szCs w:val="18"/>
              </w:rPr>
              <w:t xml:space="preserve">                                           v                 |</w:t>
            </w:r>
          </w:p>
          <w:p>
            <w:pPr>
              <w:spacing w:after="100" w:before="100" w:line="276"/>
              <w:jc w:val="left"/>
            </w:pPr>
            <w:r>
              <w:rPr>
                <w:rFonts w:ascii="Calibri" w:cs="Calibri" w:eastAsia="Calibri" w:hAnsi="Calibri"/>
                <w:b w:val="false"/>
                <w:bCs w:val="false"/>
                <w:color w:val="333333"/>
                <w:sz w:val="18"/>
                <w:szCs w:val="18"/>
              </w:rPr>
              <w:t xml:space="preserve">                                     [Resilient    ]---------+</w:t>
            </w:r>
          </w:p>
          <w:p>
            <w:pPr>
              <w:spacing w:after="100" w:before="100" w:line="276"/>
              <w:jc w:val="left"/>
            </w:pPr>
            <w:r>
              <w:rPr>
                <w:rFonts w:ascii="Calibri" w:cs="Calibri" w:eastAsia="Calibri" w:hAnsi="Calibri"/>
                <w:b w:val="false"/>
                <w:bCs w:val="false"/>
                <w:color w:val="333333"/>
                <w:sz w:val="18"/>
                <w:szCs w:val="18"/>
              </w:rPr>
              <w:t xml:space="preserve">                                     [Kafka Sender ] (Resilience4j CB)</w:t>
            </w:r>
          </w:p>
          <w:p>
            <w:pPr>
              <w:spacing w:after="100" w:before="100" w:line="276"/>
              <w:jc w:val="left"/>
            </w:pPr>
            <w:r>
              <w:rPr>
                <w:rFonts w:ascii="Calibri" w:cs="Calibri" w:eastAsia="Calibri" w:hAnsi="Calibri"/>
                <w:b w:val="false"/>
                <w:bCs w:val="false"/>
                <w:color w:val="333333"/>
                <w:sz w:val="18"/>
                <w:szCs w:val="18"/>
              </w:rPr>
              <w:t xml:space="preserve">                                     +-------------+</w:t>
            </w:r>
          </w:p>
          <w:p>
            <w:pPr>
              <w:spacing w:after="100" w:before="100" w:line="276"/>
              <w:jc w:val="left"/>
            </w:pPr>
            <w:r>
              <w:rPr>
                <w:rFonts w:ascii="Calibri" w:cs="Calibri" w:eastAsia="Calibri" w:hAnsi="Calibri"/>
                <w:b w:val="false"/>
                <w:bCs w:val="false"/>
                <w:color w:val="333333"/>
                <w:sz w:val="18"/>
                <w:szCs w:val="18"/>
              </w:rPr>
              <w:t xml:space="preserve">                                           | (Retries -&gt; DLQ)</w:t>
            </w:r>
          </w:p>
          <w:p>
            <w:pPr>
              <w:spacing w:after="100" w:before="100" w:line="276"/>
              <w:jc w:val="left"/>
            </w:pPr>
            <w:r>
              <w:rPr>
                <w:rFonts w:ascii="Calibri" w:cs="Calibri" w:eastAsia="Calibri" w:hAnsi="Calibri"/>
                <w:b w:val="false"/>
                <w:bCs w:val="false"/>
                <w:color w:val="333333"/>
                <w:sz w:val="18"/>
                <w:szCs w:val="18"/>
              </w:rPr>
              <w:t xml:space="preserve">                                           v</w:t>
            </w:r>
          </w:p>
          <w:p>
            <w:pPr>
              <w:spacing w:after="100" w:before="100" w:line="276"/>
              <w:jc w:val="left"/>
            </w:pPr>
            <w:r>
              <w:rPr>
                <w:rFonts w:ascii="Calibri" w:cs="Calibri" w:eastAsia="Calibri" w:hAnsi="Calibri"/>
                <w:b w:val="false"/>
                <w:bCs w:val="false"/>
                <w:color w:val="333333"/>
                <w:sz w:val="18"/>
                <w:szCs w:val="18"/>
              </w:rPr>
              <w:t xml:space="preserve">                                    [Kafka Broker]</w:t>
            </w:r>
          </w:p>
        </w:tc>
      </w:tr>
    </w:tbl>
    <w:p>
      <w:r>
        <w:br w:type="page"/>
      </w:r>
    </w:p>
    <w:p>
      <w:pPr>
        <w:pStyle w:val="Heading1"/>
        <w:spacing w:after="120" w:before="240"/>
      </w:pPr>
      <w:r>
        <w:rPr>
          <w:rFonts w:ascii="Calibri" w:cs="Calibri" w:eastAsia="Calibri" w:hAnsi="Calibri"/>
          <w:b/>
          <w:bCs/>
          <w:color w:val="1B365D"/>
          <w:sz w:val="32"/>
          <w:szCs w:val="32"/>
        </w:rPr>
        <w:t xml:space="preserve">2. API Gateway Design</w:t>
      </w:r>
    </w:p>
    <w:p>
      <w:pPr>
        <w:spacing w:after="100" w:before="100" w:line="276"/>
        <w:jc w:val="left"/>
      </w:pPr>
      <w:r>
        <w:rPr>
          <w:rFonts w:ascii="Calibri" w:cs="Calibri" w:eastAsia="Calibri" w:hAnsi="Calibri"/>
          <w:b w:val="false"/>
          <w:bCs w:val="false"/>
          <w:color w:val="333333"/>
          <w:sz w:val="22"/>
          <w:szCs w:val="22"/>
        </w:rPr>
        <w:t xml:space="preserve">The API Gateway acts as the secure, resilient, single-entry proxy for external consumers. It is implemented using Spring Cloud Gateway and provides three major core features: Routing, Redis-based Rate Limiting, and Resilience4j-based Circuit Breaking.</w:t>
      </w:r>
    </w:p>
    <w:p>
      <w:pPr>
        <w:pStyle w:val="Heading2"/>
        <w:spacing w:after="80" w:before="180"/>
      </w:pPr>
      <w:r>
        <w:rPr>
          <w:rFonts w:ascii="Calibri" w:cs="Calibri" w:eastAsia="Calibri" w:hAnsi="Calibri"/>
          <w:b/>
          <w:bCs/>
          <w:color w:val="4A607A"/>
          <w:sz w:val="26"/>
          <w:szCs w:val="26"/>
        </w:rPr>
        <w:t xml:space="preserve">2.1 Route Aggregation and Downstream Dispatching</w:t>
      </w:r>
    </w:p>
    <w:p>
      <w:pPr>
        <w:spacing w:after="100" w:before="100" w:line="276"/>
        <w:jc w:val="left"/>
      </w:pPr>
      <w:r>
        <w:rPr>
          <w:rFonts w:ascii="Calibri" w:cs="Calibri" w:eastAsia="Calibri" w:hAnsi="Calibri"/>
          <w:b w:val="false"/>
          <w:bCs w:val="false"/>
          <w:color w:val="333333"/>
          <w:sz w:val="22"/>
          <w:szCs w:val="22"/>
        </w:rPr>
        <w:t xml:space="preserve">The gateway dynamically routes HTTP traffic based on path predicates to services registered in the Eureka service registry. By utilizing service IDs (`lb://auth-service`, `lb://governance-service`, `lb://audit-service`), the gateway automatically performs client-side load balancing via Spring Cloud LoadBalancer across available service instances.</w:t>
      </w:r>
    </w:p>
    <w:p>
      <w:pPr>
        <w:pStyle w:val="Heading2"/>
        <w:spacing w:after="80" w:before="180"/>
      </w:pPr>
      <w:r>
        <w:rPr>
          <w:rFonts w:ascii="Calibri" w:cs="Calibri" w:eastAsia="Calibri" w:hAnsi="Calibri"/>
          <w:b/>
          <w:bCs/>
          <w:color w:val="4A607A"/>
          <w:sz w:val="26"/>
          <w:szCs w:val="26"/>
        </w:rPr>
        <w:t xml:space="preserve">2.2 Redis Token-Bucket Rate Limiter</w:t>
      </w:r>
    </w:p>
    <w:p>
      <w:pPr>
        <w:spacing w:after="100" w:before="100" w:line="276"/>
        <w:jc w:val="left"/>
      </w:pPr>
      <w:r>
        <w:rPr>
          <w:rFonts w:ascii="Calibri" w:cs="Calibri" w:eastAsia="Calibri" w:hAnsi="Calibri"/>
          <w:b w:val="false"/>
          <w:bCs w:val="false"/>
          <w:color w:val="333333"/>
          <w:sz w:val="22"/>
          <w:szCs w:val="22"/>
        </w:rPr>
        <w:t xml:space="preserve">To prevent denial-of-service (DoS) attacks and API abuse, the Gateway integrates a Redis-backed RequestRateLimiter filter factory on critical API routes. The rate limiter operates on the token bucket algorithm:</w:t>
      </w:r>
    </w:p>
    <w:p>
      <w:pPr>
        <w:pStyle w:val="ListParagraph"/>
        <w:numPr>
          <w:ilvl w:val="0"/>
          <w:numId w:val="1"/>
        </w:numPr>
        <w:spacing w:after="100" w:before="100" w:line="276"/>
        <w:jc w:val="left"/>
      </w:pPr>
      <w:r>
        <w:rPr>
          <w:rFonts w:ascii="Calibri" w:cs="Calibri" w:eastAsia="Calibri" w:hAnsi="Calibri"/>
          <w:b w:val="false"/>
          <w:bCs w:val="false"/>
          <w:color w:val="333333"/>
          <w:sz w:val="22"/>
          <w:szCs w:val="22"/>
        </w:rPr>
        <w:t xml:space="preserve">IP Key Resolver: A custom key-resolver resolves the incoming request's client IP address to isolate rate limits per user. If the IP address cannot be resolved, a default 'fallback' key is returned, ensuring the gateway remains operational under edge network configurations.</w:t>
      </w:r>
    </w:p>
    <w:p>
      <w:pPr>
        <w:pStyle w:val="ListParagraph"/>
        <w:numPr>
          <w:ilvl w:val="0"/>
          <w:numId w:val="1"/>
        </w:numPr>
        <w:spacing w:after="100" w:before="100" w:line="276"/>
        <w:jc w:val="left"/>
      </w:pPr>
      <w:r>
        <w:rPr>
          <w:rFonts w:ascii="Calibri" w:cs="Calibri" w:eastAsia="Calibri" w:hAnsi="Calibri"/>
          <w:b w:val="false"/>
          <w:bCs w:val="false"/>
          <w:color w:val="333333"/>
          <w:sz w:val="22"/>
          <w:szCs w:val="22"/>
        </w:rPr>
        <w:t xml:space="preserve">Replenish Rate: The speed at which tokens are added back to the bucket (e.g. 5 tokens per second for authentication, 20 tokens per second for policy operations). This determines the steady-state throughput.</w:t>
      </w:r>
    </w:p>
    <w:p>
      <w:pPr>
        <w:pStyle w:val="ListParagraph"/>
        <w:numPr>
          <w:ilvl w:val="0"/>
          <w:numId w:val="1"/>
        </w:numPr>
        <w:spacing w:after="100" w:before="100" w:line="276"/>
        <w:jc w:val="left"/>
      </w:pPr>
      <w:r>
        <w:rPr>
          <w:rFonts w:ascii="Calibri" w:cs="Calibri" w:eastAsia="Calibri" w:hAnsi="Calibri"/>
          <w:b w:val="false"/>
          <w:bCs w:val="false"/>
          <w:color w:val="333333"/>
          <w:sz w:val="22"/>
          <w:szCs w:val="22"/>
        </w:rPr>
        <w:t xml:space="preserve">Burst Capacity: The maximum capacity of the bucket (e.g. 10 tokens for auth, 40 tokens for policy), which allows clients to execute burst requests for rendering resource-intensive dashboards without getting blocked.</w:t>
      </w:r>
    </w:p>
    <w:p>
      <w:pPr>
        <w:pStyle w:val="Heading2"/>
        <w:spacing w:after="80" w:before="180"/>
      </w:pPr>
      <w:r>
        <w:rPr>
          <w:rFonts w:ascii="Calibri" w:cs="Calibri" w:eastAsia="Calibri" w:hAnsi="Calibri"/>
          <w:b/>
          <w:bCs/>
          <w:color w:val="4A607A"/>
          <w:sz w:val="26"/>
          <w:szCs w:val="26"/>
        </w:rPr>
        <w:t xml:space="preserve">2.3 Resilience4j Route Level Circuit Breakers &amp; Fallback Mechanisms</w:t>
      </w:r>
    </w:p>
    <w:p>
      <w:pPr>
        <w:spacing w:after="100" w:before="100" w:line="276"/>
        <w:jc w:val="left"/>
      </w:pPr>
      <w:r>
        <w:rPr>
          <w:rFonts w:ascii="Calibri" w:cs="Calibri" w:eastAsia="Calibri" w:hAnsi="Calibri"/>
          <w:b w:val="false"/>
          <w:bCs w:val="false"/>
          <w:color w:val="333333"/>
          <w:sz w:val="22"/>
          <w:szCs w:val="22"/>
        </w:rPr>
        <w:t xml:space="preserve">Every dynamic microservice route is wrapped in a Spring Cloud Gateway `CircuitBreaker` filter factory configured with Resilience4j properties. The configuration rules are structured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tcBorders>
              <w:top w:val="single" w:color="D0D7DE" w:sz="4"/>
              <w:left w:val="single" w:color="D0D7DE" w:sz="4"/>
              <w:bottom w:val="single" w:color="D0D7DE" w:sz="4"/>
              <w:right w:val="single" w:color="D0D7DE" w:sz="4"/>
            </w:tcBorders>
            <w:shd w:fill="1B365D"/>
            <w:vAlign w:val="center"/>
          </w:tcPr>
          <w:p>
            <w:pPr>
              <w:spacing w:after="100" w:before="100" w:line="276"/>
              <w:jc w:val="left"/>
            </w:pPr>
            <w:r>
              <w:rPr>
                <w:rFonts w:ascii="Calibri" w:cs="Calibri" w:eastAsia="Calibri" w:hAnsi="Calibri"/>
                <w:b/>
                <w:bCs/>
                <w:color w:val="FFFFFF"/>
                <w:sz w:val="22"/>
                <w:szCs w:val="22"/>
              </w:rPr>
              <w:t xml:space="preserve">Configuration Metric</w:t>
            </w:r>
          </w:p>
        </w:tc>
        <w:tc>
          <w:tcPr>
            <w:tcW w:type="pct" w:w="20%"/>
            <w:tcBorders>
              <w:top w:val="single" w:color="D0D7DE" w:sz="4"/>
              <w:left w:val="single" w:color="D0D7DE" w:sz="4"/>
              <w:bottom w:val="single" w:color="D0D7DE" w:sz="4"/>
              <w:right w:val="single" w:color="D0D7DE" w:sz="4"/>
            </w:tcBorders>
            <w:shd w:fill="1B365D"/>
            <w:vAlign w:val="center"/>
          </w:tcPr>
          <w:p>
            <w:pPr>
              <w:spacing w:after="100" w:before="100" w:line="276"/>
              <w:jc w:val="left"/>
            </w:pPr>
            <w:r>
              <w:rPr>
                <w:rFonts w:ascii="Calibri" w:cs="Calibri" w:eastAsia="Calibri" w:hAnsi="Calibri"/>
                <w:b/>
                <w:bCs/>
                <w:color w:val="FFFFFF"/>
                <w:sz w:val="22"/>
                <w:szCs w:val="22"/>
              </w:rPr>
              <w:t xml:space="preserve">Value</w:t>
            </w:r>
          </w:p>
        </w:tc>
        <w:tc>
          <w:tcPr>
            <w:tcW w:type="pct" w:w="45%"/>
            <w:tcBorders>
              <w:top w:val="single" w:color="D0D7DE" w:sz="4"/>
              <w:left w:val="single" w:color="D0D7DE" w:sz="4"/>
              <w:bottom w:val="single" w:color="D0D7DE" w:sz="4"/>
              <w:right w:val="single" w:color="D0D7DE" w:sz="4"/>
            </w:tcBorders>
            <w:shd w:fill="1B365D"/>
            <w:vAlign w:val="center"/>
          </w:tcPr>
          <w:p>
            <w:pPr>
              <w:spacing w:after="100" w:before="100" w:line="276"/>
              <w:jc w:val="left"/>
            </w:pPr>
            <w:r>
              <w:rPr>
                <w:rFonts w:ascii="Calibri" w:cs="Calibri" w:eastAsia="Calibri" w:hAnsi="Calibri"/>
                <w:b/>
                <w:bCs/>
                <w:color w:val="FFFFFF"/>
                <w:sz w:val="22"/>
                <w:szCs w:val="22"/>
              </w:rPr>
              <w:t xml:space="preserve">Architectural Rationale</w:t>
            </w:r>
          </w:p>
        </w:tc>
      </w:tr>
      <w:tr>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bCs/>
                <w:color w:val="333333"/>
                <w:sz w:val="22"/>
                <w:szCs w:val="22"/>
              </w:rPr>
              <w:t xml:space="preserve">sliding-window-size</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10</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The circuit breaker monitors the last 10 requests to evaluate state transitions.</w:t>
            </w:r>
          </w:p>
        </w:tc>
      </w:tr>
      <w:tr>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bCs/>
                <w:color w:val="333333"/>
                <w:sz w:val="22"/>
                <w:szCs w:val="22"/>
              </w:rPr>
              <w:t xml:space="preserve">minimum-number-of-calls</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5</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Minimum requests required in the sliding window before the circuit breaker can calculate the failure rate.</w:t>
            </w:r>
          </w:p>
        </w:tc>
      </w:tr>
      <w:tr>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bCs/>
                <w:color w:val="333333"/>
                <w:sz w:val="22"/>
                <w:szCs w:val="22"/>
              </w:rPr>
              <w:t xml:space="preserve">failure-rate-threshold</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50%</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If 50% or more of monitored calls fail or time out, the circuit breaker transitions from CLOSED to OPEN state.</w:t>
            </w:r>
          </w:p>
        </w:tc>
      </w:tr>
      <w:tr>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bCs/>
                <w:color w:val="333333"/>
                <w:sz w:val="22"/>
                <w:szCs w:val="22"/>
              </w:rPr>
              <w:t xml:space="preserve">wait-duration-in-open-state</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10 seconds</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The duration the circuit breaker remains OPEN, rejecting requests immediately before transitioning to HALF_OPEN.</w:t>
            </w:r>
          </w:p>
        </w:tc>
      </w:tr>
      <w:tr>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bCs/>
                <w:color w:val="333333"/>
                <w:sz w:val="22"/>
                <w:szCs w:val="22"/>
              </w:rPr>
              <w:t xml:space="preserve">permitted-calls-in-half-open</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3</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Number of trial calls allowed in HALF_OPEN state to determine if the downstream service has recovered.</w:t>
            </w:r>
          </w:p>
        </w:tc>
      </w:tr>
    </w:tbl>
    <w:p>
      <w:pPr>
        <w:spacing w:after="100" w:before="100" w:line="276"/>
        <w:jc w:val="left"/>
      </w:pPr>
      <w:r>
        <w:rPr>
          <w:rFonts w:ascii="Calibri" w:cs="Calibri" w:eastAsia="Calibri" w:hAnsi="Calibri"/>
          <w:b w:val="false"/>
          <w:bCs w:val="false"/>
          <w:color w:val="333333"/>
          <w:sz w:val="22"/>
          <w:szCs w:val="22"/>
        </w:rPr>
        <w:t xml:space="preserve"/>
      </w:r>
    </w:p>
    <w:p>
      <w:pPr>
        <w:spacing w:after="100" w:before="100" w:line="276"/>
        <w:jc w:val="left"/>
      </w:pPr>
      <w:r>
        <w:rPr>
          <w:rFonts w:ascii="Calibri" w:cs="Calibri" w:eastAsia="Calibri" w:hAnsi="Calibri"/>
          <w:b w:val="false"/>
          <w:bCs w:val="false"/>
          <w:color w:val="333333"/>
          <w:sz w:val="22"/>
          <w:szCs w:val="22"/>
        </w:rPr>
        <w:t xml:space="preserve">Fallback Controller: When a route's circuit breaker trips open (or a request times out), the filter forwards the request to an internal gateway URI (e.g. forward:/fallback/auth or forward:/fallback/governance). The FallbackController returns an instant, graceful response (e.g., HTTP 503 Service Unavailable with a user-friendly JSON message detailing which service is degraded) to avoid client timeouts.</w:t>
      </w:r>
    </w:p>
    <w:p>
      <w:r>
        <w:br w:type="page"/>
      </w:r>
    </w:p>
    <w:p>
      <w:pPr>
        <w:pStyle w:val="Heading1"/>
        <w:spacing w:after="120" w:before="240"/>
      </w:pPr>
      <w:r>
        <w:rPr>
          <w:rFonts w:ascii="Calibri" w:cs="Calibri" w:eastAsia="Calibri" w:hAnsi="Calibri"/>
          <w:b/>
          <w:bCs/>
          <w:color w:val="1B365D"/>
          <w:sz w:val="32"/>
          <w:szCs w:val="32"/>
        </w:rPr>
        <w:t xml:space="preserve">3. Communication Protocols: gRPC vs. REST</w:t>
      </w:r>
    </w:p>
    <w:p>
      <w:pPr>
        <w:spacing w:after="100" w:before="100" w:line="276"/>
        <w:jc w:val="left"/>
      </w:pPr>
      <w:r>
        <w:rPr>
          <w:rFonts w:ascii="Calibri" w:cs="Calibri" w:eastAsia="Calibri" w:hAnsi="Calibri"/>
          <w:b w:val="false"/>
          <w:bCs w:val="false"/>
          <w:color w:val="333333"/>
          <w:sz w:val="22"/>
          <w:szCs w:val="22"/>
        </w:rPr>
        <w:t xml:space="preserve">In microservice architectures, choosing the correct communication protocol is vital to balance performance, coupling, and developer productivity. This project utilizes both REST and gRPC.</w:t>
      </w:r>
    </w:p>
    <w:p>
      <w:pPr>
        <w:pStyle w:val="Heading2"/>
        <w:spacing w:after="80" w:before="180"/>
      </w:pPr>
      <w:r>
        <w:rPr>
          <w:rFonts w:ascii="Calibri" w:cs="Calibri" w:eastAsia="Calibri" w:hAnsi="Calibri"/>
          <w:b/>
          <w:bCs/>
          <w:color w:val="4A607A"/>
          <w:sz w:val="26"/>
          <w:szCs w:val="26"/>
        </w:rPr>
        <w:t xml:space="preserve">3.1 Architectural Comparison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D0D7DE" w:sz="4"/>
              <w:left w:val="single" w:color="D0D7DE" w:sz="4"/>
              <w:bottom w:val="single" w:color="D0D7DE" w:sz="4"/>
              <w:right w:val="single" w:color="D0D7DE" w:sz="4"/>
            </w:tcBorders>
            <w:shd w:fill="1B365D"/>
            <w:vAlign w:val="center"/>
          </w:tcPr>
          <w:p>
            <w:pPr>
              <w:spacing w:after="100" w:before="100" w:line="276"/>
              <w:jc w:val="left"/>
            </w:pPr>
            <w:r>
              <w:rPr>
                <w:rFonts w:ascii="Calibri" w:cs="Calibri" w:eastAsia="Calibri" w:hAnsi="Calibri"/>
                <w:b/>
                <w:bCs/>
                <w:color w:val="FFFFFF"/>
                <w:sz w:val="22"/>
                <w:szCs w:val="22"/>
              </w:rPr>
              <w:t xml:space="preserve">Feature</w:t>
            </w:r>
          </w:p>
        </w:tc>
        <w:tc>
          <w:tcPr>
            <w:tcW w:type="pct" w:w="42%"/>
            <w:tcBorders>
              <w:top w:val="single" w:color="D0D7DE" w:sz="4"/>
              <w:left w:val="single" w:color="D0D7DE" w:sz="4"/>
              <w:bottom w:val="single" w:color="D0D7DE" w:sz="4"/>
              <w:right w:val="single" w:color="D0D7DE" w:sz="4"/>
            </w:tcBorders>
            <w:shd w:fill="1B365D"/>
            <w:vAlign w:val="center"/>
          </w:tcPr>
          <w:p>
            <w:pPr>
              <w:spacing w:after="100" w:before="100" w:line="276"/>
              <w:jc w:val="left"/>
            </w:pPr>
            <w:r>
              <w:rPr>
                <w:rFonts w:ascii="Calibri" w:cs="Calibri" w:eastAsia="Calibri" w:hAnsi="Calibri"/>
                <w:b/>
                <w:bCs/>
                <w:color w:val="FFFFFF"/>
                <w:sz w:val="22"/>
                <w:szCs w:val="22"/>
              </w:rPr>
              <w:t xml:space="preserve">REST (Representational State Transfer)</w:t>
            </w:r>
          </w:p>
        </w:tc>
        <w:tc>
          <w:tcPr>
            <w:tcW w:type="pct" w:w="43%"/>
            <w:tcBorders>
              <w:top w:val="single" w:color="D0D7DE" w:sz="4"/>
              <w:left w:val="single" w:color="D0D7DE" w:sz="4"/>
              <w:bottom w:val="single" w:color="D0D7DE" w:sz="4"/>
              <w:right w:val="single" w:color="D0D7DE" w:sz="4"/>
            </w:tcBorders>
            <w:shd w:fill="1B365D"/>
            <w:vAlign w:val="center"/>
          </w:tcPr>
          <w:p>
            <w:pPr>
              <w:spacing w:after="100" w:before="100" w:line="276"/>
              <w:jc w:val="left"/>
            </w:pPr>
            <w:r>
              <w:rPr>
                <w:rFonts w:ascii="Calibri" w:cs="Calibri" w:eastAsia="Calibri" w:hAnsi="Calibri"/>
                <w:b/>
                <w:bCs/>
                <w:color w:val="FFFFFF"/>
                <w:sz w:val="22"/>
                <w:szCs w:val="22"/>
              </w:rPr>
              <w:t xml:space="preserve">gRPC (Google Remote Procedure Call)</w:t>
            </w:r>
          </w:p>
        </w:tc>
      </w:tr>
      <w:tr>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bCs/>
                <w:color w:val="333333"/>
                <w:sz w:val="22"/>
                <w:szCs w:val="22"/>
              </w:rPr>
              <w:t xml:space="preserve">Protocol</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HTTP/1.1 (primarily), synchronous request-response model.</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HTTP/2 (strictly), supports full multiplexing and streaming.</w:t>
            </w:r>
          </w:p>
        </w:tc>
      </w:tr>
      <w:tr>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bCs/>
                <w:color w:val="333333"/>
                <w:sz w:val="22"/>
                <w:szCs w:val="22"/>
              </w:rPr>
              <w:t xml:space="preserve">Payload</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Human-readable JSON or XML (textual format, larger payload size).</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Protocol Buffers (binary format, highly compressed, fast parsing).</w:t>
            </w:r>
          </w:p>
        </w:tc>
      </w:tr>
      <w:tr>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bCs/>
                <w:color w:val="333333"/>
                <w:sz w:val="22"/>
                <w:szCs w:val="22"/>
              </w:rPr>
              <w:t xml:space="preserve">Streaming</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Limited to server-sent events (SSE) or WebSockets.</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Native support for client-side, server-side, and bidirectional streaming.</w:t>
            </w:r>
          </w:p>
        </w:tc>
      </w:tr>
      <w:tr>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bCs/>
                <w:color w:val="333333"/>
                <w:sz w:val="22"/>
                <w:szCs w:val="22"/>
              </w:rPr>
              <w:t xml:space="preserve">Contract</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Optional contract (OpenAPI/Swagger). Changes can cause runtime failures.</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Strict contract defined in .proto file. Direct compilation/code-gen.</w:t>
            </w:r>
          </w:p>
        </w:tc>
      </w:tr>
      <w:tr>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bCs/>
                <w:color w:val="333333"/>
                <w:sz w:val="22"/>
                <w:szCs w:val="22"/>
              </w:rPr>
              <w:t xml:space="preserve">Browser Support</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Universal native browser support.</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Requires gRPC-Web proxy (not natively supported by standard browsers).</w:t>
            </w:r>
          </w:p>
        </w:tc>
      </w:tr>
      <w:tr>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bCs/>
                <w:color w:val="333333"/>
                <w:sz w:val="22"/>
                <w:szCs w:val="22"/>
              </w:rPr>
              <w:t xml:space="preserve">Best Use Case</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Public-facing APIs, Web UI integrations, edge routing.</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High-throughput, low-latency, internal service-to-service communication.</w:t>
            </w:r>
          </w:p>
        </w:tc>
      </w:tr>
    </w:tbl>
    <w:p>
      <w:pPr>
        <w:spacing w:after="100" w:before="100" w:line="276"/>
        <w:jc w:val="left"/>
      </w:pPr>
      <w:r>
        <w:rPr>
          <w:rFonts w:ascii="Calibri" w:cs="Calibri" w:eastAsia="Calibri" w:hAnsi="Calibri"/>
          <w:b w:val="false"/>
          <w:bCs w:val="false"/>
          <w:color w:val="333333"/>
          <w:sz w:val="22"/>
          <w:szCs w:val="22"/>
        </w:rPr>
        <w:t xml:space="preserve"/>
      </w:r>
    </w:p>
    <w:p>
      <w:pPr>
        <w:pStyle w:val="Heading2"/>
        <w:spacing w:after="80" w:before="180"/>
      </w:pPr>
      <w:r>
        <w:rPr>
          <w:rFonts w:ascii="Calibri" w:cs="Calibri" w:eastAsia="Calibri" w:hAnsi="Calibri"/>
          <w:b/>
          <w:bCs/>
          <w:color w:val="4A607A"/>
          <w:sz w:val="26"/>
          <w:szCs w:val="26"/>
        </w:rPr>
        <w:t xml:space="preserve">3.2 Application in This System</w:t>
      </w:r>
    </w:p>
    <w:p>
      <w:pPr>
        <w:spacing w:after="100" w:before="100" w:line="276"/>
        <w:jc w:val="left"/>
      </w:pPr>
      <w:r>
        <w:rPr>
          <w:rFonts w:ascii="Calibri" w:cs="Calibri" w:eastAsia="Calibri" w:hAnsi="Calibri"/>
          <w:b w:val="false"/>
          <w:bCs w:val="false"/>
          <w:color w:val="333333"/>
          <w:sz w:val="22"/>
          <w:szCs w:val="22"/>
        </w:rPr>
        <w:t xml:space="preserve">To achieve optimal latency and maintain flexibility, the system divides protocols strictly based on communication boundaries:</w:t>
      </w:r>
    </w:p>
    <w:p>
      <w:pPr>
        <w:pStyle w:val="ListParagraph"/>
        <w:numPr>
          <w:ilvl w:val="0"/>
          <w:numId w:val="1"/>
        </w:numPr>
        <w:spacing w:after="100" w:before="100" w:line="276"/>
        <w:jc w:val="left"/>
      </w:pPr>
      <w:r>
        <w:rPr>
          <w:rFonts w:ascii="Calibri" w:cs="Calibri" w:eastAsia="Calibri" w:hAnsi="Calibri"/>
          <w:b w:val="false"/>
          <w:bCs w:val="false"/>
          <w:color w:val="333333"/>
          <w:sz w:val="22"/>
          <w:szCs w:val="22"/>
        </w:rPr>
        <w:t xml:space="preserve">REST at the Edge: Used for client-to-gateway requests and gateway-to-service routing. This guarantees that web and mobile clients can communicate with the system using standard JSON-based REST APIs, simplifying authentication, security headers, and caching.</w:t>
      </w:r>
    </w:p>
    <w:p>
      <w:pPr>
        <w:pStyle w:val="ListParagraph"/>
        <w:numPr>
          <w:ilvl w:val="0"/>
          <w:numId w:val="1"/>
        </w:numPr>
        <w:spacing w:after="100" w:before="100" w:line="276"/>
        <w:jc w:val="left"/>
      </w:pPr>
      <w:r>
        <w:rPr>
          <w:rFonts w:ascii="Calibri" w:cs="Calibri" w:eastAsia="Calibri" w:hAnsi="Calibri"/>
          <w:b w:val="false"/>
          <w:bCs w:val="false"/>
          <w:color w:val="333333"/>
          <w:sz w:val="22"/>
          <w:szCs w:val="22"/>
        </w:rPr>
        <w:t xml:space="preserve">gRPC for Internal Sync Calls: Used for synchronous communication between Auth_Service (port 8083) and User_Service (gRPC port 9090). When a user registers or logs in, Auth Service makes a unary gRPC call to retrieve or write user records. Using gRPC here removes JSON serialization overhead, enforces schema safety, and leverages HTTP/2 connection reuse for high-frequency queries.</w:t>
      </w:r>
    </w:p>
    <w:p>
      <w:r>
        <w:br w:type="page"/>
      </w:r>
    </w:p>
    <w:p>
      <w:pPr>
        <w:pStyle w:val="Heading1"/>
        <w:spacing w:after="120" w:before="240"/>
      </w:pPr>
      <w:r>
        <w:rPr>
          <w:rFonts w:ascii="Calibri" w:cs="Calibri" w:eastAsia="Calibri" w:hAnsi="Calibri"/>
          <w:b/>
          <w:bCs/>
          <w:color w:val="1B365D"/>
          <w:sz w:val="32"/>
          <w:szCs w:val="32"/>
        </w:rPr>
        <w:t xml:space="preserve">4. Distributed Systems Problem Solving &amp; Reliability Patterns</w:t>
      </w:r>
    </w:p>
    <w:p>
      <w:pPr>
        <w:spacing w:after="100" w:before="100" w:line="276"/>
        <w:jc w:val="left"/>
      </w:pPr>
      <w:r>
        <w:rPr>
          <w:rFonts w:ascii="Calibri" w:cs="Calibri" w:eastAsia="Calibri" w:hAnsi="Calibri"/>
          <w:b w:val="false"/>
          <w:bCs w:val="false"/>
          <w:color w:val="333333"/>
          <w:sz w:val="22"/>
          <w:szCs w:val="22"/>
        </w:rPr>
        <w:t xml:space="preserve">Microservice architectures bring inherent complexity in data consistency. Standard monolithic databases cannot guarantee transactions when operations cross network boundaries. Below, we examine two critical problems and their engineered solutions.</w:t>
      </w:r>
    </w:p>
    <w:p>
      <w:pPr>
        <w:pStyle w:val="Heading2"/>
        <w:spacing w:after="80" w:before="180"/>
      </w:pPr>
      <w:r>
        <w:rPr>
          <w:rFonts w:ascii="Calibri" w:cs="Calibri" w:eastAsia="Calibri" w:hAnsi="Calibri"/>
          <w:b/>
          <w:bCs/>
          <w:color w:val="4A607A"/>
          <w:sz w:val="26"/>
          <w:szCs w:val="26"/>
        </w:rPr>
        <w:t xml:space="preserve">4.1 Problem 1: DB Persistence vs. Event Publishing (The Dual-Write Problem)</w:t>
      </w:r>
    </w:p>
    <w:p>
      <w:pPr>
        <w:spacing w:after="100" w:before="100" w:line="276"/>
        <w:jc w:val="left"/>
      </w:pPr>
      <w:r>
        <w:rPr>
          <w:rFonts w:ascii="Calibri" w:cs="Calibri" w:eastAsia="Calibri" w:hAnsi="Calibri"/>
          <w:b/>
          <w:bCs/>
          <w:color w:val="333333"/>
          <w:sz w:val="22"/>
          <w:szCs w:val="22"/>
        </w:rPr>
        <w:t xml:space="preserve">The Problem Statement:
</w:t>
      </w:r>
      <w:r>
        <w:rPr>
          <w:rFonts w:ascii="Calibri" w:cs="Calibri" w:eastAsia="Calibri" w:hAnsi="Calibri"/>
          <w:b w:val="false"/>
          <w:bCs w:val="false"/>
          <w:color w:val="333333"/>
          <w:sz w:val="22"/>
          <w:szCs w:val="22"/>
        </w:rPr>
        <w:t xml:space="preserve">Consider a business action that requires two steps: (1) Save state data to the local relational database, and (2) Publish an event to an external broker (e.g. Kafka) to notify downstream services. Under normal circumstances, both succeed. However, in distributed systems, network partitions or process crashes are inevitable:
</w:t>
      </w:r>
      <w:r>
        <w:rPr>
          <w:rFonts w:ascii="Calibri" w:cs="Calibri" w:eastAsia="Calibri" w:hAnsi="Calibri"/>
          <w:b/>
          <w:bCs/>
          <w:color w:val="333333"/>
          <w:sz w:val="22"/>
          <w:szCs w:val="22"/>
        </w:rPr>
        <w:t xml:space="preserve">Scenario A (Broker Fails First): </w:t>
      </w:r>
      <w:r>
        <w:rPr>
          <w:rFonts w:ascii="Calibri" w:cs="Calibri" w:eastAsia="Calibri" w:hAnsi="Calibri"/>
          <w:b w:val="false"/>
          <w:bCs w:val="false"/>
          <w:color w:val="333333"/>
          <w:sz w:val="22"/>
          <w:szCs w:val="22"/>
        </w:rPr>
        <w:t xml:space="preserve">If the event broker is down or unreachable during the database transaction, publishing fails. The application throws an exception and rolls back the database transaction. Result: The operation fails, leading to temporary system unavailability.
</w:t>
      </w:r>
      <w:r>
        <w:rPr>
          <w:rFonts w:ascii="Calibri" w:cs="Calibri" w:eastAsia="Calibri" w:hAnsi="Calibri"/>
          <w:b/>
          <w:bCs/>
          <w:color w:val="333333"/>
          <w:sz w:val="22"/>
          <w:szCs w:val="22"/>
        </w:rPr>
        <w:t xml:space="preserve">Scenario B (DB Commits, Broker Fails After): </w:t>
      </w:r>
      <w:r>
        <w:rPr>
          <w:rFonts w:ascii="Calibri" w:cs="Calibri" w:eastAsia="Calibri" w:hAnsi="Calibri"/>
          <w:b w:val="false"/>
          <w:bCs w:val="false"/>
          <w:color w:val="333333"/>
          <w:sz w:val="22"/>
          <w:szCs w:val="22"/>
        </w:rPr>
        <w:t xml:space="preserve">If the database transaction commits successfully, but the application crashes or the network drops before the Kafka message is published, the database has persistent changes, but downstream services are never notified. Result: Inconsistent data states between services (e.g., policy is 'APPROVED' in the Governance DB, but the Audit Service never logs it, violating compliance guidelines).</w:t>
      </w:r>
    </w:p>
    <w:p>
      <w:pPr>
        <w:spacing w:after="100" w:before="100" w:line="276"/>
        <w:jc w:val="left"/>
      </w:pPr>
      <w:r>
        <w:rPr>
          <w:rFonts w:ascii="Calibri" w:cs="Calibri" w:eastAsia="Calibri" w:hAnsi="Calibri"/>
          <w:b/>
          <w:bCs/>
          <w:color w:val="1B365D"/>
          <w:sz w:val="22"/>
          <w:szCs w:val="22"/>
        </w:rPr>
        <w:t xml:space="preserve">The Solution: Transactional Outbox Pattern
</w:t>
      </w:r>
      <w:r>
        <w:rPr>
          <w:rFonts w:ascii="Calibri" w:cs="Calibri" w:eastAsia="Calibri" w:hAnsi="Calibri"/>
          <w:b w:val="false"/>
          <w:bCs w:val="false"/>
          <w:color w:val="333333"/>
          <w:sz w:val="22"/>
          <w:szCs w:val="22"/>
        </w:rPr>
        <w:t xml:space="preserve">To guarantee that database writes and event publishing are atomic, the system implements the Transactional Outbox pattern. Instead of publishing directly to Kafka inside the service logic, the application writes both the business entity and an event log (the Outbox) to the same database using a single SQL transaction. Since both writes are managed by PostgreSQL's ACID transaction, they are guaranteed to either succeed or fail together.</w:t>
      </w:r>
    </w:p>
    <w:p>
      <w:pPr>
        <w:spacing w:after="100" w:before="100" w:line="276"/>
        <w:jc w:val="left"/>
      </w:pPr>
      <w:r>
        <w:rPr>
          <w:rFonts w:ascii="Calibri" w:cs="Calibri" w:eastAsia="Calibri" w:hAnsi="Calibri"/>
          <w:b/>
          <w:bCs/>
          <w:color w:val="333333"/>
          <w:sz w:val="22"/>
          <w:szCs w:val="22"/>
        </w:rPr>
        <w:t xml:space="preserve">Implementation Details in Governance_Service:</w:t>
      </w:r>
    </w:p>
    <w:p>
      <w:pPr>
        <w:pStyle w:val="ListParagraph"/>
        <w:numPr>
          <w:ilvl w:val="0"/>
          <w:numId w:val="1"/>
        </w:numPr>
        <w:spacing w:after="100" w:before="100" w:line="276"/>
        <w:jc w:val="left"/>
      </w:pPr>
      <w:r>
        <w:rPr>
          <w:rFonts w:ascii="Calibri" w:cs="Calibri" w:eastAsia="Calibri" w:hAnsi="Calibri"/>
          <w:b/>
          <w:bCs/>
          <w:color w:val="333333"/>
          <w:sz w:val="22"/>
          <w:szCs w:val="22"/>
        </w:rPr>
        <w:t xml:space="preserve">1. Single ACID Transaction Write: </w:t>
      </w:r>
      <w:r>
        <w:rPr>
          <w:rFonts w:ascii="Calibri" w:cs="Calibri" w:eastAsia="Calibri" w:hAnsi="Calibri"/>
          <w:b w:val="false"/>
          <w:bCs w:val="false"/>
          <w:color w:val="333333"/>
          <w:sz w:val="22"/>
          <w:szCs w:val="22"/>
        </w:rPr>
        <w:t xml:space="preserve">Inside </w:t>
      </w:r>
      <w:r>
        <w:rPr>
          <w:rFonts w:ascii="Calibri" w:cs="Calibri" w:eastAsia="Calibri" w:hAnsi="Calibri"/>
          <w:b/>
          <w:bCs/>
          <w:color w:val="333333"/>
          <w:sz w:val="22"/>
          <w:szCs w:val="22"/>
        </w:rPr>
        <w:t xml:space="preserve">PolicyService.java</w:t>
      </w:r>
      <w:r>
        <w:rPr>
          <w:rFonts w:ascii="Calibri" w:cs="Calibri" w:eastAsia="Calibri" w:hAnsi="Calibri"/>
          <w:b w:val="false"/>
          <w:bCs w:val="false"/>
          <w:color w:val="333333"/>
          <w:sz w:val="22"/>
          <w:szCs w:val="22"/>
        </w:rPr>
        <w:t xml:space="preserve">, methods like </w:t>
      </w:r>
      <w:r>
        <w:rPr>
          <w:rFonts w:ascii="Calibri" w:cs="Calibri" w:eastAsia="Calibri" w:hAnsi="Calibri"/>
          <w:b w:val="false"/>
          <w:bCs w:val="false"/>
          <w:color w:val="333333"/>
          <w:sz w:val="22"/>
          <w:szCs w:val="22"/>
        </w:rPr>
        <w:t xml:space="preserve">createPolicy()</w:t>
      </w:r>
      <w:r>
        <w:rPr>
          <w:rFonts w:ascii="Calibri" w:cs="Calibri" w:eastAsia="Calibri" w:hAnsi="Calibri"/>
          <w:b w:val="false"/>
          <w:bCs w:val="false"/>
          <w:color w:val="333333"/>
          <w:sz w:val="22"/>
          <w:szCs w:val="22"/>
        </w:rPr>
        <w:t xml:space="preserve"> or </w:t>
      </w:r>
      <w:r>
        <w:rPr>
          <w:rFonts w:ascii="Calibri" w:cs="Calibri" w:eastAsia="Calibri" w:hAnsi="Calibri"/>
          <w:b w:val="false"/>
          <w:bCs w:val="false"/>
          <w:color w:val="333333"/>
          <w:sz w:val="22"/>
          <w:szCs w:val="22"/>
        </w:rPr>
        <w:t xml:space="preserve">submitForApproval()</w:t>
      </w:r>
      <w:r>
        <w:rPr>
          <w:rFonts w:ascii="Calibri" w:cs="Calibri" w:eastAsia="Calibri" w:hAnsi="Calibri"/>
          <w:b w:val="false"/>
          <w:bCs w:val="false"/>
          <w:color w:val="333333"/>
          <w:sz w:val="22"/>
          <w:szCs w:val="22"/>
        </w:rPr>
        <w:t xml:space="preserve"> are annotated with JPA's </w:t>
      </w:r>
      <w:r>
        <w:rPr>
          <w:rFonts w:ascii="Calibri" w:cs="Calibri" w:eastAsia="Calibri" w:hAnsi="Calibri"/>
          <w:b/>
          <w:bCs/>
          <w:color w:val="333333"/>
          <w:sz w:val="22"/>
          <w:szCs w:val="22"/>
        </w:rPr>
        <w:t xml:space="preserve">@Transactional</w:t>
      </w:r>
      <w:r>
        <w:rPr>
          <w:rFonts w:ascii="Calibri" w:cs="Calibri" w:eastAsia="Calibri" w:hAnsi="Calibri"/>
          <w:b w:val="false"/>
          <w:bCs w:val="false"/>
          <w:color w:val="333333"/>
          <w:sz w:val="22"/>
          <w:szCs w:val="22"/>
        </w:rPr>
        <w:t xml:space="preserve">. In this method, the policy is persisted to the database and a new </w:t>
      </w:r>
      <w:r>
        <w:rPr>
          <w:rFonts w:ascii="Calibri" w:cs="Calibri" w:eastAsia="Calibri" w:hAnsi="Calibri"/>
          <w:b/>
          <w:bCs/>
          <w:color w:val="333333"/>
          <w:sz w:val="22"/>
          <w:szCs w:val="22"/>
        </w:rPr>
        <w:t xml:space="preserve">OutboxEvent</w:t>
      </w:r>
      <w:r>
        <w:rPr>
          <w:rFonts w:ascii="Calibri" w:cs="Calibri" w:eastAsia="Calibri" w:hAnsi="Calibri"/>
          <w:b w:val="false"/>
          <w:bCs w:val="false"/>
          <w:color w:val="333333"/>
          <w:sz w:val="22"/>
          <w:szCs w:val="22"/>
        </w:rPr>
        <w:t xml:space="preserve"> (containing the serialised event payload, aggregate ID, and topic details) is written to the outbox table. An internal Spring event is published via </w:t>
      </w:r>
      <w:r>
        <w:rPr>
          <w:rFonts w:ascii="Calibri" w:cs="Calibri" w:eastAsia="Calibri" w:hAnsi="Calibri"/>
          <w:b w:val="false"/>
          <w:bCs w:val="false"/>
          <w:color w:val="333333"/>
          <w:sz w:val="22"/>
          <w:szCs w:val="22"/>
        </w:rPr>
        <w:t xml:space="preserve">applicationEventPublisher.publishEvent(new OutboxEventCreated(id))</w:t>
      </w:r>
      <w:r>
        <w:rPr>
          <w:rFonts w:ascii="Calibri" w:cs="Calibri" w:eastAsia="Calibri" w:hAnsi="Calibri"/>
          <w:b w:val="false"/>
          <w:bCs w:val="false"/>
          <w:color w:val="333333"/>
          <w:sz w:val="22"/>
          <w:szCs w:val="22"/>
        </w:rPr>
        <w:t xml:space="preserve">.</w:t>
      </w:r>
    </w:p>
    <w:p>
      <w:pPr>
        <w:pStyle w:val="ListParagraph"/>
        <w:numPr>
          <w:ilvl w:val="0"/>
          <w:numId w:val="1"/>
        </w:numPr>
        <w:spacing w:after="100" w:before="100" w:line="276"/>
        <w:jc w:val="left"/>
      </w:pPr>
      <w:r>
        <w:rPr>
          <w:rFonts w:ascii="Calibri" w:cs="Calibri" w:eastAsia="Calibri" w:hAnsi="Calibri"/>
          <w:b/>
          <w:bCs/>
          <w:color w:val="333333"/>
          <w:sz w:val="22"/>
          <w:szCs w:val="22"/>
        </w:rPr>
        <w:t xml:space="preserve">2. Instant Publishing via Commit Listener: </w:t>
      </w:r>
      <w:r>
        <w:rPr>
          <w:rFonts w:ascii="Calibri" w:cs="Calibri" w:eastAsia="Calibri" w:hAnsi="Calibri"/>
          <w:b w:val="false"/>
          <w:bCs w:val="false"/>
          <w:color w:val="333333"/>
          <w:sz w:val="22"/>
          <w:szCs w:val="22"/>
        </w:rPr>
        <w:t xml:space="preserve">In </w:t>
      </w:r>
      <w:r>
        <w:rPr>
          <w:rFonts w:ascii="Calibri" w:cs="Calibri" w:eastAsia="Calibri" w:hAnsi="Calibri"/>
          <w:b/>
          <w:bCs/>
          <w:color w:val="333333"/>
          <w:sz w:val="22"/>
          <w:szCs w:val="22"/>
        </w:rPr>
        <w:t xml:space="preserve">GovernanceEventProducer.java</w:t>
      </w:r>
      <w:r>
        <w:rPr>
          <w:rFonts w:ascii="Calibri" w:cs="Calibri" w:eastAsia="Calibri" w:hAnsi="Calibri"/>
          <w:b w:val="false"/>
          <w:bCs w:val="false"/>
          <w:color w:val="333333"/>
          <w:sz w:val="22"/>
          <w:szCs w:val="22"/>
        </w:rPr>
        <w:t xml:space="preserve">, the method </w:t>
      </w:r>
      <w:r>
        <w:rPr>
          <w:rFonts w:ascii="Calibri" w:cs="Calibri" w:eastAsia="Calibri" w:hAnsi="Calibri"/>
          <w:b w:val="false"/>
          <w:bCs w:val="false"/>
          <w:color w:val="333333"/>
          <w:sz w:val="22"/>
          <w:szCs w:val="22"/>
        </w:rPr>
        <w:t xml:space="preserve">onOutboxEventCreated()</w:t>
      </w:r>
      <w:r>
        <w:rPr>
          <w:rFonts w:ascii="Calibri" w:cs="Calibri" w:eastAsia="Calibri" w:hAnsi="Calibri"/>
          <w:b w:val="false"/>
          <w:bCs w:val="false"/>
          <w:color w:val="333333"/>
          <w:sz w:val="22"/>
          <w:szCs w:val="22"/>
        </w:rPr>
        <w:t xml:space="preserve"> is annotated with </w:t>
      </w:r>
      <w:r>
        <w:rPr>
          <w:rFonts w:ascii="Calibri" w:cs="Calibri" w:eastAsia="Calibri" w:hAnsi="Calibri"/>
          <w:b/>
          <w:bCs/>
          <w:color w:val="333333"/>
          <w:sz w:val="22"/>
          <w:szCs w:val="22"/>
        </w:rPr>
        <w:t xml:space="preserve">@TransactionalEventListener(phase = TransactionPhase.AFTER_COMMIT)</w:t>
      </w:r>
      <w:r>
        <w:rPr>
          <w:rFonts w:ascii="Calibri" w:cs="Calibri" w:eastAsia="Calibri" w:hAnsi="Calibri"/>
          <w:b w:val="false"/>
          <w:bCs w:val="false"/>
          <w:color w:val="333333"/>
          <w:sz w:val="22"/>
          <w:szCs w:val="22"/>
        </w:rPr>
        <w:t xml:space="preserve">. This ensures that as soon as the database transaction successfully commits, the event is immediately read and pushed to Kafka via </w:t>
      </w:r>
      <w:r>
        <w:rPr>
          <w:rFonts w:ascii="Calibri" w:cs="Calibri" w:eastAsia="Calibri" w:hAnsi="Calibri"/>
          <w:b/>
          <w:bCs/>
          <w:color w:val="333333"/>
          <w:sz w:val="22"/>
          <w:szCs w:val="22"/>
        </w:rPr>
        <w:t xml:space="preserve">ResilientKafkaSender</w:t>
      </w:r>
      <w:r>
        <w:rPr>
          <w:rFonts w:ascii="Calibri" w:cs="Calibri" w:eastAsia="Calibri" w:hAnsi="Calibri"/>
          <w:b w:val="false"/>
          <w:bCs w:val="false"/>
          <w:color w:val="333333"/>
          <w:sz w:val="22"/>
          <w:szCs w:val="22"/>
        </w:rPr>
        <w:t xml:space="preserve">, achieving near-real-time event streaming.</w:t>
      </w:r>
    </w:p>
    <w:p>
      <w:pPr>
        <w:pStyle w:val="ListParagraph"/>
        <w:numPr>
          <w:ilvl w:val="0"/>
          <w:numId w:val="1"/>
        </w:numPr>
        <w:spacing w:after="100" w:before="100" w:line="276"/>
        <w:jc w:val="left"/>
      </w:pPr>
      <w:r>
        <w:rPr>
          <w:rFonts w:ascii="Calibri" w:cs="Calibri" w:eastAsia="Calibri" w:hAnsi="Calibri"/>
          <w:b/>
          <w:bCs/>
          <w:color w:val="333333"/>
          <w:sz w:val="22"/>
          <w:szCs w:val="22"/>
        </w:rPr>
        <w:t xml:space="preserve">3. Background Reconciler for Failures: </w:t>
      </w:r>
      <w:r>
        <w:rPr>
          <w:rFonts w:ascii="Calibri" w:cs="Calibri" w:eastAsia="Calibri" w:hAnsi="Calibri"/>
          <w:b w:val="false"/>
          <w:bCs w:val="false"/>
          <w:color w:val="333333"/>
          <w:sz w:val="22"/>
          <w:szCs w:val="22"/>
        </w:rPr>
        <w:t xml:space="preserve">If the network drops or Kafka is down during the commit phase, the commit listener fails. To guarantee delivery, a background poller inside </w:t>
      </w:r>
      <w:r>
        <w:rPr>
          <w:rFonts w:ascii="Calibri" w:cs="Calibri" w:eastAsia="Calibri" w:hAnsi="Calibri"/>
          <w:b/>
          <w:bCs/>
          <w:color w:val="333333"/>
          <w:sz w:val="22"/>
          <w:szCs w:val="22"/>
        </w:rPr>
        <w:t xml:space="preserve">GovernanceEventProducer.java</w:t>
      </w:r>
      <w:r>
        <w:rPr>
          <w:rFonts w:ascii="Calibri" w:cs="Calibri" w:eastAsia="Calibri" w:hAnsi="Calibri"/>
          <w:b w:val="false"/>
          <w:bCs w:val="false"/>
          <w:color w:val="333333"/>
          <w:sz w:val="22"/>
          <w:szCs w:val="22"/>
        </w:rPr>
        <w:t xml:space="preserve"> runs every 1000ms using Spring's </w:t>
      </w:r>
      <w:r>
        <w:rPr>
          <w:rFonts w:ascii="Calibri" w:cs="Calibri" w:eastAsia="Calibri" w:hAnsi="Calibri"/>
          <w:b/>
          <w:bCs/>
          <w:color w:val="333333"/>
          <w:sz w:val="22"/>
          <w:szCs w:val="22"/>
        </w:rPr>
        <w:t xml:space="preserve">@Scheduled</w:t>
      </w:r>
      <w:r>
        <w:rPr>
          <w:rFonts w:ascii="Calibri" w:cs="Calibri" w:eastAsia="Calibri" w:hAnsi="Calibri"/>
          <w:b w:val="false"/>
          <w:bCs w:val="false"/>
          <w:color w:val="333333"/>
          <w:sz w:val="22"/>
          <w:szCs w:val="22"/>
        </w:rPr>
        <w:t xml:space="preserve">. It queries the database for any unprocessed events (</w:t>
      </w:r>
      <w:r>
        <w:rPr>
          <w:rFonts w:ascii="Calibri" w:cs="Calibri" w:eastAsia="Calibri" w:hAnsi="Calibri"/>
          <w:b w:val="false"/>
          <w:bCs w:val="false"/>
          <w:color w:val="333333"/>
          <w:sz w:val="22"/>
          <w:szCs w:val="22"/>
        </w:rPr>
        <w:t xml:space="preserve">findByProcessedFalseAndFailedFalse()</w:t>
      </w:r>
      <w:r>
        <w:rPr>
          <w:rFonts w:ascii="Calibri" w:cs="Calibri" w:eastAsia="Calibri" w:hAnsi="Calibri"/>
          <w:b w:val="false"/>
          <w:bCs w:val="false"/>
          <w:color w:val="333333"/>
          <w:sz w:val="22"/>
          <w:szCs w:val="22"/>
        </w:rPr>
        <w:t xml:space="preserve">) and publishes them, recovering the system automatically once Kafka comes back online.</w:t>
      </w:r>
    </w:p>
    <w:p>
      <w:pPr>
        <w:pStyle w:val="ListParagraph"/>
        <w:numPr>
          <w:ilvl w:val="0"/>
          <w:numId w:val="1"/>
        </w:numPr>
        <w:spacing w:after="100" w:before="100" w:line="276"/>
        <w:jc w:val="left"/>
      </w:pPr>
      <w:r>
        <w:rPr>
          <w:rFonts w:ascii="Calibri" w:cs="Calibri" w:eastAsia="Calibri" w:hAnsi="Calibri"/>
          <w:b/>
          <w:bCs/>
          <w:color w:val="333333"/>
          <w:sz w:val="22"/>
          <w:szCs w:val="22"/>
        </w:rPr>
        <w:t xml:space="preserve">4. Retries and Dead Letter Queue (DLQ): </w:t>
      </w:r>
      <w:r>
        <w:rPr>
          <w:rFonts w:ascii="Calibri" w:cs="Calibri" w:eastAsia="Calibri" w:hAnsi="Calibri"/>
          <w:b w:val="false"/>
          <w:bCs w:val="false"/>
          <w:color w:val="333333"/>
          <w:sz w:val="22"/>
          <w:szCs w:val="22"/>
        </w:rPr>
        <w:t xml:space="preserve">If publishing an event fails repeatedly, the outbox processor increments the retry count in </w:t>
      </w:r>
      <w:r>
        <w:rPr>
          <w:rFonts w:ascii="Calibri" w:cs="Calibri" w:eastAsia="Calibri" w:hAnsi="Calibri"/>
          <w:b/>
          <w:bCs/>
          <w:color w:val="333333"/>
          <w:sz w:val="22"/>
          <w:szCs w:val="22"/>
        </w:rPr>
        <w:t xml:space="preserve">OutboxEventPublisher.java</w:t>
      </w:r>
      <w:r>
        <w:rPr>
          <w:rFonts w:ascii="Calibri" w:cs="Calibri" w:eastAsia="Calibri" w:hAnsi="Calibri"/>
          <w:b w:val="false"/>
          <w:bCs w:val="false"/>
          <w:color w:val="333333"/>
          <w:sz w:val="22"/>
          <w:szCs w:val="22"/>
        </w:rPr>
        <w:t xml:space="preserve">. If it reaches the maximum configured retries (e.g. 3 attempts), the event status is updated to 'FAILED' and it is published to a Dead Letter Queue topic (governance-events-dlq). This prevents a toxic event from blocking the scheduler indefinitely, alerting operations for manual inspection.</w:t>
      </w:r>
    </w:p>
    <w:p>
      <w:pPr>
        <w:spacing w:after="100" w:before="100" w:line="276"/>
        <w:jc w:val="left"/>
      </w:pPr>
      <w:r>
        <w:rPr>
          <w:rFonts w:ascii="Calibri" w:cs="Calibri" w:eastAsia="Calibri" w:hAnsi="Calibri"/>
          <w:b w:val="false"/>
          <w:bCs w:val="false"/>
          <w:color w:val="333333"/>
          <w:sz w:val="22"/>
          <w:szCs w:val="22"/>
        </w:rPr>
        <w:t xml:space="preserve"/>
      </w:r>
    </w:p>
    <w:p>
      <w:pPr>
        <w:pStyle w:val="Heading2"/>
        <w:spacing w:after="80" w:before="180"/>
      </w:pPr>
      <w:r>
        <w:rPr>
          <w:rFonts w:ascii="Calibri" w:cs="Calibri" w:eastAsia="Calibri" w:hAnsi="Calibri"/>
          <w:b/>
          <w:bCs/>
          <w:color w:val="4A607A"/>
          <w:sz w:val="26"/>
          <w:szCs w:val="26"/>
        </w:rPr>
        <w:t xml:space="preserve">4.2 Problem 2: Multi-Service Business Workflows (The Saga Pattern)</w:t>
      </w:r>
    </w:p>
    <w:p>
      <w:pPr>
        <w:spacing w:after="100" w:before="100" w:line="276"/>
        <w:jc w:val="left"/>
      </w:pPr>
      <w:r>
        <w:rPr>
          <w:rFonts w:ascii="Calibri" w:cs="Calibri" w:eastAsia="Calibri" w:hAnsi="Calibri"/>
          <w:b/>
          <w:bCs/>
          <w:color w:val="333333"/>
          <w:sz w:val="22"/>
          <w:szCs w:val="22"/>
        </w:rPr>
        <w:t xml:space="preserve">The Problem Statement:
</w:t>
      </w:r>
      <w:r>
        <w:rPr>
          <w:rFonts w:ascii="Calibri" w:cs="Calibri" w:eastAsia="Calibri" w:hAnsi="Calibri"/>
          <w:b w:val="false"/>
          <w:bCs w:val="false"/>
          <w:color w:val="333333"/>
          <w:sz w:val="22"/>
          <w:szCs w:val="22"/>
        </w:rPr>
        <w:t xml:space="preserve">In a distributed microservice environment, business processes often span multiple services. For example, a standard e-commerce purchase flow involves: (1) Order Service creates an order, (2) Inventory Service reserves the items, and (3) Payment Service charges the customer's card.
</w:t>
      </w:r>
      <w:r>
        <w:rPr>
          <w:rFonts w:ascii="Calibri" w:cs="Calibri" w:eastAsia="Calibri" w:hAnsi="Calibri"/>
          <w:b w:val="false"/>
          <w:bCs w:val="false"/>
          <w:color w:val="333333"/>
          <w:sz w:val="22"/>
          <w:szCs w:val="22"/>
        </w:rPr>
        <w:t xml:space="preserve">Because each microservice has its own isolated database, developers cannot use a monolithic database transaction (ACID) to span the entire process. Traditional distributed transaction protocols like Two-Phase Commit (2PC) are slow, block resources, create performance bottlenecks, and introduce tight network coupling—which goes against microservice isolation principles.</w:t>
      </w:r>
    </w:p>
    <w:p>
      <w:pPr>
        <w:spacing w:after="100" w:before="100" w:line="276"/>
        <w:jc w:val="left"/>
      </w:pPr>
      <w:r>
        <w:rPr>
          <w:rFonts w:ascii="Calibri" w:cs="Calibri" w:eastAsia="Calibri" w:hAnsi="Calibri"/>
          <w:b/>
          <w:bCs/>
          <w:color w:val="1B365D"/>
          <w:sz w:val="22"/>
          <w:szCs w:val="22"/>
        </w:rPr>
        <w:t xml:space="preserve">The Solution: The Saga Pattern
</w:t>
      </w:r>
      <w:r>
        <w:rPr>
          <w:rFonts w:ascii="Calibri" w:cs="Calibri" w:eastAsia="Calibri" w:hAnsi="Calibri"/>
          <w:b w:val="false"/>
          <w:bCs w:val="false"/>
          <w:color w:val="333333"/>
          <w:sz w:val="22"/>
          <w:szCs w:val="22"/>
        </w:rPr>
        <w:t xml:space="preserve">The Saga pattern is designed not to prevent failures, but to handle them gracefully. A Saga represents a sequence of local database transactions. Each local transaction updates the database inside a single service and publishes an event or message to trigger the next local transaction in the next service.
</w:t>
      </w:r>
      <w:r>
        <w:rPr>
          <w:rFonts w:ascii="Calibri" w:cs="Calibri" w:eastAsia="Calibri" w:hAnsi="Calibri"/>
          <w:b w:val="false"/>
          <w:bCs w:val="false"/>
          <w:color w:val="333333"/>
          <w:sz w:val="22"/>
          <w:szCs w:val="22"/>
        </w:rPr>
        <w:t xml:space="preserve">If a step in the sequence fails (e.g. the payment is declined in Step 3), the Saga is responsible for restoring consistency by running compensating transactions in reverse order to undo the changes made by the preceding steps.</w:t>
      </w:r>
    </w:p>
    <w:p>
      <w:pPr>
        <w:spacing w:after="100" w:before="100" w:line="276"/>
        <w:jc w:val="left"/>
      </w:pPr>
      <w:r>
        <w:rPr>
          <w:rFonts w:ascii="Calibri" w:cs="Calibri" w:eastAsia="Calibri" w:hAnsi="Calibri"/>
          <w:b/>
          <w:bCs/>
          <w:color w:val="333333"/>
          <w:sz w:val="22"/>
          <w:szCs w:val="22"/>
        </w:rPr>
        <w:t xml:space="preserve">Saga Coordination Styles:</w:t>
      </w:r>
    </w:p>
    <w:p>
      <w:pPr>
        <w:pStyle w:val="ListParagraph"/>
        <w:numPr>
          <w:ilvl w:val="0"/>
          <w:numId w:val="1"/>
        </w:numPr>
        <w:spacing w:after="100" w:before="100" w:line="276"/>
        <w:jc w:val="left"/>
      </w:pPr>
      <w:r>
        <w:rPr>
          <w:rFonts w:ascii="Calibri" w:cs="Calibri" w:eastAsia="Calibri" w:hAnsi="Calibri"/>
          <w:b/>
          <w:bCs/>
          <w:color w:val="333333"/>
          <w:sz w:val="22"/>
          <w:szCs w:val="22"/>
        </w:rPr>
        <w:t xml:space="preserve">Choreography: </w:t>
      </w:r>
      <w:r>
        <w:rPr>
          <w:rFonts w:ascii="Calibri" w:cs="Calibri" w:eastAsia="Calibri" w:hAnsi="Calibri"/>
          <w:b w:val="false"/>
          <w:bCs w:val="false"/>
          <w:color w:val="333333"/>
          <w:sz w:val="22"/>
          <w:szCs w:val="22"/>
        </w:rPr>
        <w:t xml:space="preserve">No central orchestrator. Services listen to events and execute their local transaction and compensations autonomously. (Highly decoupled, but can become complex to trace as the workflow grows).</w:t>
      </w:r>
    </w:p>
    <w:p>
      <w:pPr>
        <w:pStyle w:val="ListParagraph"/>
        <w:numPr>
          <w:ilvl w:val="0"/>
          <w:numId w:val="1"/>
        </w:numPr>
        <w:spacing w:after="100" w:before="100" w:line="276"/>
        <w:jc w:val="left"/>
      </w:pPr>
      <w:r>
        <w:rPr>
          <w:rFonts w:ascii="Calibri" w:cs="Calibri" w:eastAsia="Calibri" w:hAnsi="Calibri"/>
          <w:b/>
          <w:bCs/>
          <w:color w:val="333333"/>
          <w:sz w:val="22"/>
          <w:szCs w:val="22"/>
        </w:rPr>
        <w:t xml:space="preserve">Orchestration: </w:t>
      </w:r>
      <w:r>
        <w:rPr>
          <w:rFonts w:ascii="Calibri" w:cs="Calibri" w:eastAsia="Calibri" w:hAnsi="Calibri"/>
          <w:b w:val="false"/>
          <w:bCs w:val="false"/>
          <w:color w:val="333333"/>
          <w:sz w:val="22"/>
          <w:szCs w:val="22"/>
        </w:rPr>
        <w:t xml:space="preserve">A dedicated service (Orchestrator) manages the state of the Saga. It acts as the coordinator, sending command messages to services to perform local actions, and executing compensation commands if any service reports a failure.</w:t>
      </w:r>
    </w:p>
    <w:p>
      <w:pPr>
        <w:spacing w:after="100" w:before="150" w:line="276"/>
        <w:jc w:val="left"/>
      </w:pPr>
      <w:r>
        <w:rPr>
          <w:rFonts w:ascii="Calibri" w:cs="Calibri" w:eastAsia="Calibri" w:hAnsi="Calibri"/>
          <w:b/>
          <w:bCs/>
          <w:color w:val="333333"/>
          <w:sz w:val="22"/>
          <w:szCs w:val="22"/>
        </w:rPr>
        <w:t xml:space="preserve">Walkthrough of the E-Commerce Saga with Compensating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D0D7DE" w:sz="4"/>
              <w:left w:val="single" w:color="D0D7DE" w:sz="4"/>
              <w:bottom w:val="single" w:color="D0D7DE" w:sz="4"/>
              <w:right w:val="single" w:color="D0D7DE" w:sz="4"/>
            </w:tcBorders>
            <w:shd w:fill="1B365D"/>
            <w:vAlign w:val="center"/>
          </w:tcPr>
          <w:p>
            <w:pPr>
              <w:spacing w:after="100" w:before="100" w:line="276"/>
              <w:jc w:val="left"/>
            </w:pPr>
            <w:r>
              <w:rPr>
                <w:rFonts w:ascii="Calibri" w:cs="Calibri" w:eastAsia="Calibri" w:hAnsi="Calibri"/>
                <w:b/>
                <w:bCs/>
                <w:color w:val="FFFFFF"/>
                <w:sz w:val="22"/>
                <w:szCs w:val="22"/>
              </w:rPr>
              <w:t xml:space="preserve">Step / Service</w:t>
            </w:r>
          </w:p>
        </w:tc>
        <w:tc>
          <w:tcPr>
            <w:tcW w:type="pct" w:w="37%"/>
            <w:tcBorders>
              <w:top w:val="single" w:color="D0D7DE" w:sz="4"/>
              <w:left w:val="single" w:color="D0D7DE" w:sz="4"/>
              <w:bottom w:val="single" w:color="D0D7DE" w:sz="4"/>
              <w:right w:val="single" w:color="D0D7DE" w:sz="4"/>
            </w:tcBorders>
            <w:shd w:fill="1B365D"/>
            <w:vAlign w:val="center"/>
          </w:tcPr>
          <w:p>
            <w:pPr>
              <w:spacing w:after="100" w:before="100" w:line="276"/>
              <w:jc w:val="left"/>
            </w:pPr>
            <w:r>
              <w:rPr>
                <w:rFonts w:ascii="Calibri" w:cs="Calibri" w:eastAsia="Calibri" w:hAnsi="Calibri"/>
                <w:b/>
                <w:bCs/>
                <w:color w:val="FFFFFF"/>
                <w:sz w:val="22"/>
                <w:szCs w:val="22"/>
              </w:rPr>
              <w:t xml:space="preserve">Local Action (Forward)</w:t>
            </w:r>
          </w:p>
        </w:tc>
        <w:tc>
          <w:tcPr>
            <w:tcW w:type="pct" w:w="38%"/>
            <w:tcBorders>
              <w:top w:val="single" w:color="D0D7DE" w:sz="4"/>
              <w:left w:val="single" w:color="D0D7DE" w:sz="4"/>
              <w:bottom w:val="single" w:color="D0D7DE" w:sz="4"/>
              <w:right w:val="single" w:color="D0D7DE" w:sz="4"/>
            </w:tcBorders>
            <w:shd w:fill="1B365D"/>
            <w:vAlign w:val="center"/>
          </w:tcPr>
          <w:p>
            <w:pPr>
              <w:spacing w:after="100" w:before="100" w:line="276"/>
              <w:jc w:val="left"/>
            </w:pPr>
            <w:r>
              <w:rPr>
                <w:rFonts w:ascii="Calibri" w:cs="Calibri" w:eastAsia="Calibri" w:hAnsi="Calibri"/>
                <w:b/>
                <w:bCs/>
                <w:color w:val="FFFFFF"/>
                <w:sz w:val="22"/>
                <w:szCs w:val="22"/>
              </w:rPr>
              <w:t xml:space="preserve">Compensating Action (Rollback)</w:t>
            </w:r>
          </w:p>
        </w:tc>
      </w:tr>
      <w:tr>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bCs/>
                <w:color w:val="333333"/>
                <w:sz w:val="22"/>
                <w:szCs w:val="22"/>
              </w:rPr>
              <w:t xml:space="preserve">Step 1:
Order Service</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Create Order entity in status PENDING.</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Update Order status to CANCELLED.</w:t>
            </w:r>
          </w:p>
        </w:tc>
      </w:tr>
      <w:tr>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bCs/>
                <w:color w:val="333333"/>
                <w:sz w:val="22"/>
                <w:szCs w:val="22"/>
              </w:rPr>
              <w:t xml:space="preserve">Step 2:
Inventory Service</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Reserve item stock in database, reducing stock levels.</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Release reserved items, restoring stock levels.</w:t>
            </w:r>
          </w:p>
        </w:tc>
      </w:tr>
      <w:tr>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bCs/>
                <w:color w:val="333333"/>
                <w:sz w:val="22"/>
                <w:szCs w:val="22"/>
              </w:rPr>
              <w:t xml:space="preserve">Step 3:
Payment Service</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Authorize and capture credit card charge. (Fails here!)</w:t>
            </w:r>
          </w:p>
        </w:tc>
        <w:tc>
          <w:tcPr>
            <w:tcBorders>
              <w:top w:val="single" w:color="D0D7DE" w:sz="4"/>
              <w:left w:val="single" w:color="D0D7DE" w:sz="4"/>
              <w:bottom w:val="single" w:color="D0D7DE" w:sz="4"/>
              <w:right w:val="single" w:color="D0D7DE" w:sz="4"/>
            </w:tcBorders>
            <w:vAlign w:val="center"/>
          </w:tcPr>
          <w:p>
            <w:pPr>
              <w:spacing w:after="100" w:before="100" w:line="276"/>
              <w:jc w:val="left"/>
            </w:pPr>
            <w:r>
              <w:rPr>
                <w:rFonts w:ascii="Calibri" w:cs="Calibri" w:eastAsia="Calibri" w:hAnsi="Calibri"/>
                <w:b w:val="false"/>
                <w:bCs w:val="false"/>
                <w:color w:val="333333"/>
                <w:sz w:val="22"/>
                <w:szCs w:val="22"/>
              </w:rPr>
              <w:t xml:space="preserve">Refund captured charge (not executed if Step 3 fails before charging).</w:t>
            </w:r>
          </w:p>
        </w:tc>
      </w:tr>
    </w:tbl>
    <w:p>
      <w:pPr>
        <w:spacing w:after="100" w:before="100" w:line="276"/>
        <w:jc w:val="left"/>
      </w:pPr>
      <w:r>
        <w:rPr>
          <w:rFonts w:ascii="Calibri" w:cs="Calibri" w:eastAsia="Calibri" w:hAnsi="Calibri"/>
          <w:b w:val="false"/>
          <w:bCs w:val="false"/>
          <w:color w:val="333333"/>
          <w:sz w:val="22"/>
          <w:szCs w:val="22"/>
        </w:rPr>
        <w:t xml:space="preserve"/>
      </w:r>
    </w:p>
    <w:p>
      <w:pPr>
        <w:spacing w:after="100" w:before="100" w:line="276"/>
        <w:jc w:val="left"/>
      </w:pPr>
      <w:r>
        <w:rPr>
          <w:rFonts w:ascii="Calibri" w:cs="Calibri" w:eastAsia="Calibri" w:hAnsi="Calibri"/>
          <w:b/>
          <w:bCs/>
          <w:color w:val="4A607A"/>
          <w:sz w:val="22"/>
          <w:szCs w:val="22"/>
        </w:rPr>
        <w:t xml:space="preserve">Saga Execution Flow in Case of Failure:
</w:t>
      </w:r>
      <w:r>
        <w:rPr>
          <w:rFonts w:ascii="Calibri" w:cs="Calibri" w:eastAsia="Calibri" w:hAnsi="Calibri"/>
          <w:b w:val="false"/>
          <w:bCs w:val="false"/>
          <w:color w:val="333333"/>
          <w:sz w:val="22"/>
          <w:szCs w:val="22"/>
        </w:rPr>
        <w:t xml:space="preserve">1. Client requests order creation. Order Service saves order as PENDING.
</w:t>
      </w:r>
      <w:r>
        <w:rPr>
          <w:rFonts w:ascii="Calibri" w:cs="Calibri" w:eastAsia="Calibri" w:hAnsi="Calibri"/>
          <w:b w:val="false"/>
          <w:bCs w:val="false"/>
          <w:color w:val="333333"/>
          <w:sz w:val="22"/>
          <w:szCs w:val="22"/>
        </w:rPr>
        <w:t xml:space="preserve">2. Inventory Service receives 'OrderCreated' event, checks stock, and successfully reserves items.
</w:t>
      </w:r>
      <w:r>
        <w:rPr>
          <w:rFonts w:ascii="Calibri" w:cs="Calibri" w:eastAsia="Calibri" w:hAnsi="Calibri"/>
          <w:b w:val="false"/>
          <w:bCs w:val="false"/>
          <w:color w:val="333333"/>
          <w:sz w:val="22"/>
          <w:szCs w:val="22"/>
        </w:rPr>
        <w:t xml:space="preserve">3. Payment Service receives 'InventoryReserved' event, attempts to capture payment, but card is declined.
</w:t>
      </w:r>
      <w:r>
        <w:rPr>
          <w:rFonts w:ascii="Calibri" w:cs="Calibri" w:eastAsia="Calibri" w:hAnsi="Calibri"/>
          <w:b w:val="false"/>
          <w:bCs w:val="false"/>
          <w:color w:val="333333"/>
          <w:sz w:val="22"/>
          <w:szCs w:val="22"/>
        </w:rPr>
        <w:t xml:space="preserve">4. Payment Service emits a 'PaymentFailed' event.
</w:t>
      </w:r>
      <w:r>
        <w:rPr>
          <w:rFonts w:ascii="Calibri" w:cs="Calibri" w:eastAsia="Calibri" w:hAnsi="Calibri"/>
          <w:b w:val="false"/>
          <w:bCs w:val="false"/>
          <w:color w:val="333333"/>
          <w:sz w:val="22"/>
          <w:szCs w:val="22"/>
        </w:rPr>
        <w:t xml:space="preserve">5. Inventory Service consumes 'PaymentFailed' and executes its compensation: releases reserved items.
</w:t>
      </w:r>
      <w:r>
        <w:rPr>
          <w:rFonts w:ascii="Calibri" w:cs="Calibri" w:eastAsia="Calibri" w:hAnsi="Calibri"/>
          <w:b w:val="false"/>
          <w:bCs w:val="false"/>
          <w:color w:val="333333"/>
          <w:sz w:val="22"/>
          <w:szCs w:val="22"/>
        </w:rPr>
        <w:t xml:space="preserve">6. Order Service consumes 'PaymentFailed' and executes its compensation: updates order status to CANCELLED.
</w:t>
      </w:r>
      <w:r>
        <w:rPr>
          <w:rFonts w:ascii="Calibri" w:cs="Calibri" w:eastAsia="Calibri" w:hAnsi="Calibri"/>
          <w:b w:val="false"/>
          <w:bCs w:val="false"/>
          <w:color w:val="333333"/>
          <w:sz w:val="22"/>
          <w:szCs w:val="22"/>
        </w:rPr>
        <w:t xml:space="preserve">Result: The system resolves back to a consistent state. Although the process failed, data consistency across services is preserved without using blocking distributed database locks.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2026-06-20T13:46:38.142Z</dcterms:created>
  <dcterms:modified xsi:type="dcterms:W3CDTF">2026-06-20T13:46:38.145Z</dcterms:modified>
</cp:coreProperties>
</file>

<file path=docProps/custom.xml><?xml version="1.0" encoding="utf-8"?>
<Properties xmlns="http://schemas.openxmlformats.org/officeDocument/2006/custom-properties" xmlns:vt="http://schemas.openxmlformats.org/officeDocument/2006/docPropsVTypes"/>
</file>