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7416774B"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w:t>
      </w:r>
      <w:r w:rsidR="00870A4C">
        <w:rPr>
          <w:lang w:val="en-US"/>
        </w:rPr>
        <w:t>about</w:t>
      </w:r>
      <w:r w:rsidR="00090FEF" w:rsidRPr="000E1A9C">
        <w:rPr>
          <w:lang w:val="en-US"/>
        </w:rPr>
        <w:t xml:space="preserve">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32968E62" w14:textId="192147CA" w:rsidR="00402001" w:rsidRDefault="002D022C" w:rsidP="002D022C">
      <w:pPr>
        <w:jc w:val="center"/>
        <w:sectPr w:rsidR="00402001" w:rsidSect="00000A2F">
          <w:headerReference w:type="default" r:id="rId9"/>
          <w:footerReference w:type="default" r:id="rId10"/>
          <w:headerReference w:type="first" r:id="rId11"/>
          <w:footerReference w:type="first" r:id="rId12"/>
          <w:pgSz w:w="12240" w:h="15840" w:code="1"/>
          <w:pgMar w:top="1474" w:right="1474" w:bottom="1474" w:left="1474" w:header="720" w:footer="510" w:gutter="0"/>
          <w:pgNumType w:start="0"/>
          <w:cols w:space="720"/>
          <w:titlePg/>
          <w:docGrid w:linePitch="326"/>
        </w:sectP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193B56">
        <w:rPr>
          <w:noProof/>
        </w:rPr>
        <w:t>10/14/2021</w:t>
      </w:r>
      <w:r w:rsidR="00723CD9" w:rsidRPr="000E1A9C">
        <w:fldChar w:fldCharType="end"/>
      </w:r>
    </w:p>
    <w:p w14:paraId="67ED2611" w14:textId="17616272" w:rsidR="002050A4" w:rsidRPr="00E933F3" w:rsidRDefault="00D0456D" w:rsidP="00111367">
      <w:pPr>
        <w:spacing w:after="360"/>
        <w:ind w:firstLine="0"/>
        <w:jc w:val="center"/>
        <w:rPr>
          <w:b/>
          <w:bCs/>
        </w:rPr>
      </w:pPr>
      <w:bookmarkStart w:id="0" w:name="_Toc73444231"/>
      <w:bookmarkStart w:id="1" w:name="_Toc73461009"/>
      <w:bookmarkStart w:id="2" w:name="_Toc73461153"/>
      <w:bookmarkStart w:id="3" w:name="_Toc73461183"/>
      <w:bookmarkStart w:id="4" w:name="_Toc73461217"/>
      <w:bookmarkStart w:id="5" w:name="_Toc73461232"/>
      <w:r w:rsidRPr="00E933F3">
        <w:rPr>
          <w:b/>
          <w:bCs/>
        </w:rPr>
        <w:lastRenderedPageBreak/>
        <w:t>Table of C</w:t>
      </w:r>
      <w:r w:rsidR="00754B80" w:rsidRPr="00E933F3">
        <w:rPr>
          <w:b/>
          <w:bCs/>
        </w:rPr>
        <w:t>ontent</w:t>
      </w:r>
      <w:bookmarkEnd w:id="0"/>
      <w:bookmarkEnd w:id="1"/>
      <w:bookmarkEnd w:id="2"/>
      <w:bookmarkEnd w:id="3"/>
      <w:bookmarkEnd w:id="4"/>
      <w:bookmarkEnd w:id="5"/>
      <w:r w:rsidRPr="00E933F3">
        <w:rPr>
          <w:b/>
          <w:bCs/>
        </w:rPr>
        <w:t>s</w:t>
      </w:r>
    </w:p>
    <w:sdt>
      <w:sdtPr>
        <w:rPr>
          <w:rFonts w:asciiTheme="minorHAnsi" w:hAnsiTheme="minorHAnsi" w:cs="Linux Libertine O"/>
          <w:szCs w:val="24"/>
        </w:rPr>
        <w:id w:val="-179126150"/>
        <w:docPartObj>
          <w:docPartGallery w:val="Table of Contents"/>
          <w:docPartUnique/>
        </w:docPartObj>
      </w:sdtPr>
      <w:sdtEndPr>
        <w:rPr>
          <w:rFonts w:ascii="Times New Roman" w:hAnsi="Times New Roman" w:cs="Mangal"/>
          <w:b/>
          <w:bCs/>
          <w:szCs w:val="21"/>
        </w:rPr>
      </w:sdtEndPr>
      <w:sdtContent>
        <w:p w14:paraId="4D694D54" w14:textId="1D47013D" w:rsidR="00111367"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121043" w:history="1">
            <w:r w:rsidR="00111367" w:rsidRPr="00D97B1C">
              <w:rPr>
                <w:rStyle w:val="Hyperlink"/>
                <w:noProof/>
              </w:rPr>
              <w:t>Abstract</w:t>
            </w:r>
            <w:r w:rsidR="00111367">
              <w:rPr>
                <w:noProof/>
                <w:webHidden/>
              </w:rPr>
              <w:tab/>
            </w:r>
            <w:r w:rsidR="00111367">
              <w:rPr>
                <w:noProof/>
                <w:webHidden/>
              </w:rPr>
              <w:fldChar w:fldCharType="begin"/>
            </w:r>
            <w:r w:rsidR="00111367">
              <w:rPr>
                <w:noProof/>
                <w:webHidden/>
              </w:rPr>
              <w:instrText xml:space="preserve"> PAGEREF _Toc85121043 \h </w:instrText>
            </w:r>
            <w:r w:rsidR="00111367">
              <w:rPr>
                <w:noProof/>
                <w:webHidden/>
              </w:rPr>
            </w:r>
            <w:r w:rsidR="00111367">
              <w:rPr>
                <w:noProof/>
                <w:webHidden/>
              </w:rPr>
              <w:fldChar w:fldCharType="separate"/>
            </w:r>
            <w:r w:rsidR="00D81E5D">
              <w:rPr>
                <w:noProof/>
                <w:webHidden/>
              </w:rPr>
              <w:t>1</w:t>
            </w:r>
            <w:r w:rsidR="00111367">
              <w:rPr>
                <w:noProof/>
                <w:webHidden/>
              </w:rPr>
              <w:fldChar w:fldCharType="end"/>
            </w:r>
          </w:hyperlink>
        </w:p>
        <w:p w14:paraId="5BC86336" w14:textId="35DC04AB" w:rsidR="00111367" w:rsidRDefault="00990E2F">
          <w:pPr>
            <w:pStyle w:val="Verzeichnis1"/>
            <w:rPr>
              <w:rFonts w:asciiTheme="minorHAnsi" w:eastAsiaTheme="minorEastAsia" w:hAnsiTheme="minorHAnsi" w:cstheme="minorBidi"/>
              <w:noProof/>
              <w:kern w:val="0"/>
              <w:sz w:val="22"/>
              <w:szCs w:val="22"/>
              <w:lang w:val="de-CH" w:eastAsia="de-CH" w:bidi="ar-SA"/>
            </w:rPr>
          </w:pPr>
          <w:hyperlink w:anchor="_Toc85121044" w:history="1">
            <w:r w:rsidR="00111367" w:rsidRPr="00D97B1C">
              <w:rPr>
                <w:rStyle w:val="Hyperlink"/>
                <w:noProof/>
              </w:rPr>
              <w:t>Introduction</w:t>
            </w:r>
            <w:r w:rsidR="00111367">
              <w:rPr>
                <w:noProof/>
                <w:webHidden/>
              </w:rPr>
              <w:tab/>
            </w:r>
            <w:r w:rsidR="00111367">
              <w:rPr>
                <w:noProof/>
                <w:webHidden/>
              </w:rPr>
              <w:fldChar w:fldCharType="begin"/>
            </w:r>
            <w:r w:rsidR="00111367">
              <w:rPr>
                <w:noProof/>
                <w:webHidden/>
              </w:rPr>
              <w:instrText xml:space="preserve"> PAGEREF _Toc85121044 \h </w:instrText>
            </w:r>
            <w:r w:rsidR="00111367">
              <w:rPr>
                <w:noProof/>
                <w:webHidden/>
              </w:rPr>
            </w:r>
            <w:r w:rsidR="00111367">
              <w:rPr>
                <w:noProof/>
                <w:webHidden/>
              </w:rPr>
              <w:fldChar w:fldCharType="separate"/>
            </w:r>
            <w:r w:rsidR="00D81E5D">
              <w:rPr>
                <w:noProof/>
                <w:webHidden/>
              </w:rPr>
              <w:t>2</w:t>
            </w:r>
            <w:r w:rsidR="00111367">
              <w:rPr>
                <w:noProof/>
                <w:webHidden/>
              </w:rPr>
              <w:fldChar w:fldCharType="end"/>
            </w:r>
          </w:hyperlink>
        </w:p>
        <w:p w14:paraId="3192E456" w14:textId="0EE5E407"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5" w:history="1">
            <w:r w:rsidR="00111367" w:rsidRPr="00D97B1C">
              <w:rPr>
                <w:rStyle w:val="Hyperlink"/>
                <w:noProof/>
              </w:rPr>
              <w:t>Ostracism</w:t>
            </w:r>
            <w:r w:rsidR="00111367">
              <w:rPr>
                <w:noProof/>
                <w:webHidden/>
              </w:rPr>
              <w:tab/>
            </w:r>
            <w:r w:rsidR="00111367">
              <w:rPr>
                <w:noProof/>
                <w:webHidden/>
              </w:rPr>
              <w:fldChar w:fldCharType="begin"/>
            </w:r>
            <w:r w:rsidR="00111367">
              <w:rPr>
                <w:noProof/>
                <w:webHidden/>
              </w:rPr>
              <w:instrText xml:space="preserve"> PAGEREF _Toc85121045 \h </w:instrText>
            </w:r>
            <w:r w:rsidR="00111367">
              <w:rPr>
                <w:noProof/>
                <w:webHidden/>
              </w:rPr>
            </w:r>
            <w:r w:rsidR="00111367">
              <w:rPr>
                <w:noProof/>
                <w:webHidden/>
              </w:rPr>
              <w:fldChar w:fldCharType="separate"/>
            </w:r>
            <w:r w:rsidR="00D81E5D">
              <w:rPr>
                <w:noProof/>
                <w:webHidden/>
              </w:rPr>
              <w:t>2</w:t>
            </w:r>
            <w:r w:rsidR="00111367">
              <w:rPr>
                <w:noProof/>
                <w:webHidden/>
              </w:rPr>
              <w:fldChar w:fldCharType="end"/>
            </w:r>
          </w:hyperlink>
        </w:p>
        <w:p w14:paraId="6B4E8949" w14:textId="28AFE7D5"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6" w:history="1">
            <w:r w:rsidR="00111367" w:rsidRPr="00D97B1C">
              <w:rPr>
                <w:rStyle w:val="Hyperlink"/>
                <w:noProof/>
              </w:rPr>
              <w:t>Perceptual variation</w:t>
            </w:r>
            <w:r w:rsidR="00111367">
              <w:rPr>
                <w:noProof/>
                <w:webHidden/>
              </w:rPr>
              <w:tab/>
            </w:r>
            <w:r w:rsidR="00111367">
              <w:rPr>
                <w:noProof/>
                <w:webHidden/>
              </w:rPr>
              <w:fldChar w:fldCharType="begin"/>
            </w:r>
            <w:r w:rsidR="00111367">
              <w:rPr>
                <w:noProof/>
                <w:webHidden/>
              </w:rPr>
              <w:instrText xml:space="preserve"> PAGEREF _Toc85121046 \h </w:instrText>
            </w:r>
            <w:r w:rsidR="00111367">
              <w:rPr>
                <w:noProof/>
                <w:webHidden/>
              </w:rPr>
            </w:r>
            <w:r w:rsidR="00111367">
              <w:rPr>
                <w:noProof/>
                <w:webHidden/>
              </w:rPr>
              <w:fldChar w:fldCharType="separate"/>
            </w:r>
            <w:r w:rsidR="00D81E5D">
              <w:rPr>
                <w:noProof/>
                <w:webHidden/>
              </w:rPr>
              <w:t>3</w:t>
            </w:r>
            <w:r w:rsidR="00111367">
              <w:rPr>
                <w:noProof/>
                <w:webHidden/>
              </w:rPr>
              <w:fldChar w:fldCharType="end"/>
            </w:r>
          </w:hyperlink>
        </w:p>
        <w:p w14:paraId="3EF5B1C0" w14:textId="151D9A37"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7" w:history="1">
            <w:r w:rsidR="00111367" w:rsidRPr="00D97B1C">
              <w:rPr>
                <w:rStyle w:val="Hyperlink"/>
                <w:noProof/>
              </w:rPr>
              <w:t>Facially communicated personality traits</w:t>
            </w:r>
            <w:r w:rsidR="00111367">
              <w:rPr>
                <w:noProof/>
                <w:webHidden/>
              </w:rPr>
              <w:tab/>
            </w:r>
            <w:r w:rsidR="00111367">
              <w:rPr>
                <w:noProof/>
                <w:webHidden/>
              </w:rPr>
              <w:fldChar w:fldCharType="begin"/>
            </w:r>
            <w:r w:rsidR="00111367">
              <w:rPr>
                <w:noProof/>
                <w:webHidden/>
              </w:rPr>
              <w:instrText xml:space="preserve"> PAGEREF _Toc85121047 \h </w:instrText>
            </w:r>
            <w:r w:rsidR="00111367">
              <w:rPr>
                <w:noProof/>
                <w:webHidden/>
              </w:rPr>
            </w:r>
            <w:r w:rsidR="00111367">
              <w:rPr>
                <w:noProof/>
                <w:webHidden/>
              </w:rPr>
              <w:fldChar w:fldCharType="separate"/>
            </w:r>
            <w:r w:rsidR="00D81E5D">
              <w:rPr>
                <w:noProof/>
                <w:webHidden/>
              </w:rPr>
              <w:t>5</w:t>
            </w:r>
            <w:r w:rsidR="00111367">
              <w:rPr>
                <w:noProof/>
                <w:webHidden/>
              </w:rPr>
              <w:fldChar w:fldCharType="end"/>
            </w:r>
          </w:hyperlink>
        </w:p>
        <w:p w14:paraId="72B0F2E1" w14:textId="6EFDD75F"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8" w:history="1">
            <w:r w:rsidR="00111367" w:rsidRPr="00D97B1C">
              <w:rPr>
                <w:rStyle w:val="Hyperlink"/>
                <w:noProof/>
              </w:rPr>
              <w:t xml:space="preserve">The Basel </w:t>
            </w:r>
            <w:r w:rsidR="00111367" w:rsidRPr="00D97B1C">
              <w:rPr>
                <w:rStyle w:val="Hyperlink"/>
                <w:bCs/>
                <w:noProof/>
              </w:rPr>
              <w:t>Face Database</w:t>
            </w:r>
            <w:r w:rsidR="00111367">
              <w:rPr>
                <w:noProof/>
                <w:webHidden/>
              </w:rPr>
              <w:tab/>
            </w:r>
            <w:r w:rsidR="00111367">
              <w:rPr>
                <w:noProof/>
                <w:webHidden/>
              </w:rPr>
              <w:fldChar w:fldCharType="begin"/>
            </w:r>
            <w:r w:rsidR="00111367">
              <w:rPr>
                <w:noProof/>
                <w:webHidden/>
              </w:rPr>
              <w:instrText xml:space="preserve"> PAGEREF _Toc85121048 \h </w:instrText>
            </w:r>
            <w:r w:rsidR="00111367">
              <w:rPr>
                <w:noProof/>
                <w:webHidden/>
              </w:rPr>
            </w:r>
            <w:r w:rsidR="00111367">
              <w:rPr>
                <w:noProof/>
                <w:webHidden/>
              </w:rPr>
              <w:fldChar w:fldCharType="separate"/>
            </w:r>
            <w:r w:rsidR="00D81E5D">
              <w:rPr>
                <w:noProof/>
                <w:webHidden/>
              </w:rPr>
              <w:t>7</w:t>
            </w:r>
            <w:r w:rsidR="00111367">
              <w:rPr>
                <w:noProof/>
                <w:webHidden/>
              </w:rPr>
              <w:fldChar w:fldCharType="end"/>
            </w:r>
          </w:hyperlink>
        </w:p>
        <w:p w14:paraId="0962A3AB" w14:textId="6B0FAE95"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9" w:history="1">
            <w:r w:rsidR="00111367" w:rsidRPr="00D97B1C">
              <w:rPr>
                <w:rStyle w:val="Hyperlink"/>
                <w:noProof/>
              </w:rPr>
              <w:t>Hypotheses</w:t>
            </w:r>
            <w:r w:rsidR="00111367">
              <w:rPr>
                <w:noProof/>
                <w:webHidden/>
              </w:rPr>
              <w:tab/>
            </w:r>
            <w:r w:rsidR="00111367">
              <w:rPr>
                <w:noProof/>
                <w:webHidden/>
              </w:rPr>
              <w:fldChar w:fldCharType="begin"/>
            </w:r>
            <w:r w:rsidR="00111367">
              <w:rPr>
                <w:noProof/>
                <w:webHidden/>
              </w:rPr>
              <w:instrText xml:space="preserve"> PAGEREF _Toc85121049 \h </w:instrText>
            </w:r>
            <w:r w:rsidR="00111367">
              <w:rPr>
                <w:noProof/>
                <w:webHidden/>
              </w:rPr>
            </w:r>
            <w:r w:rsidR="00111367">
              <w:rPr>
                <w:noProof/>
                <w:webHidden/>
              </w:rPr>
              <w:fldChar w:fldCharType="separate"/>
            </w:r>
            <w:r w:rsidR="00D81E5D">
              <w:rPr>
                <w:noProof/>
                <w:webHidden/>
              </w:rPr>
              <w:t>7</w:t>
            </w:r>
            <w:r w:rsidR="00111367">
              <w:rPr>
                <w:noProof/>
                <w:webHidden/>
              </w:rPr>
              <w:fldChar w:fldCharType="end"/>
            </w:r>
          </w:hyperlink>
        </w:p>
        <w:p w14:paraId="282D8966" w14:textId="417B5638" w:rsidR="00111367" w:rsidRDefault="00990E2F">
          <w:pPr>
            <w:pStyle w:val="Verzeichnis1"/>
            <w:rPr>
              <w:rFonts w:asciiTheme="minorHAnsi" w:eastAsiaTheme="minorEastAsia" w:hAnsiTheme="minorHAnsi" w:cstheme="minorBidi"/>
              <w:noProof/>
              <w:kern w:val="0"/>
              <w:sz w:val="22"/>
              <w:szCs w:val="22"/>
              <w:lang w:val="de-CH" w:eastAsia="de-CH" w:bidi="ar-SA"/>
            </w:rPr>
          </w:pPr>
          <w:hyperlink w:anchor="_Toc85121050" w:history="1">
            <w:r w:rsidR="00111367" w:rsidRPr="00D97B1C">
              <w:rPr>
                <w:rStyle w:val="Hyperlink"/>
                <w:rFonts w:cstheme="minorHAnsi"/>
                <w:noProof/>
              </w:rPr>
              <w:t>Methods</w:t>
            </w:r>
            <w:r w:rsidR="00111367">
              <w:rPr>
                <w:noProof/>
                <w:webHidden/>
              </w:rPr>
              <w:tab/>
            </w:r>
            <w:r w:rsidR="00111367">
              <w:rPr>
                <w:noProof/>
                <w:webHidden/>
              </w:rPr>
              <w:fldChar w:fldCharType="begin"/>
            </w:r>
            <w:r w:rsidR="00111367">
              <w:rPr>
                <w:noProof/>
                <w:webHidden/>
              </w:rPr>
              <w:instrText xml:space="preserve"> PAGEREF _Toc85121050 \h </w:instrText>
            </w:r>
            <w:r w:rsidR="00111367">
              <w:rPr>
                <w:noProof/>
                <w:webHidden/>
              </w:rPr>
            </w:r>
            <w:r w:rsidR="00111367">
              <w:rPr>
                <w:noProof/>
                <w:webHidden/>
              </w:rPr>
              <w:fldChar w:fldCharType="separate"/>
            </w:r>
            <w:r w:rsidR="00D81E5D">
              <w:rPr>
                <w:noProof/>
                <w:webHidden/>
              </w:rPr>
              <w:t>10</w:t>
            </w:r>
            <w:r w:rsidR="00111367">
              <w:rPr>
                <w:noProof/>
                <w:webHidden/>
              </w:rPr>
              <w:fldChar w:fldCharType="end"/>
            </w:r>
          </w:hyperlink>
        </w:p>
        <w:p w14:paraId="75FCE352" w14:textId="5485BE7D"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1" w:history="1">
            <w:r w:rsidR="00111367" w:rsidRPr="00D97B1C">
              <w:rPr>
                <w:rStyle w:val="Hyperlink"/>
                <w:noProof/>
              </w:rPr>
              <w:t>Participants</w:t>
            </w:r>
            <w:r w:rsidR="00111367">
              <w:rPr>
                <w:noProof/>
                <w:webHidden/>
              </w:rPr>
              <w:tab/>
            </w:r>
            <w:r w:rsidR="00111367">
              <w:rPr>
                <w:noProof/>
                <w:webHidden/>
              </w:rPr>
              <w:fldChar w:fldCharType="begin"/>
            </w:r>
            <w:r w:rsidR="00111367">
              <w:rPr>
                <w:noProof/>
                <w:webHidden/>
              </w:rPr>
              <w:instrText xml:space="preserve"> PAGEREF _Toc85121051 \h </w:instrText>
            </w:r>
            <w:r w:rsidR="00111367">
              <w:rPr>
                <w:noProof/>
                <w:webHidden/>
              </w:rPr>
            </w:r>
            <w:r w:rsidR="00111367">
              <w:rPr>
                <w:noProof/>
                <w:webHidden/>
              </w:rPr>
              <w:fldChar w:fldCharType="separate"/>
            </w:r>
            <w:r w:rsidR="00D81E5D">
              <w:rPr>
                <w:noProof/>
                <w:webHidden/>
              </w:rPr>
              <w:t>10</w:t>
            </w:r>
            <w:r w:rsidR="00111367">
              <w:rPr>
                <w:noProof/>
                <w:webHidden/>
              </w:rPr>
              <w:fldChar w:fldCharType="end"/>
            </w:r>
          </w:hyperlink>
        </w:p>
        <w:p w14:paraId="01A9B5C2" w14:textId="34D819AD"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2" w:history="1">
            <w:r w:rsidR="00111367" w:rsidRPr="00D97B1C">
              <w:rPr>
                <w:rStyle w:val="Hyperlink"/>
                <w:noProof/>
              </w:rPr>
              <w:t>Design and Procedure</w:t>
            </w:r>
            <w:r w:rsidR="00111367">
              <w:rPr>
                <w:noProof/>
                <w:webHidden/>
              </w:rPr>
              <w:tab/>
            </w:r>
            <w:r w:rsidR="00111367">
              <w:rPr>
                <w:noProof/>
                <w:webHidden/>
              </w:rPr>
              <w:fldChar w:fldCharType="begin"/>
            </w:r>
            <w:r w:rsidR="00111367">
              <w:rPr>
                <w:noProof/>
                <w:webHidden/>
              </w:rPr>
              <w:instrText xml:space="preserve"> PAGEREF _Toc85121052 \h </w:instrText>
            </w:r>
            <w:r w:rsidR="00111367">
              <w:rPr>
                <w:noProof/>
                <w:webHidden/>
              </w:rPr>
            </w:r>
            <w:r w:rsidR="00111367">
              <w:rPr>
                <w:noProof/>
                <w:webHidden/>
              </w:rPr>
              <w:fldChar w:fldCharType="separate"/>
            </w:r>
            <w:r w:rsidR="00D81E5D">
              <w:rPr>
                <w:noProof/>
                <w:webHidden/>
              </w:rPr>
              <w:t>10</w:t>
            </w:r>
            <w:r w:rsidR="00111367">
              <w:rPr>
                <w:noProof/>
                <w:webHidden/>
              </w:rPr>
              <w:fldChar w:fldCharType="end"/>
            </w:r>
          </w:hyperlink>
        </w:p>
        <w:p w14:paraId="66AE756B" w14:textId="31279308"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3" w:history="1">
            <w:r w:rsidR="00111367" w:rsidRPr="00D97B1C">
              <w:rPr>
                <w:rStyle w:val="Hyperlink"/>
                <w:noProof/>
              </w:rPr>
              <w:t>Statistical Analysis</w:t>
            </w:r>
            <w:r w:rsidR="00111367">
              <w:rPr>
                <w:noProof/>
                <w:webHidden/>
              </w:rPr>
              <w:tab/>
            </w:r>
            <w:r w:rsidR="00111367">
              <w:rPr>
                <w:noProof/>
                <w:webHidden/>
              </w:rPr>
              <w:fldChar w:fldCharType="begin"/>
            </w:r>
            <w:r w:rsidR="00111367">
              <w:rPr>
                <w:noProof/>
                <w:webHidden/>
              </w:rPr>
              <w:instrText xml:space="preserve"> PAGEREF _Toc85121053 \h </w:instrText>
            </w:r>
            <w:r w:rsidR="00111367">
              <w:rPr>
                <w:noProof/>
                <w:webHidden/>
              </w:rPr>
            </w:r>
            <w:r w:rsidR="00111367">
              <w:rPr>
                <w:noProof/>
                <w:webHidden/>
              </w:rPr>
              <w:fldChar w:fldCharType="separate"/>
            </w:r>
            <w:r w:rsidR="00D81E5D">
              <w:rPr>
                <w:noProof/>
                <w:webHidden/>
              </w:rPr>
              <w:t>12</w:t>
            </w:r>
            <w:r w:rsidR="00111367">
              <w:rPr>
                <w:noProof/>
                <w:webHidden/>
              </w:rPr>
              <w:fldChar w:fldCharType="end"/>
            </w:r>
          </w:hyperlink>
        </w:p>
        <w:p w14:paraId="4DDB6E93" w14:textId="2E7EA407" w:rsidR="00111367" w:rsidRDefault="00990E2F">
          <w:pPr>
            <w:pStyle w:val="Verzeichnis1"/>
            <w:rPr>
              <w:rFonts w:asciiTheme="minorHAnsi" w:eastAsiaTheme="minorEastAsia" w:hAnsiTheme="minorHAnsi" w:cstheme="minorBidi"/>
              <w:noProof/>
              <w:kern w:val="0"/>
              <w:sz w:val="22"/>
              <w:szCs w:val="22"/>
              <w:lang w:val="de-CH" w:eastAsia="de-CH" w:bidi="ar-SA"/>
            </w:rPr>
          </w:pPr>
          <w:hyperlink w:anchor="_Toc85121054" w:history="1">
            <w:r w:rsidR="00111367" w:rsidRPr="00D97B1C">
              <w:rPr>
                <w:rStyle w:val="Hyperlink"/>
                <w:noProof/>
                <w:lang w:eastAsia="en-US"/>
              </w:rPr>
              <w:t>Results</w:t>
            </w:r>
            <w:r w:rsidR="00111367">
              <w:rPr>
                <w:noProof/>
                <w:webHidden/>
              </w:rPr>
              <w:tab/>
            </w:r>
            <w:r w:rsidR="00111367">
              <w:rPr>
                <w:noProof/>
                <w:webHidden/>
              </w:rPr>
              <w:fldChar w:fldCharType="begin"/>
            </w:r>
            <w:r w:rsidR="00111367">
              <w:rPr>
                <w:noProof/>
                <w:webHidden/>
              </w:rPr>
              <w:instrText xml:space="preserve"> PAGEREF _Toc85121054 \h </w:instrText>
            </w:r>
            <w:r w:rsidR="00111367">
              <w:rPr>
                <w:noProof/>
                <w:webHidden/>
              </w:rPr>
            </w:r>
            <w:r w:rsidR="00111367">
              <w:rPr>
                <w:noProof/>
                <w:webHidden/>
              </w:rPr>
              <w:fldChar w:fldCharType="separate"/>
            </w:r>
            <w:r w:rsidR="00D81E5D">
              <w:rPr>
                <w:noProof/>
                <w:webHidden/>
              </w:rPr>
              <w:t>13</w:t>
            </w:r>
            <w:r w:rsidR="00111367">
              <w:rPr>
                <w:noProof/>
                <w:webHidden/>
              </w:rPr>
              <w:fldChar w:fldCharType="end"/>
            </w:r>
          </w:hyperlink>
        </w:p>
        <w:p w14:paraId="762DE77F" w14:textId="2BDF5903"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5" w:history="1">
            <w:r w:rsidR="00111367" w:rsidRPr="00D97B1C">
              <w:rPr>
                <w:rStyle w:val="Hyperlink"/>
                <w:noProof/>
              </w:rPr>
              <w:t>Confirmatory Analysis</w:t>
            </w:r>
            <w:r w:rsidR="00111367">
              <w:rPr>
                <w:noProof/>
                <w:webHidden/>
              </w:rPr>
              <w:tab/>
            </w:r>
            <w:r w:rsidR="00111367">
              <w:rPr>
                <w:noProof/>
                <w:webHidden/>
              </w:rPr>
              <w:fldChar w:fldCharType="begin"/>
            </w:r>
            <w:r w:rsidR="00111367">
              <w:rPr>
                <w:noProof/>
                <w:webHidden/>
              </w:rPr>
              <w:instrText xml:space="preserve"> PAGEREF _Toc85121055 \h </w:instrText>
            </w:r>
            <w:r w:rsidR="00111367">
              <w:rPr>
                <w:noProof/>
                <w:webHidden/>
              </w:rPr>
            </w:r>
            <w:r w:rsidR="00111367">
              <w:rPr>
                <w:noProof/>
                <w:webHidden/>
              </w:rPr>
              <w:fldChar w:fldCharType="separate"/>
            </w:r>
            <w:r w:rsidR="00D81E5D">
              <w:rPr>
                <w:noProof/>
                <w:webHidden/>
              </w:rPr>
              <w:t>13</w:t>
            </w:r>
            <w:r w:rsidR="00111367">
              <w:rPr>
                <w:noProof/>
                <w:webHidden/>
              </w:rPr>
              <w:fldChar w:fldCharType="end"/>
            </w:r>
          </w:hyperlink>
        </w:p>
        <w:p w14:paraId="5A16FB21" w14:textId="0F7D7CEF"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6" w:history="1">
            <w:r w:rsidR="00111367" w:rsidRPr="00D97B1C">
              <w:rPr>
                <w:rStyle w:val="Hyperlink"/>
                <w:noProof/>
              </w:rPr>
              <w:t>Exploratory Analysis</w:t>
            </w:r>
            <w:r w:rsidR="00111367">
              <w:rPr>
                <w:noProof/>
                <w:webHidden/>
              </w:rPr>
              <w:tab/>
            </w:r>
            <w:r w:rsidR="00111367">
              <w:rPr>
                <w:noProof/>
                <w:webHidden/>
              </w:rPr>
              <w:fldChar w:fldCharType="begin"/>
            </w:r>
            <w:r w:rsidR="00111367">
              <w:rPr>
                <w:noProof/>
                <w:webHidden/>
              </w:rPr>
              <w:instrText xml:space="preserve"> PAGEREF _Toc85121056 \h </w:instrText>
            </w:r>
            <w:r w:rsidR="00111367">
              <w:rPr>
                <w:noProof/>
                <w:webHidden/>
              </w:rPr>
            </w:r>
            <w:r w:rsidR="00111367">
              <w:rPr>
                <w:noProof/>
                <w:webHidden/>
              </w:rPr>
              <w:fldChar w:fldCharType="separate"/>
            </w:r>
            <w:r w:rsidR="00D81E5D">
              <w:rPr>
                <w:noProof/>
                <w:webHidden/>
              </w:rPr>
              <w:t>18</w:t>
            </w:r>
            <w:r w:rsidR="00111367">
              <w:rPr>
                <w:noProof/>
                <w:webHidden/>
              </w:rPr>
              <w:fldChar w:fldCharType="end"/>
            </w:r>
          </w:hyperlink>
        </w:p>
        <w:p w14:paraId="3EAD14E7" w14:textId="46D6244F" w:rsidR="00111367" w:rsidRDefault="00990E2F">
          <w:pPr>
            <w:pStyle w:val="Verzeichnis1"/>
            <w:rPr>
              <w:rFonts w:asciiTheme="minorHAnsi" w:eastAsiaTheme="minorEastAsia" w:hAnsiTheme="minorHAnsi" w:cstheme="minorBidi"/>
              <w:noProof/>
              <w:kern w:val="0"/>
              <w:sz w:val="22"/>
              <w:szCs w:val="22"/>
              <w:lang w:val="de-CH" w:eastAsia="de-CH" w:bidi="ar-SA"/>
            </w:rPr>
          </w:pPr>
          <w:hyperlink w:anchor="_Toc85121057" w:history="1">
            <w:r w:rsidR="00111367" w:rsidRPr="00D97B1C">
              <w:rPr>
                <w:rStyle w:val="Hyperlink"/>
                <w:noProof/>
                <w:lang w:eastAsia="en-US"/>
              </w:rPr>
              <w:t>Discussion</w:t>
            </w:r>
            <w:r w:rsidR="00111367">
              <w:rPr>
                <w:noProof/>
                <w:webHidden/>
              </w:rPr>
              <w:tab/>
            </w:r>
            <w:r w:rsidR="00111367">
              <w:rPr>
                <w:noProof/>
                <w:webHidden/>
              </w:rPr>
              <w:fldChar w:fldCharType="begin"/>
            </w:r>
            <w:r w:rsidR="00111367">
              <w:rPr>
                <w:noProof/>
                <w:webHidden/>
              </w:rPr>
              <w:instrText xml:space="preserve"> PAGEREF _Toc85121057 \h </w:instrText>
            </w:r>
            <w:r w:rsidR="00111367">
              <w:rPr>
                <w:noProof/>
                <w:webHidden/>
              </w:rPr>
            </w:r>
            <w:r w:rsidR="00111367">
              <w:rPr>
                <w:noProof/>
                <w:webHidden/>
              </w:rPr>
              <w:fldChar w:fldCharType="separate"/>
            </w:r>
            <w:r w:rsidR="00D81E5D">
              <w:rPr>
                <w:noProof/>
                <w:webHidden/>
              </w:rPr>
              <w:t>21</w:t>
            </w:r>
            <w:r w:rsidR="00111367">
              <w:rPr>
                <w:noProof/>
                <w:webHidden/>
              </w:rPr>
              <w:fldChar w:fldCharType="end"/>
            </w:r>
          </w:hyperlink>
        </w:p>
        <w:p w14:paraId="1107BBAF" w14:textId="56D84C06" w:rsidR="00111367" w:rsidRDefault="00990E2F">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8" w:history="1">
            <w:r w:rsidR="00111367" w:rsidRPr="00D97B1C">
              <w:rPr>
                <w:rStyle w:val="Hyperlink"/>
                <w:noProof/>
                <w:lang w:eastAsia="en-US"/>
              </w:rPr>
              <w:t xml:space="preserve">Future </w:t>
            </w:r>
            <w:r w:rsidR="00111367" w:rsidRPr="00D97B1C">
              <w:rPr>
                <w:rStyle w:val="Hyperlink"/>
                <w:noProof/>
              </w:rPr>
              <w:t>Research</w:t>
            </w:r>
            <w:r w:rsidR="00111367">
              <w:rPr>
                <w:noProof/>
                <w:webHidden/>
              </w:rPr>
              <w:tab/>
            </w:r>
            <w:r w:rsidR="00111367">
              <w:rPr>
                <w:noProof/>
                <w:webHidden/>
              </w:rPr>
              <w:fldChar w:fldCharType="begin"/>
            </w:r>
            <w:r w:rsidR="00111367">
              <w:rPr>
                <w:noProof/>
                <w:webHidden/>
              </w:rPr>
              <w:instrText xml:space="preserve"> PAGEREF _Toc85121058 \h </w:instrText>
            </w:r>
            <w:r w:rsidR="00111367">
              <w:rPr>
                <w:noProof/>
                <w:webHidden/>
              </w:rPr>
            </w:r>
            <w:r w:rsidR="00111367">
              <w:rPr>
                <w:noProof/>
                <w:webHidden/>
              </w:rPr>
              <w:fldChar w:fldCharType="separate"/>
            </w:r>
            <w:r w:rsidR="00D81E5D">
              <w:rPr>
                <w:noProof/>
                <w:webHidden/>
              </w:rPr>
              <w:t>24</w:t>
            </w:r>
            <w:r w:rsidR="00111367">
              <w:rPr>
                <w:noProof/>
                <w:webHidden/>
              </w:rPr>
              <w:fldChar w:fldCharType="end"/>
            </w:r>
          </w:hyperlink>
        </w:p>
        <w:p w14:paraId="47584786" w14:textId="553720BB" w:rsidR="006E172F" w:rsidRPr="000E1A9C" w:rsidRDefault="00990E2F" w:rsidP="00402001">
          <w:pPr>
            <w:pStyle w:val="Verzeichnis1"/>
          </w:pPr>
          <w:hyperlink w:anchor="_Toc85121059" w:history="1">
            <w:r w:rsidR="00111367" w:rsidRPr="00D97B1C">
              <w:rPr>
                <w:rStyle w:val="Hyperlink"/>
                <w:rFonts w:cstheme="minorHAnsi"/>
                <w:noProof/>
              </w:rPr>
              <w:t>Reference</w:t>
            </w:r>
            <w:r w:rsidR="00111367">
              <w:rPr>
                <w:noProof/>
                <w:webHidden/>
              </w:rPr>
              <w:tab/>
            </w:r>
            <w:r w:rsidR="00111367">
              <w:rPr>
                <w:noProof/>
                <w:webHidden/>
              </w:rPr>
              <w:fldChar w:fldCharType="begin"/>
            </w:r>
            <w:r w:rsidR="00111367">
              <w:rPr>
                <w:noProof/>
                <w:webHidden/>
              </w:rPr>
              <w:instrText xml:space="preserve"> PAGEREF _Toc85121059 \h </w:instrText>
            </w:r>
            <w:r w:rsidR="00111367">
              <w:rPr>
                <w:noProof/>
                <w:webHidden/>
              </w:rPr>
            </w:r>
            <w:r w:rsidR="00111367">
              <w:rPr>
                <w:noProof/>
                <w:webHidden/>
              </w:rPr>
              <w:fldChar w:fldCharType="separate"/>
            </w:r>
            <w:r w:rsidR="00D81E5D">
              <w:rPr>
                <w:noProof/>
                <w:webHidden/>
              </w:rPr>
              <w:t>27</w:t>
            </w:r>
            <w:r w:rsidR="00111367">
              <w:rPr>
                <w:noProof/>
                <w:webHidden/>
              </w:rPr>
              <w:fldChar w:fldCharType="end"/>
            </w:r>
          </w:hyperlink>
          <w:r w:rsidR="00CD736D">
            <w:fldChar w:fldCharType="end"/>
          </w:r>
        </w:p>
      </w:sdtContent>
    </w:sdt>
    <w:p w14:paraId="503CFDC5" w14:textId="77777777" w:rsidR="00EB7A02" w:rsidRDefault="00EB7A02" w:rsidP="00056419">
      <w:pPr>
        <w:pStyle w:val="Alias"/>
        <w:sectPr w:rsidR="00EB7A02" w:rsidSect="00000A2F">
          <w:footerReference w:type="default" r:id="rId13"/>
          <w:headerReference w:type="first" r:id="rId14"/>
          <w:footerReference w:type="first" r:id="rId15"/>
          <w:pgSz w:w="12240" w:h="15840" w:code="1"/>
          <w:pgMar w:top="1474" w:right="1474" w:bottom="1474" w:left="1474" w:header="720" w:footer="510" w:gutter="0"/>
          <w:pgNumType w:start="0"/>
          <w:cols w:space="720"/>
          <w:titlePg/>
          <w:docGrid w:linePitch="326"/>
        </w:sectPr>
      </w:pPr>
      <w:bookmarkStart w:id="6" w:name="_Toc73444232"/>
      <w:bookmarkStart w:id="7" w:name="_Toc73461010"/>
      <w:bookmarkStart w:id="8" w:name="_Toc73461154"/>
      <w:bookmarkStart w:id="9" w:name="_Toc73461184"/>
      <w:bookmarkStart w:id="10" w:name="_Toc73461218"/>
      <w:bookmarkStart w:id="11" w:name="_Toc73461233"/>
    </w:p>
    <w:p w14:paraId="0E86D500" w14:textId="1B693923" w:rsidR="002D022C" w:rsidRDefault="002D022C" w:rsidP="00056419">
      <w:pPr>
        <w:pStyle w:val="Alias"/>
      </w:pPr>
      <w:r w:rsidRPr="00056419">
        <w:lastRenderedPageBreak/>
        <w:t>Acknowledgement</w:t>
      </w:r>
      <w:bookmarkEnd w:id="6"/>
      <w:bookmarkEnd w:id="7"/>
      <w:bookmarkEnd w:id="8"/>
      <w:bookmarkEnd w:id="9"/>
      <w:bookmarkEnd w:id="10"/>
      <w:bookmarkEnd w:id="11"/>
    </w:p>
    <w:p w14:paraId="48B89208" w14:textId="5EB3D622" w:rsidR="004D6172" w:rsidRDefault="004D6172" w:rsidP="004D6172">
      <w:bookmarkStart w:id="12" w:name="_Toc73444233"/>
      <w:bookmarkStart w:id="13" w:name="_Toc73461011"/>
      <w:bookmarkStart w:id="14" w:name="_Toc73461155"/>
      <w:bookmarkStart w:id="15" w:name="_Toc73461185"/>
      <w:bookmarkStart w:id="16" w:name="_Toc73461219"/>
      <w:bookmarkStart w:id="17" w:name="_Toc73461234"/>
      <w:r w:rsidRPr="004D6172">
        <w:t xml:space="preserve">This study was conducted under the supervision of </w:t>
      </w:r>
      <w:proofErr w:type="spellStart"/>
      <w:r w:rsidRPr="004D6172">
        <w:t>Elianne</w:t>
      </w:r>
      <w:proofErr w:type="spellEnd"/>
      <w:r w:rsidRPr="004D6172">
        <w:t xml:space="preserve"> Anthea </w:t>
      </w:r>
      <w:proofErr w:type="spellStart"/>
      <w:r w:rsidRPr="004D6172">
        <w:t>Albath</w:t>
      </w:r>
      <w:proofErr w:type="spellEnd"/>
      <w:r w:rsidRPr="004D6172">
        <w:t>, M. Sc.</w:t>
      </w:r>
      <w:r w:rsidR="00573834">
        <w:t>,</w:t>
      </w:r>
      <w:r w:rsidRPr="004D6172">
        <w:t xml:space="preserve"> who guided the entire project and provided valuable suggestions and corrections. I would like to thank her for her support and easy </w:t>
      </w:r>
      <w:r>
        <w:t>reachability</w:t>
      </w:r>
      <w:r w:rsidRPr="004D6172">
        <w:t>. Another thank</w:t>
      </w:r>
      <w:r>
        <w:t xml:space="preserve">s </w:t>
      </w:r>
      <w:proofErr w:type="gramStart"/>
      <w:r w:rsidRPr="004D6172">
        <w:t>goes</w:t>
      </w:r>
      <w:proofErr w:type="gramEnd"/>
      <w:r w:rsidRPr="004D6172">
        <w:t xml:space="preserve"> to my roommate Moritz </w:t>
      </w:r>
      <w:proofErr w:type="spellStart"/>
      <w:r w:rsidRPr="004D6172">
        <w:t>Mücke</w:t>
      </w:r>
      <w:proofErr w:type="spellEnd"/>
      <w:r w:rsidRPr="004D6172">
        <w:t>, who supported me emotionally during the last phase of the project</w:t>
      </w:r>
      <w:r>
        <w:t xml:space="preserve"> and helped with ideas</w:t>
      </w:r>
      <w:r w:rsidRPr="004D6172">
        <w:t xml:space="preserve">. </w:t>
      </w:r>
      <w:proofErr w:type="gramStart"/>
      <w:r w:rsidRPr="004D6172">
        <w:t>Last but not least</w:t>
      </w:r>
      <w:proofErr w:type="gramEnd"/>
      <w:r w:rsidRPr="004D6172">
        <w:t>, I would like to thank my family, who is the main reason why I was able to do this study and this master thesis at all.</w:t>
      </w:r>
    </w:p>
    <w:p w14:paraId="342ACF5D" w14:textId="77777777" w:rsidR="00D2128A" w:rsidRPr="004D6172" w:rsidRDefault="00D2128A" w:rsidP="004D6172"/>
    <w:p w14:paraId="65A62050" w14:textId="2CA05582" w:rsidR="002D022C" w:rsidRPr="00056419" w:rsidRDefault="002D022C" w:rsidP="00D2128A">
      <w:pPr>
        <w:pStyle w:val="Alias"/>
      </w:pPr>
      <w:r w:rsidRPr="00056419">
        <w:t>Declaration of scientific integrity</w:t>
      </w:r>
      <w:bookmarkEnd w:id="12"/>
      <w:bookmarkEnd w:id="13"/>
      <w:bookmarkEnd w:id="14"/>
      <w:bookmarkEnd w:id="15"/>
      <w:bookmarkEnd w:id="16"/>
      <w:bookmarkEnd w:id="17"/>
    </w:p>
    <w:p w14:paraId="7AD40D62" w14:textId="363ABF98" w:rsidR="002D022C" w:rsidRPr="000E1A9C" w:rsidRDefault="002D022C" w:rsidP="000538F4">
      <w:pPr>
        <w:rPr>
          <w:bCs/>
        </w:rPr>
      </w:pPr>
      <w:r w:rsidRPr="000E1A9C">
        <w:rPr>
          <w:bCs/>
        </w:rPr>
        <w:t xml:space="preserve">The author hereby declares that she/he has read and fully adhered the </w:t>
      </w:r>
      <w:hyperlink r:id="rId16" w:history="1">
        <w:r w:rsidRPr="000E1A9C">
          <w:rPr>
            <w:rStyle w:val="Hyperlink"/>
            <w:bCs/>
          </w:rPr>
          <w:t>Code for Good Practice in Research of the University of Basel</w:t>
        </w:r>
      </w:hyperlink>
      <w:r w:rsidRPr="000E1A9C">
        <w:rPr>
          <w:bCs/>
        </w:rPr>
        <w:t>.</w:t>
      </w: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4ED2C226" w14:textId="77777777" w:rsidR="00D2128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193B56">
        <w:rPr>
          <w:rFonts w:cstheme="minorHAnsi"/>
          <w:noProof/>
          <w:u w:val="single"/>
        </w:rPr>
        <w:t>14 October 2021</w:t>
      </w:r>
      <w:r>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p>
    <w:p w14:paraId="6D01938F" w14:textId="77777777" w:rsidR="00D2128A" w:rsidRDefault="00D2128A">
      <w:pPr>
        <w:suppressAutoHyphens w:val="0"/>
        <w:autoSpaceDN/>
        <w:spacing w:after="160" w:line="259" w:lineRule="auto"/>
        <w:ind w:firstLine="0"/>
        <w:textAlignment w:val="auto"/>
        <w:rPr>
          <w:rFonts w:cstheme="minorHAnsi"/>
        </w:rPr>
      </w:pPr>
    </w:p>
    <w:p w14:paraId="61C66905" w14:textId="77777777" w:rsidR="00D2128A" w:rsidRDefault="00D2128A">
      <w:pPr>
        <w:suppressAutoHyphens w:val="0"/>
        <w:autoSpaceDN/>
        <w:spacing w:after="160" w:line="259" w:lineRule="auto"/>
        <w:ind w:firstLine="0"/>
        <w:textAlignment w:val="auto"/>
        <w:rPr>
          <w:rFonts w:cstheme="minorHAnsi"/>
        </w:rPr>
        <w:sectPr w:rsidR="00D2128A" w:rsidSect="00D2128A">
          <w:footerReference w:type="default" r:id="rId17"/>
          <w:headerReference w:type="first" r:id="rId18"/>
          <w:footerReference w:type="first" r:id="rId19"/>
          <w:pgSz w:w="12240" w:h="15840" w:code="1"/>
          <w:pgMar w:top="1474" w:right="1474" w:bottom="1474" w:left="1474" w:header="720" w:footer="510" w:gutter="0"/>
          <w:pgNumType w:start="0"/>
          <w:cols w:space="720"/>
          <w:titlePg/>
          <w:docGrid w:linePitch="326"/>
        </w:sectPr>
      </w:pP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121043"/>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779D777F" w:rsidR="00222DE6" w:rsidRDefault="00D306C0"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 xml:space="preserve">Ostracism can change </w:t>
      </w:r>
      <w:r w:rsidR="001109F7">
        <w:t>a</w:t>
      </w:r>
      <w:r>
        <w:t xml:space="preserve"> victim’s perception of social information. </w:t>
      </w:r>
      <w:r w:rsidR="001109F7">
        <w:t>Particularly</w:t>
      </w:r>
      <w:r w:rsidR="00222DE6" w:rsidRPr="00222DE6">
        <w:t>, socially excluded individuals were found to differ from included individuals in their perception of personality traits</w:t>
      </w:r>
      <w:r>
        <w:t xml:space="preserve"> conveyed by faces</w:t>
      </w:r>
      <w:r w:rsidR="00222DE6" w:rsidRPr="00222DE6">
        <w:t xml:space="preserve">. Most importantly, their view of various </w:t>
      </w:r>
      <w:r w:rsidR="001109F7">
        <w:t xml:space="preserve">facial </w:t>
      </w:r>
      <w:r w:rsidR="00222DE6" w:rsidRPr="00222DE6">
        <w:t>personality traits became more differentiated and their preference for the studied trait</w:t>
      </w:r>
      <w:r w:rsidR="001109F7">
        <w:t xml:space="preserve"> extraversion</w:t>
      </w:r>
      <w:r w:rsidR="00222DE6" w:rsidRPr="00222DE6">
        <w:t xml:space="preserve"> changed. This study, conducted in an online design, seeks to answer two main hypotheses that extend the </w:t>
      </w:r>
      <w:r w:rsidR="00E75F0F">
        <w:t>previous</w:t>
      </w:r>
      <w:r w:rsidR="00222DE6" w:rsidRPr="00222DE6">
        <w:t xml:space="preserve"> literature</w:t>
      </w:r>
      <w:r w:rsidR="001109F7">
        <w:t xml:space="preserve"> by including all Big Five traits</w:t>
      </w:r>
      <w:r w:rsidR="00222DE6" w:rsidRPr="00222DE6">
        <w:t xml:space="preserv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w:t>
      </w:r>
      <w:r w:rsidR="00D56C25">
        <w:t xml:space="preserve">socially </w:t>
      </w:r>
      <w:r w:rsidR="003B565A" w:rsidRPr="003B565A">
        <w:t xml:space="preserve">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00222DE6"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783335D0" w14:textId="3350FF4F"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870A4C">
        <w:t>Face</w:t>
      </w:r>
      <w:r w:rsidR="001C7EE4">
        <w:t xml:space="preserve"> perception</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0652031E" w14:textId="5EEB43BD" w:rsidR="003F59A3" w:rsidRPr="003F59A3" w:rsidRDefault="003F59A3" w:rsidP="00173B0B">
      <w:pPr>
        <w:spacing w:line="360" w:lineRule="auto"/>
        <w:ind w:left="567" w:firstLine="0"/>
        <w:jc w:val="center"/>
        <w:rPr>
          <w:b/>
          <w:bCs/>
        </w:rPr>
      </w:pPr>
      <w:bookmarkStart w:id="52" w:name="_Toc85121044"/>
      <w:r w:rsidRPr="003F59A3">
        <w:rPr>
          <w:b/>
          <w:bCs/>
        </w:rPr>
        <w:lastRenderedPageBreak/>
        <w:t>A glimpse through the lens of ostracism</w:t>
      </w:r>
    </w:p>
    <w:p w14:paraId="37EAE1AB" w14:textId="1AF3640D" w:rsidR="00754B80" w:rsidRPr="000E1A9C" w:rsidRDefault="00754B80" w:rsidP="009318C8">
      <w:pPr>
        <w:pStyle w:val="berschrift1"/>
        <w:ind w:left="360"/>
      </w:pPr>
      <w:r w:rsidRPr="000E1A9C">
        <w:t>Introduction</w:t>
      </w:r>
      <w:bookmarkEnd w:id="41"/>
      <w:bookmarkEnd w:id="42"/>
      <w:bookmarkEnd w:id="43"/>
      <w:bookmarkEnd w:id="44"/>
      <w:bookmarkEnd w:id="45"/>
      <w:bookmarkEnd w:id="46"/>
      <w:bookmarkEnd w:id="47"/>
      <w:bookmarkEnd w:id="48"/>
      <w:bookmarkEnd w:id="49"/>
      <w:bookmarkEnd w:id="50"/>
      <w:bookmarkEnd w:id="51"/>
      <w:bookmarkEnd w:id="52"/>
    </w:p>
    <w:p w14:paraId="20904CFA" w14:textId="5FB1621C" w:rsidR="0050255D" w:rsidRDefault="00331DB9" w:rsidP="002259DE">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0B6244BD" w:rsidR="004C4C36" w:rsidRDefault="004C4C36" w:rsidP="004C4C36">
      <w:pPr>
        <w:pStyle w:val="berschrift2"/>
      </w:pPr>
      <w:bookmarkStart w:id="53" w:name="_Toc85121045"/>
      <w:r>
        <w:t>Ostracism</w:t>
      </w:r>
      <w:bookmarkEnd w:id="53"/>
    </w:p>
    <w:p w14:paraId="267D1788" w14:textId="77777777" w:rsidR="008849FD"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9B771B" w:rsidRPr="009B771B">
        <w:t xml:space="preserve">The feeling of being excluded and ignored is familiar to everyone, whether </w:t>
      </w:r>
      <w:r w:rsidR="009B771B">
        <w:t>by</w:t>
      </w:r>
      <w:r w:rsidR="009B771B" w:rsidRPr="009B771B">
        <w:t xml:space="preserve"> being excluded from a game or ignored in a group conversation.</w:t>
      </w:r>
      <w:r w:rsidR="00BD0123" w:rsidRPr="000E1A9C">
        <w:t xml:space="preserve">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9C38F6">
        <w:instrText xml:space="preserve"> ADDIN ZOTERO_ITEM CSL_CITATION {"citationID":"43PdkhIs","properties":{"formattedCitation":"(DeWall &amp; Bushman, 2011; K. D. Williams, 2007; K. D. Williams et al., 2000)","plainCitation":"(DeWall &amp; Bushman, 2011; K. D. Williams, 2007; K. D. Williams et al., 2000)","noteIndex":0},"citationItems":[{"id":1226,"uris":["http://zotero.org/users/4433522/items/VZL5ERQ3"],"uri":["http://zotero.org/users/4433522/items/VZL5ERQ3"],"itemData":{"id":1226,"type":"article-journal","abstract":"People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9C38F6" w:rsidRPr="009C38F6">
        <w:rPr>
          <w:rFonts w:cs="Times New Roman"/>
        </w:rPr>
        <w:t>(DeWall &amp; Bushman, 2011; K. D. Williams, 2007; K. D. Williams et al., 2000)</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w:t>
      </w:r>
      <w:r w:rsidR="00396D36" w:rsidRPr="000E1A9C">
        <w:lastRenderedPageBreak/>
        <w:t>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p>
    <w:p w14:paraId="00C4EB6B" w14:textId="77777777" w:rsidR="002259DE" w:rsidRDefault="00B946D4" w:rsidP="00976DA3">
      <w:r w:rsidRPr="000E1A9C">
        <w:t xml:space="preserve">Within </w:t>
      </w:r>
      <w:r w:rsidR="00396D36" w:rsidRPr="000E1A9C">
        <w:t>the</w:t>
      </w:r>
      <w:r w:rsidRPr="000E1A9C">
        <w:t xml:space="preserve"> body of </w:t>
      </w:r>
      <w:r w:rsidR="00396D36" w:rsidRPr="000E1A9C">
        <w:t xml:space="preserve">ostracism </w:t>
      </w:r>
      <w:r w:rsidRPr="000E1A9C">
        <w:t>research lays</w:t>
      </w:r>
      <w:r w:rsidR="00754B80" w:rsidRPr="000E1A9C">
        <w:t xml:space="preserve"> </w:t>
      </w:r>
      <w:r w:rsidR="003E5AE5" w:rsidRPr="000E1A9C">
        <w:t xml:space="preserve">a </w:t>
      </w:r>
      <w:r w:rsidRPr="000E1A9C">
        <w:t>topic that investigates the</w:t>
      </w:r>
      <w:r w:rsidR="00754B80" w:rsidRPr="000E1A9C">
        <w:t xml:space="preserve"> influence of ostracism on an affected individuals' perception of the world and </w:t>
      </w:r>
      <w:r w:rsidR="00632839" w:rsidRPr="000E1A9C">
        <w:t xml:space="preserve">other </w:t>
      </w:r>
      <w:r w:rsidR="00754B80"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r w:rsidR="002259DE" w:rsidRPr="002259DE">
        <w:t xml:space="preserve"> </w:t>
      </w:r>
    </w:p>
    <w:p w14:paraId="4AFD7A1C" w14:textId="5AE63884" w:rsidR="008435EE" w:rsidRDefault="002259DE" w:rsidP="00976DA3">
      <w:r>
        <w:t xml:space="preserve">The aim of the present study is to look for differences between socially included (ostracized) and excluded individuals with respect to preferences for and inferences about facially communicated personality traits. </w:t>
      </w:r>
      <w:r w:rsidRPr="00A025D3">
        <w:t xml:space="preserve">To this end, an online study was conducted with two groups, one of which was exposed to feelings of social inclusion and the other to social exclusion. Both groups completed two tasks, the first </w:t>
      </w:r>
      <w:r>
        <w:t>assessed</w:t>
      </w:r>
      <w:r w:rsidRPr="00A025D3">
        <w:t xml:space="preserve"> their preferences for the </w:t>
      </w:r>
      <w:r>
        <w:t xml:space="preserve">Big Five </w:t>
      </w:r>
      <w:r w:rsidRPr="00A025D3">
        <w:t xml:space="preserve">personality </w:t>
      </w:r>
      <w:r>
        <w:t xml:space="preserve">traits </w:t>
      </w:r>
      <w:r w:rsidRPr="00A025D3">
        <w:t xml:space="preserve">conveyed by the face and the second </w:t>
      </w:r>
      <w:r>
        <w:t>recorded</w:t>
      </w:r>
      <w:r w:rsidRPr="00A025D3">
        <w:t xml:space="preserve"> their rating scores for the traits they assigned to each image.</w:t>
      </w:r>
      <w:r w:rsidR="00047678">
        <w:t xml:space="preserve"> The theory providing the basis for this study is summarized in the following sections.</w:t>
      </w:r>
    </w:p>
    <w:p w14:paraId="39E2DB7B" w14:textId="7E34C930" w:rsidR="004C4C36" w:rsidRPr="004C4C36" w:rsidRDefault="00087785" w:rsidP="004C4C36">
      <w:pPr>
        <w:pStyle w:val="berschrift2"/>
        <w:rPr>
          <w:rStyle w:val="berschrift2Zchn"/>
          <w:b/>
        </w:rPr>
      </w:pPr>
      <w:bookmarkStart w:id="61" w:name="_Toc85121046"/>
      <w:bookmarkEnd w:id="54"/>
      <w:bookmarkEnd w:id="55"/>
      <w:bookmarkEnd w:id="56"/>
      <w:bookmarkEnd w:id="57"/>
      <w:bookmarkEnd w:id="58"/>
      <w:bookmarkEnd w:id="59"/>
      <w:bookmarkEnd w:id="60"/>
      <w:r w:rsidRPr="004C4C36">
        <w:rPr>
          <w:rStyle w:val="berschrift2Zchn"/>
          <w:b/>
        </w:rPr>
        <w:t>Percept</w:t>
      </w:r>
      <w:r w:rsidR="00111367">
        <w:rPr>
          <w:rStyle w:val="berschrift2Zchn"/>
          <w:b/>
        </w:rPr>
        <w:t>ual</w:t>
      </w:r>
      <w:r w:rsidRPr="004C4C36">
        <w:rPr>
          <w:rStyle w:val="berschrift2Zchn"/>
          <w:b/>
        </w:rPr>
        <w:t xml:space="preserve"> </w:t>
      </w:r>
      <w:r w:rsidR="00BC5B1A">
        <w:rPr>
          <w:rStyle w:val="berschrift2Zchn"/>
          <w:b/>
        </w:rPr>
        <w:t>variation</w:t>
      </w:r>
      <w:bookmarkEnd w:id="61"/>
    </w:p>
    <w:p w14:paraId="6F5A8AC6" w14:textId="4239A7FF" w:rsidR="00F52F37" w:rsidRDefault="00D52366" w:rsidP="004C4C36">
      <w:r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w:t>
      </w:r>
      <w:r w:rsidR="00754B80" w:rsidRPr="00434642">
        <w:lastRenderedPageBreak/>
        <w:t xml:space="preserve">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9C38F6">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59CD6CEE" w:rsidR="00E66803" w:rsidRDefault="00A74D89" w:rsidP="008F58D7">
      <w:r>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17355" w:rsidRPr="00A17355">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9C38F6">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Psychologist","issue":"3","language":"en","page":"513-524","source":"Zotero","title":"Conservation of resources: a new attempt at conceptualizing stress","volume":"44","author":[{"family":"Hobfoll","given":"Stevan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A17355" w:rsidRPr="00A17355">
        <w:rPr>
          <w:rFonts w:cs="Times New Roman"/>
        </w:rPr>
        <w:t>(Hobfoll,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A17355" w:rsidRPr="00A17355">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A17355" w:rsidRPr="00A17355">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A17355" w:rsidRPr="00A17355">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A17355" w:rsidRPr="00A17355">
        <w:rPr>
          <w:rFonts w:cs="Times New Roman"/>
        </w:rPr>
        <w:t>(Riskind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A17355" w:rsidRPr="00A17355">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A17355" w:rsidRPr="00A17355">
        <w:rPr>
          <w:rFonts w:cs="Times New Roman"/>
        </w:rPr>
        <w:t>(Stefanucci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A17355" w:rsidRPr="00A17355">
        <w:rPr>
          <w:rFonts w:cs="Times New Roman"/>
        </w:rPr>
        <w:t>(Stefanucci et al., 2008)</w:t>
      </w:r>
      <w:r w:rsidR="00E66803">
        <w:fldChar w:fldCharType="end"/>
      </w:r>
      <w:r w:rsidR="00771C52">
        <w:t>.</w:t>
      </w:r>
    </w:p>
    <w:p w14:paraId="0A70FA84" w14:textId="434627F1"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w:t>
      </w:r>
      <w:r w:rsidR="00284143" w:rsidRPr="00284143">
        <w:lastRenderedPageBreak/>
        <w:t xml:space="preserve">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A17355" w:rsidRPr="00A17355">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6FAA164E" w14:textId="6B26943C" w:rsidR="004C4C36" w:rsidRPr="004C4C36" w:rsidRDefault="004F53C1" w:rsidP="004C4C36">
      <w:pPr>
        <w:pStyle w:val="berschrift2"/>
      </w:pPr>
      <w:bookmarkStart w:id="62" w:name="_Toc85121047"/>
      <w:r w:rsidRPr="004C4C36">
        <w:rPr>
          <w:rStyle w:val="berschrift3Zchn"/>
          <w:rFonts w:cstheme="minorHAnsi"/>
          <w:b/>
          <w:szCs w:val="23"/>
        </w:rPr>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7F5FB299"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Pr="007173DB">
        <w:t xml:space="preserve"> </w:t>
      </w:r>
      <w:r w:rsidR="00B81EB0">
        <w:t>of</w:t>
      </w:r>
      <w:r w:rsidRPr="007173DB">
        <w:t xml:space="preserve"> personality traits in </w:t>
      </w:r>
      <w:r w:rsidR="00F62D78">
        <w:t xml:space="preserve">the </w:t>
      </w:r>
      <w:r w:rsidR="00507796">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5BFDF9E5"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w:t>
      </w:r>
      <w:r w:rsidR="007C2173" w:rsidRPr="007C2173">
        <w:lastRenderedPageBreak/>
        <w:t xml:space="preserve">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3B3BF3D5"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w:t>
      </w:r>
      <w:r w:rsidR="002259DE">
        <w:t>participant</w:t>
      </w:r>
      <w:r w:rsidR="007F7201" w:rsidRPr="000E1A9C">
        <w:t>'s openness partially predicted his preference for openness in other faces.</w:t>
      </w:r>
      <w:r w:rsidR="00507796">
        <w:t xml:space="preserve"> </w:t>
      </w:r>
    </w:p>
    <w:p w14:paraId="6383D887" w14:textId="4FB5AEB3"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1875F4B9"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w:t>
      </w:r>
      <w:r>
        <w:lastRenderedPageBreak/>
        <w:t xml:space="preserve">compared to individuals with a high need to belong. </w:t>
      </w:r>
      <w:r w:rsidR="002C7A4A">
        <w:t>Moreover</w:t>
      </w:r>
      <w:r>
        <w:t>, it is unclear whether they perceive these traits as more extreme than individuals with a high need to belong.</w:t>
      </w:r>
    </w:p>
    <w:p w14:paraId="74695CFE" w14:textId="3F27A984" w:rsidR="004C4C36" w:rsidRPr="004C4C36" w:rsidRDefault="00967F79" w:rsidP="004C4C36">
      <w:pPr>
        <w:pStyle w:val="berschrift2"/>
      </w:pPr>
      <w:bookmarkStart w:id="63" w:name="_Toc85121048"/>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3FF4757B"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121049"/>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AFB095F"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w:t>
      </w:r>
      <w:r w:rsidR="00EC6ED8">
        <w:lastRenderedPageBreak/>
        <w:t xml:space="preserve">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or the socially excluded, I expect a preference for more open faces, as this could convey a signal of 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lastRenderedPageBreak/>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1E4FD85D"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9C38F6">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4931A345" w:rsidR="00C3120F" w:rsidRPr="00C3120F" w:rsidRDefault="003172F4" w:rsidP="00C3120F">
      <w:r w:rsidRPr="00047678">
        <w:t>To</w:t>
      </w:r>
      <w:r w:rsidR="00047678" w:rsidRPr="00047678">
        <w:t xml:space="preserve"> ensure complete transparency, all measurement instruments for recording the required variables are listed and explained in the following </w:t>
      </w:r>
      <w:r w:rsidR="00047678">
        <w:t>M</w:t>
      </w:r>
      <w:r w:rsidR="00047678" w:rsidRPr="00047678">
        <w:t>ethods section.</w:t>
      </w:r>
    </w:p>
    <w:p w14:paraId="303E660C" w14:textId="087FED6B" w:rsidR="00754B80" w:rsidRPr="000E1A9C" w:rsidRDefault="00754B80" w:rsidP="009318C8">
      <w:pPr>
        <w:pStyle w:val="berschrift1"/>
        <w:ind w:left="360"/>
        <w:rPr>
          <w:rFonts w:cstheme="minorHAnsi"/>
        </w:rPr>
      </w:pPr>
      <w:bookmarkStart w:id="89" w:name="_Toc85121050"/>
      <w:r w:rsidRPr="000E1A9C">
        <w:rPr>
          <w:rFonts w:cstheme="minorHAnsi"/>
        </w:rPr>
        <w:lastRenderedPageBreak/>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121051"/>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121052"/>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5B71498B"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776D83D0" w14:textId="77777777" w:rsidR="00161B6B"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lastRenderedPageBreak/>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xml:space="preserve">). </w:t>
      </w:r>
    </w:p>
    <w:p w14:paraId="10494C20" w14:textId="20C66DC3" w:rsidR="00BD569A" w:rsidRDefault="00880B94" w:rsidP="00A3132C">
      <w:r w:rsidRPr="000E1A9C">
        <w:t>Afterwards,</w:t>
      </w:r>
      <w:r w:rsidR="00754B80" w:rsidRPr="000E1A9C">
        <w:t xml:space="preserve"> they </w:t>
      </w:r>
      <w:r w:rsidR="00115A85">
        <w:t>were</w:t>
      </w:r>
      <w:r w:rsidRPr="000E1A9C">
        <w:t xml:space="preserve"> presented with 20 individual </w:t>
      </w:r>
      <w:r w:rsidR="00754B80" w:rsidRPr="000E1A9C">
        <w:t>photograph</w:t>
      </w:r>
      <w:r w:rsidRPr="000E1A9C">
        <w:t>s, each showing a</w:t>
      </w:r>
      <w:r w:rsidR="00754B80" w:rsidRPr="000E1A9C">
        <w:t xml:space="preserve"> face </w:t>
      </w:r>
      <w:r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consider that participants may not know the exact Big Five terms, </w:t>
      </w:r>
      <w:r w:rsidR="005C4D48">
        <w:t xml:space="preserve">two </w:t>
      </w:r>
      <w:r w:rsidR="00BD569A" w:rsidRPr="00BD569A">
        <w:t xml:space="preserve">synonyms that are common in everyday language were chosen </w:t>
      </w:r>
      <w:r w:rsidR="005C4D48">
        <w:t>to describe each trait instead (e.g., not at all sociable, chatty – extremely sociable, chatty)</w:t>
      </w:r>
      <w:r w:rsidR="00BD569A" w:rsidRPr="00BD569A">
        <w:t>. The exact terms were provided in an online article that covered this very topic</w:t>
      </w:r>
      <w:r w:rsidR="00703F1B">
        <w:t xml:space="preserve"> </w:t>
      </w:r>
      <w:r w:rsidR="00703F1B">
        <w:fldChar w:fldCharType="begin"/>
      </w:r>
      <w:r w:rsidR="008C0C1D">
        <w:instrText xml:space="preserve"> ADDIN ZOTERO_ITEM CSL_CITATION {"citationID":"EWbXu7Pu","properties":{"formattedCitation":"(Lima, 2020; accessed June 14, 2021)","plainCitation":"(Lima, 2020; accessed June 14, 2021)","noteIndex":0},"citationItems":[{"id":1267,"uris":["http://zotero.org/users/4433522/items/YI7QG29R"],"uri":["http://zotero.org/users/4433522/items/YI7QG29R"],"itemData":{"id":1267,"type":"webpage","abstract":"The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traits","URL":"https://www.simplypsychology.org/big-five-personality.html","author":[{"family":"Lima","given":"A."}],"accessed":{"date-parts":[["2021",6,14]]},"issued":{"date-parts":[["2020",6,15]]}},"suffix":"; accessed June 14, 2021"}],"schema":"https://github.com/citation-style-language/schema/raw/master/csl-citation.json"} </w:instrText>
      </w:r>
      <w:r w:rsidR="00703F1B">
        <w:fldChar w:fldCharType="separate"/>
      </w:r>
      <w:r w:rsidR="008C0C1D" w:rsidRPr="008C0C1D">
        <w:rPr>
          <w:rFonts w:cs="Times New Roman"/>
        </w:rPr>
        <w:t>(Lima, 2020; accessed June 1</w:t>
      </w:r>
      <w:r w:rsidR="00D376B8">
        <w:rPr>
          <w:rFonts w:cs="Times New Roman"/>
        </w:rPr>
        <w:t>3</w:t>
      </w:r>
      <w:r w:rsidR="008C0C1D" w:rsidRPr="008C0C1D">
        <w:rPr>
          <w:rFonts w:cs="Times New Roman"/>
        </w:rPr>
        <w:t>, 2021)</w:t>
      </w:r>
      <w:r w:rsidR="00703F1B">
        <w:fldChar w:fldCharType="end"/>
      </w:r>
      <w:r w:rsidR="00703F1B">
        <w:t xml:space="preserve">. </w:t>
      </w:r>
    </w:p>
    <w:p w14:paraId="2451C880" w14:textId="2AB22BDB" w:rsidR="00754B80" w:rsidRPr="000E1A9C" w:rsidRDefault="002237FD" w:rsidP="00A3132C">
      <w:r w:rsidRPr="000E1A9C">
        <w:t>Participants</w:t>
      </w:r>
      <w:r w:rsidR="00115A85">
        <w:t xml:space="preserve"> made</w:t>
      </w:r>
      <w:r w:rsidRPr="000E1A9C">
        <w:t xml:space="preserve"> these decisions for 20 faces. </w:t>
      </w:r>
      <w:r w:rsidR="00754B80" w:rsidRPr="000E1A9C">
        <w:t xml:space="preserve">The photos presented in both tasks </w:t>
      </w:r>
      <w:r w:rsidR="00115A85">
        <w:t>were</w:t>
      </w:r>
      <w:r w:rsidR="00754B80" w:rsidRPr="000E1A9C">
        <w:t xml:space="preserve"> shown </w:t>
      </w:r>
      <w:r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22AD6D46" w14:textId="0A5F9DB7" w:rsidR="00161B6B" w:rsidRDefault="00754B80" w:rsidP="00AD119B">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1132248A" w14:textId="4BB0784E" w:rsidR="00504F7C" w:rsidRDefault="00504F7C" w:rsidP="00AD119B"/>
    <w:p w14:paraId="4C042EB0" w14:textId="7AD46056" w:rsidR="00504F7C" w:rsidRDefault="00504F7C" w:rsidP="00AD119B"/>
    <w:p w14:paraId="4080CF0F" w14:textId="77777777" w:rsidR="00504F7C" w:rsidRPr="00D80E53" w:rsidRDefault="00504F7C" w:rsidP="00AD119B"/>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121053"/>
      <w:r w:rsidRPr="000E1A9C">
        <w:lastRenderedPageBreak/>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control for family-wise 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4F176A4E" w:rsidR="000F1810" w:rsidRDefault="000F1810" w:rsidP="009E554B">
      <w:pPr>
        <w:rPr>
          <w:rFonts w:cs="Times New Roman"/>
        </w:rPr>
      </w:pPr>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p>
    <w:p w14:paraId="1E4E1DFB" w14:textId="7FED565F" w:rsidR="003172F4" w:rsidRPr="000E1A9C" w:rsidRDefault="00193735" w:rsidP="009E554B">
      <w:r w:rsidRPr="00193735">
        <w:rPr>
          <w:rFonts w:cs="Times New Roman"/>
        </w:rPr>
        <w:t>Finally, exploratory analyses are calculated if the data provide sufficient reasons to do so.</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121054"/>
      <w:r w:rsidRPr="000E1A9C">
        <w:rPr>
          <w:lang w:eastAsia="en-US" w:bidi="ar-SA"/>
        </w:rPr>
        <w:lastRenderedPageBreak/>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1E560444" w:rsidR="001D4D86" w:rsidRPr="000E1A9C"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rsidR="004C7E19">
        <w:t>, 95% CI [-4.35, -2.92]</w:t>
      </w:r>
      <w:r>
        <w:t>.</w:t>
      </w:r>
    </w:p>
    <w:p w14:paraId="4AE81E7E" w14:textId="63807D93" w:rsidR="00CD736D" w:rsidRDefault="00CD736D" w:rsidP="00CD736D">
      <w:pPr>
        <w:pStyle w:val="berschrift2"/>
      </w:pPr>
      <w:bookmarkStart w:id="140" w:name="_Toc85121055"/>
      <w:r>
        <w:t>Confirmatory Analysis</w:t>
      </w:r>
      <w:bookmarkEnd w:id="140"/>
    </w:p>
    <w:p w14:paraId="1E1A5592" w14:textId="0C112407"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w:t>
      </w:r>
      <w:r w:rsidR="00FD7600">
        <w:lastRenderedPageBreak/>
        <w:t>e</w:t>
      </w:r>
      <w:r w:rsidR="003F7998" w:rsidRPr="000E1A9C">
        <w:t xml:space="preserv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6CA27F23" w:rsidR="009D0F0A" w:rsidRPr="000E1A9C" w:rsidRDefault="007E23D3" w:rsidP="008B1F5D">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002B4ACD">
        <w:t>.21</w:t>
      </w:r>
      <w:r w:rsidRPr="007E23D3">
        <w:t xml:space="preserve">, </w:t>
      </w:r>
      <w:r w:rsidR="00FD6644">
        <w:t>33</w:t>
      </w:r>
      <w:r w:rsidR="002B4ACD">
        <w:t>3.68</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6F536B7F" w14:textId="77777777" w:rsidR="001C776D" w:rsidRDefault="001C776D"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3FEA0331" w:rsidR="007C4093" w:rsidRPr="000E1A9C" w:rsidRDefault="007C4093" w:rsidP="007C4093">
      <w:pPr>
        <w:ind w:firstLine="0"/>
        <w:rPr>
          <w:i/>
          <w:iCs/>
        </w:rPr>
      </w:pPr>
      <w:r w:rsidRPr="000E1A9C">
        <w:rPr>
          <w:i/>
          <w:iCs/>
        </w:rPr>
        <w:t>Descriptive and inferential statistic</w:t>
      </w:r>
      <w:r w:rsidR="00BD05F5">
        <w:rPr>
          <w:i/>
          <w:iCs/>
        </w:rPr>
        <w:t xml:space="preserve">s </w:t>
      </w:r>
      <w:r w:rsidRPr="000E1A9C">
        <w:rPr>
          <w:i/>
          <w:iCs/>
        </w:rPr>
        <w:t xml:space="preserve">of </w:t>
      </w:r>
      <w:r w:rsidR="00BD05F5">
        <w:rPr>
          <w:i/>
          <w:iCs/>
        </w:rPr>
        <w:t xml:space="preserve">the </w:t>
      </w:r>
      <w:r w:rsidRPr="000E1A9C">
        <w:rPr>
          <w:i/>
          <w:iCs/>
        </w:rPr>
        <w:t>preference task analy</w:t>
      </w:r>
      <w:r w:rsidR="00A00516">
        <w:rPr>
          <w:i/>
          <w:iCs/>
        </w:rPr>
        <w:t>si</w:t>
      </w:r>
      <w:r w:rsidRPr="000E1A9C">
        <w:rPr>
          <w:i/>
          <w:iCs/>
        </w:rPr>
        <w:t>s</w:t>
      </w:r>
      <w:r w:rsidR="006805E3">
        <w:rPr>
          <w:i/>
          <w:iCs/>
        </w:rPr>
        <w:t>;</w:t>
      </w:r>
      <w:r w:rsidR="00BD05F5">
        <w:rPr>
          <w:i/>
          <w:iCs/>
        </w:rPr>
        <w:t xml:space="preserve"> </w:t>
      </w:r>
      <w:r w:rsidR="00DE1555">
        <w:rPr>
          <w:i/>
          <w:iCs/>
        </w:rPr>
        <w:t>Welch two sample t-test</w:t>
      </w:r>
      <w:r w:rsidRPr="000E1A9C">
        <w:rPr>
          <w:i/>
          <w:iCs/>
        </w:rPr>
        <w: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DE1555">
        <w:trPr>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DE1555">
        <w:trPr>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DE1555">
        <w:trPr>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DE1555">
        <w:trPr>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DE1555">
        <w:trPr>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DE1555">
        <w:trPr>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DE1555">
        <w:trPr>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02D91A6F" w14:textId="4707A4F8" w:rsidR="00B12C85" w:rsidRDefault="007E23D3" w:rsidP="00A55211">
      <w:r w:rsidRPr="007E23D3">
        <w:lastRenderedPageBreak/>
        <w:t xml:space="preserve">For the rating task, </w:t>
      </w:r>
      <w:r w:rsidR="00B742AE">
        <w:t>the same approach was chosen as for the preference task, testing for the overall effect of the ostracism condition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0B50A5DF" w14:textId="682B9F4B" w:rsidR="00FE00C7" w:rsidRPr="000E1A9C" w:rsidRDefault="00FE00C7" w:rsidP="00A55211">
      <w:r w:rsidRPr="000E1A9C">
        <w:t xml:space="preserve">Correction of the p-values </w:t>
      </w:r>
      <w:r>
        <w:t xml:space="preserve">of both main analyses </w:t>
      </w:r>
      <w:r w:rsidRPr="000E1A9C">
        <w:t>using the Holm-Bonferroni method was neither necessary, since the results were far from significant, nor would it have resulted in different figures.</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214FC645" w:rsidR="00016DC2" w:rsidRPr="000E1A9C" w:rsidRDefault="00016DC2" w:rsidP="00016DC2">
      <w:pPr>
        <w:ind w:firstLine="0"/>
        <w:rPr>
          <w:i/>
          <w:iCs/>
        </w:rPr>
      </w:pPr>
      <w:r w:rsidRPr="000E1A9C">
        <w:rPr>
          <w:i/>
          <w:iCs/>
        </w:rPr>
        <w:t>Descriptive and inferential statistics of the rating task analys</w:t>
      </w:r>
      <w:r w:rsidR="00A00516">
        <w:rPr>
          <w:i/>
          <w:iCs/>
        </w:rPr>
        <w:t>i</w:t>
      </w:r>
      <w:r w:rsidRPr="000E1A9C">
        <w:rPr>
          <w:i/>
          <w:iCs/>
        </w:rPr>
        <w:t>s</w:t>
      </w:r>
      <w:r w:rsidR="006805E3">
        <w:rPr>
          <w:i/>
          <w:iCs/>
        </w:rPr>
        <w:t>;</w:t>
      </w:r>
      <w:r w:rsidR="00DE1555">
        <w:rPr>
          <w:i/>
          <w:iCs/>
        </w:rPr>
        <w:t xml:space="preserve"> Welch two sample t-test.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8076FF">
        <w:trPr>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8076FF">
        <w:trPr>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8076FF">
        <w:trPr>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8076FF">
        <w:trPr>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8076FF">
        <w:trPr>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8076FF">
        <w:trPr>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8076FF">
        <w:trPr>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7951C35D" w14:textId="77777777" w:rsidR="00504F7C" w:rsidRDefault="00504F7C" w:rsidP="00000A2F">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p>
    <w:p w14:paraId="2F35A0E5" w14:textId="7C198009" w:rsidR="007E23D3" w:rsidRDefault="00CC53C6" w:rsidP="00000A2F">
      <w:r w:rsidRPr="000E1A9C">
        <w:lastRenderedPageBreak/>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 ratings.</w:t>
      </w:r>
    </w:p>
    <w:p w14:paraId="38093683" w14:textId="4C496180"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387D964C" w:rsidR="000D1705" w:rsidRPr="000E1A9C" w:rsidRDefault="000D1705" w:rsidP="000D1705">
      <w:pPr>
        <w:ind w:firstLine="0"/>
        <w:rPr>
          <w:i/>
          <w:iCs/>
        </w:rPr>
      </w:pPr>
      <w:r w:rsidRPr="000E1A9C">
        <w:rPr>
          <w:i/>
          <w:iCs/>
        </w:rPr>
        <w:t xml:space="preserve">Inferential statistics </w:t>
      </w:r>
      <w:r w:rsidR="00A00516">
        <w:rPr>
          <w:i/>
          <w:iCs/>
        </w:rPr>
        <w:t xml:space="preserve">of the </w:t>
      </w:r>
      <w:r w:rsidR="00BC6F1B">
        <w:rPr>
          <w:i/>
          <w:iCs/>
        </w:rPr>
        <w:t xml:space="preserve">direction of </w:t>
      </w:r>
      <w:r w:rsidR="00A00516">
        <w:rPr>
          <w:i/>
          <w:iCs/>
        </w:rPr>
        <w:t xml:space="preserve">trait manipulation </w:t>
      </w:r>
      <w:r w:rsidR="00601A15">
        <w:rPr>
          <w:i/>
          <w:iCs/>
        </w:rPr>
        <w:t>analys</w:t>
      </w:r>
      <w:r w:rsidR="00A00516">
        <w:rPr>
          <w:i/>
          <w:iCs/>
        </w:rPr>
        <w:t>i</w:t>
      </w:r>
      <w:r w:rsidR="00601A15">
        <w:rPr>
          <w:i/>
          <w:iCs/>
        </w:rPr>
        <w:t>s</w:t>
      </w:r>
      <w:r w:rsidR="006805E3">
        <w:rPr>
          <w:i/>
          <w:iCs/>
        </w:rPr>
        <w:t>;</w:t>
      </w:r>
      <w:r w:rsidR="00601A15">
        <w:rPr>
          <w:i/>
          <w:iCs/>
        </w:rPr>
        <w:t xml:space="preserve"> </w:t>
      </w:r>
      <w:r w:rsidRPr="000E1A9C">
        <w:rPr>
          <w:i/>
          <w:iCs/>
        </w:rPr>
        <w:t>two-way ANOVA.</w:t>
      </w:r>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555F29">
        <w:trPr>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1138C1">
        <w:trPr>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1E3B78B0" w:rsidR="008E5E97" w:rsidRPr="00645DEC" w:rsidRDefault="00580E80" w:rsidP="00555F29">
            <w:pPr>
              <w:pStyle w:val="Tabelle"/>
              <w:rPr>
                <w:vertAlign w:val="superscript"/>
              </w:rPr>
            </w:pPr>
            <w:r w:rsidRPr="000E1A9C">
              <w:rPr>
                <w:i/>
                <w:iCs/>
              </w:rPr>
              <w:t xml:space="preserve">η2 </w:t>
            </w:r>
            <w:r w:rsidRPr="000E1A9C">
              <w:t xml:space="preserve">= </w:t>
            </w:r>
            <w:r w:rsidR="00D22264">
              <w:t>.007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0C75FFBD" w:rsidR="008E5E97" w:rsidRPr="000E1A9C" w:rsidRDefault="000D1705" w:rsidP="00555F29">
            <w:pPr>
              <w:pStyle w:val="Tabelle"/>
            </w:pPr>
            <w:r w:rsidRPr="000E1A9C">
              <w:rPr>
                <w:i/>
                <w:iCs/>
              </w:rPr>
              <w:t xml:space="preserve">p </w:t>
            </w:r>
            <w:r w:rsidR="00E2124F">
              <w:t xml:space="preserve">= </w:t>
            </w:r>
            <w:r w:rsidR="00E2124F" w:rsidRPr="00E2124F">
              <w:t>.24</w:t>
            </w:r>
          </w:p>
        </w:tc>
      </w:tr>
      <w:tr w:rsidR="008E5E97" w:rsidRPr="000E1A9C" w14:paraId="1A69031B" w14:textId="77777777" w:rsidTr="001138C1">
        <w:trPr>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6A91BEF8" w:rsidR="008E5E97" w:rsidRPr="000E1A9C" w:rsidRDefault="00580E80" w:rsidP="00555F29">
            <w:pPr>
              <w:pStyle w:val="Tabelle"/>
            </w:pPr>
            <w:r w:rsidRPr="000E1A9C">
              <w:rPr>
                <w:i/>
                <w:iCs/>
              </w:rPr>
              <w:t xml:space="preserve">η2 </w:t>
            </w:r>
            <w:r w:rsidRPr="000E1A9C">
              <w:t>=</w:t>
            </w:r>
            <w:r w:rsidR="00E2124F">
              <w:t xml:space="preserve"> </w:t>
            </w:r>
            <w:r w:rsidR="00D22264">
              <w:t>.00009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25E0B1C1" w:rsidR="008E5E97" w:rsidRPr="00E2124F" w:rsidRDefault="000D1705" w:rsidP="00555F29">
            <w:pPr>
              <w:pStyle w:val="Tabelle"/>
            </w:pPr>
            <w:r w:rsidRPr="000E1A9C">
              <w:rPr>
                <w:i/>
                <w:iCs/>
              </w:rPr>
              <w:t xml:space="preserve">p </w:t>
            </w:r>
            <w:r w:rsidR="00E2124F">
              <w:t xml:space="preserve">= </w:t>
            </w:r>
            <w:r w:rsidR="00E2124F" w:rsidRPr="00E2124F">
              <w:t>.89</w:t>
            </w:r>
          </w:p>
        </w:tc>
      </w:tr>
      <w:tr w:rsidR="008E5E97" w:rsidRPr="000E1A9C" w14:paraId="15937308" w14:textId="77777777" w:rsidTr="001138C1">
        <w:trPr>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t>Extraversion</w:t>
            </w:r>
          </w:p>
        </w:tc>
        <w:tc>
          <w:tcPr>
            <w:tcW w:w="1879" w:type="dxa"/>
            <w:tcBorders>
              <w:top w:val="nil"/>
              <w:bottom w:val="nil"/>
            </w:tcBorders>
            <w:vAlign w:val="center"/>
          </w:tcPr>
          <w:p w14:paraId="3E894823" w14:textId="7458116C" w:rsidR="008E5E97" w:rsidRPr="000E1A9C" w:rsidRDefault="00580E80" w:rsidP="00555F29">
            <w:pPr>
              <w:pStyle w:val="Tabelle"/>
            </w:pPr>
            <w:r w:rsidRPr="000E1A9C">
              <w:rPr>
                <w:i/>
                <w:iCs/>
              </w:rPr>
              <w:t xml:space="preserve">η2 </w:t>
            </w:r>
            <w:r w:rsidRPr="000E1A9C">
              <w:t>=</w:t>
            </w:r>
            <w:r w:rsidR="00E2124F">
              <w:t xml:space="preserve"> </w:t>
            </w:r>
            <w:r w:rsidR="00D22264">
              <w:t>.009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38100684" w:rsidR="008E5E97" w:rsidRPr="000E1A9C" w:rsidRDefault="00E2124F" w:rsidP="00555F29">
            <w:pPr>
              <w:pStyle w:val="Tabelle"/>
            </w:pPr>
            <w:r w:rsidRPr="000E1A9C">
              <w:rPr>
                <w:i/>
                <w:iCs/>
              </w:rPr>
              <w:t xml:space="preserve">p </w:t>
            </w:r>
            <w:r>
              <w:t xml:space="preserve">= </w:t>
            </w:r>
            <w:r w:rsidRPr="00E2124F">
              <w:t>.1</w:t>
            </w:r>
            <w:r>
              <w:t>7</w:t>
            </w:r>
          </w:p>
        </w:tc>
      </w:tr>
      <w:tr w:rsidR="008E5E97" w:rsidRPr="000E1A9C" w14:paraId="6AD03947" w14:textId="77777777" w:rsidTr="001138C1">
        <w:trPr>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71A15A90" w:rsidR="008E5E97" w:rsidRPr="000E1A9C" w:rsidRDefault="00580E80" w:rsidP="00555F29">
            <w:pPr>
              <w:pStyle w:val="Tabelle"/>
            </w:pPr>
            <w:r w:rsidRPr="000E1A9C">
              <w:rPr>
                <w:i/>
                <w:iCs/>
              </w:rPr>
              <w:t xml:space="preserve">η2 </w:t>
            </w:r>
            <w:r w:rsidRPr="000E1A9C">
              <w:t>=</w:t>
            </w:r>
            <w:r w:rsidR="00E2124F">
              <w:t xml:space="preserve"> </w:t>
            </w:r>
            <w:r w:rsidR="00D22264">
              <w:t>.005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59D6C1C8" w:rsidR="008E5E97" w:rsidRPr="000E1A9C" w:rsidRDefault="00E2124F" w:rsidP="00555F29">
            <w:pPr>
              <w:pStyle w:val="Tabelle"/>
            </w:pPr>
            <w:r w:rsidRPr="000E1A9C">
              <w:rPr>
                <w:i/>
                <w:iCs/>
              </w:rPr>
              <w:t xml:space="preserve">p </w:t>
            </w:r>
            <w:r>
              <w:t xml:space="preserve">= </w:t>
            </w:r>
            <w:r w:rsidRPr="00E2124F">
              <w:t>.3</w:t>
            </w:r>
            <w:r>
              <w:t>1</w:t>
            </w:r>
          </w:p>
        </w:tc>
      </w:tr>
      <w:tr w:rsidR="008E5E97" w:rsidRPr="000E1A9C" w14:paraId="12617254" w14:textId="77777777" w:rsidTr="001138C1">
        <w:trPr>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561C29BE" w:rsidR="008E5E97" w:rsidRPr="000E1A9C" w:rsidRDefault="00580E80" w:rsidP="00555F29">
            <w:pPr>
              <w:pStyle w:val="Tabelle"/>
            </w:pPr>
            <w:r w:rsidRPr="000E1A9C">
              <w:rPr>
                <w:i/>
                <w:iCs/>
              </w:rPr>
              <w:t xml:space="preserve">η2 </w:t>
            </w:r>
            <w:r w:rsidRPr="000E1A9C">
              <w:t>=</w:t>
            </w:r>
            <w:r w:rsidR="00E2124F">
              <w:t xml:space="preserve"> </w:t>
            </w:r>
            <w:r w:rsidR="00D22264">
              <w:t>.002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1ED4E89B" w:rsidR="008E5E97" w:rsidRPr="000E1A9C" w:rsidRDefault="00E2124F" w:rsidP="00555F29">
            <w:pPr>
              <w:pStyle w:val="Tabelle"/>
            </w:pPr>
            <w:r w:rsidRPr="000E1A9C">
              <w:rPr>
                <w:i/>
                <w:iCs/>
              </w:rPr>
              <w:t xml:space="preserve">p </w:t>
            </w:r>
            <w:r>
              <w:t xml:space="preserve">= </w:t>
            </w:r>
            <w:r w:rsidRPr="00E2124F">
              <w:t>.50</w:t>
            </w:r>
          </w:p>
        </w:tc>
      </w:tr>
    </w:tbl>
    <w:p w14:paraId="3A28DF66" w14:textId="72953ABE"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so participants' own personality trait can be discarded as a moderator variable for the effect of exclusion on </w:t>
      </w:r>
      <w:r w:rsidR="0013592C">
        <w:t>participants’</w:t>
      </w:r>
      <w:r w:rsidR="0013592C" w:rsidRPr="0013592C">
        <w:t xml:space="preserve"> preferences for facial personality traits.</w:t>
      </w:r>
    </w:p>
    <w:p w14:paraId="0D6A3153" w14:textId="77777777" w:rsidR="00573C84" w:rsidRDefault="00573C84" w:rsidP="00CC53C6"/>
    <w:p w14:paraId="44FAF5F7" w14:textId="3E9A1665" w:rsidR="008F3CB5" w:rsidRPr="000E1A9C" w:rsidRDefault="008F3CB5" w:rsidP="008F3CB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040D0AE5" w:rsidR="00BD12CC" w:rsidRPr="00F54116" w:rsidRDefault="008F3CB5" w:rsidP="00F54116">
      <w:pPr>
        <w:ind w:firstLine="0"/>
        <w:rPr>
          <w:i/>
          <w:iCs/>
        </w:rPr>
      </w:pPr>
      <w:r w:rsidRPr="00F54116">
        <w:rPr>
          <w:i/>
          <w:iCs/>
        </w:rPr>
        <w:t>Inferential statistics of the moderator</w:t>
      </w:r>
      <w:r w:rsidR="00021487">
        <w:rPr>
          <w:i/>
          <w:iCs/>
        </w:rPr>
        <w:t xml:space="preserve"> (</w:t>
      </w:r>
      <w:r w:rsidR="00021487" w:rsidRPr="00F54116">
        <w:rPr>
          <w:i/>
          <w:iCs/>
        </w:rPr>
        <w:t xml:space="preserve">participants’ </w:t>
      </w:r>
      <w:r w:rsidR="00021487">
        <w:rPr>
          <w:i/>
          <w:iCs/>
        </w:rPr>
        <w:t>self-reported</w:t>
      </w:r>
      <w:r w:rsidR="00021487" w:rsidRPr="00F54116">
        <w:rPr>
          <w:i/>
          <w:iCs/>
        </w:rPr>
        <w:t xml:space="preserve"> personality traits</w:t>
      </w:r>
      <w:r w:rsidR="00021487">
        <w:rPr>
          <w:i/>
          <w:iCs/>
        </w:rPr>
        <w:t>)</w:t>
      </w:r>
      <w:r w:rsidRPr="00F54116">
        <w:rPr>
          <w:i/>
          <w:iCs/>
        </w:rPr>
        <w:t xml:space="preserve"> analysis</w:t>
      </w:r>
      <w:r w:rsidR="006805E3">
        <w:rPr>
          <w:i/>
          <w:iCs/>
        </w:rPr>
        <w:t>;</w:t>
      </w:r>
      <w:r w:rsidR="00A00516">
        <w:rPr>
          <w:i/>
          <w:iCs/>
        </w:rPr>
        <w:t xml:space="preserve"> </w:t>
      </w:r>
      <w:r w:rsidR="00021487">
        <w:rPr>
          <w:i/>
          <w:iCs/>
        </w:rPr>
        <w:t xml:space="preserve">multiple </w:t>
      </w:r>
      <w:r w:rsidR="00792AE3">
        <w:rPr>
          <w:i/>
          <w:iCs/>
        </w:rPr>
        <w:t xml:space="preserve">linear </w:t>
      </w:r>
      <w:r w:rsidR="00021487">
        <w:rPr>
          <w:i/>
          <w:iCs/>
        </w:rPr>
        <w:t>regression model</w:t>
      </w:r>
      <w:r w:rsidR="00D064AD" w:rsidRPr="00F54116">
        <w:rPr>
          <w:i/>
          <w:iCs/>
        </w:rPr>
        <w:t>.</w:t>
      </w:r>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044548">
        <w:trPr>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044548">
        <w:trPr>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044548">
        <w:trPr>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044548">
        <w:trPr>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044548">
        <w:trPr>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044548">
        <w:trPr>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10D1FB1B" w14:textId="51B7D9B0" w:rsidR="00514DF2" w:rsidRDefault="00B76162" w:rsidP="00514DF2">
      <w:r w:rsidRPr="00B76162">
        <w:t xml:space="preserve">The analysis could not support the five hypotheses that </w:t>
      </w:r>
      <w:r>
        <w:t>ostracized</w:t>
      </w:r>
      <w:r w:rsidRPr="00B76162">
        <w:t xml:space="preserve"> </w:t>
      </w:r>
      <w:r>
        <w:t>individuals</w:t>
      </w:r>
      <w:r w:rsidRPr="00B76162">
        <w:t xml:space="preserve"> have different preferences for facial </w:t>
      </w:r>
      <w:r>
        <w:t xml:space="preserve">personality traits </w:t>
      </w:r>
      <w:r w:rsidRPr="00B76162">
        <w:t xml:space="preserve">than socially </w:t>
      </w:r>
      <w:r>
        <w:t>included</w:t>
      </w:r>
      <w:r w:rsidRPr="00B76162">
        <w:t xml:space="preserve"> </w:t>
      </w:r>
      <w:r>
        <w:t>individuals</w:t>
      </w:r>
      <w:r w:rsidRPr="00B76162">
        <w:t xml:space="preserve">. The same is true for the sixth hypothesis, as no empirical evidence was found that </w:t>
      </w:r>
      <w:r>
        <w:t>ostracized</w:t>
      </w:r>
      <w:r w:rsidRPr="00B76162">
        <w:t xml:space="preserve"> </w:t>
      </w:r>
      <w:r>
        <w:t>individuals</w:t>
      </w:r>
      <w:r w:rsidRPr="00B76162">
        <w:t xml:space="preserve"> make more pronounced inferences about these facial features</w:t>
      </w:r>
      <w:r>
        <w:t xml:space="preserve"> compared to included ones</w:t>
      </w:r>
      <w:r w:rsidRPr="00B76162">
        <w:t xml:space="preserve">. Thus, all hypotheses were refuted. </w:t>
      </w:r>
      <w:r w:rsidR="00514DF2" w:rsidRPr="00514DF2">
        <w:t>When the direction of manipulation in the rating task was considered, no significant effect was found on all five traits, contradicting a directional effect of the trait manipulations. The same conclusion holds true for the results of the moderator analysis. Participants' own expression of personality traits had no significant effect on preferences for facial personality traits.</w:t>
      </w:r>
    </w:p>
    <w:p w14:paraId="15271B25" w14:textId="51E0930C" w:rsidR="00514DF2" w:rsidRDefault="00890E67" w:rsidP="00514DF2">
      <w:r>
        <w:t>In the next section, an exploratory approach is taken to analyze the data for more general effects that have also been found in previous studies.</w:t>
      </w:r>
    </w:p>
    <w:p w14:paraId="2F760E40" w14:textId="77777777" w:rsidR="00E76979" w:rsidRDefault="00E76979" w:rsidP="00514DF2"/>
    <w:p w14:paraId="09AA06B2" w14:textId="349BB58F" w:rsidR="00CD736D" w:rsidRDefault="00CD736D" w:rsidP="00CD736D">
      <w:pPr>
        <w:pStyle w:val="berschrift2"/>
      </w:pPr>
      <w:bookmarkStart w:id="152" w:name="_Toc85121056"/>
      <w:r>
        <w:lastRenderedPageBreak/>
        <w:t>Exploratory Analysis</w:t>
      </w:r>
      <w:bookmarkEnd w:id="152"/>
    </w:p>
    <w:p w14:paraId="742EF41C" w14:textId="40F0581D" w:rsidR="000D48F5" w:rsidRDefault="006D7B9F" w:rsidP="002B28DC">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w:t>
      </w:r>
      <w:r w:rsidR="00032688">
        <w:t xml:space="preserve">To </w:t>
      </w:r>
      <w:r w:rsidR="002B28DC">
        <w:t>examine</w:t>
      </w:r>
      <w:r w:rsidR="00032688">
        <w:t xml:space="preserve"> </w:t>
      </w:r>
      <w:r w:rsidR="002B28DC">
        <w:t>the</w:t>
      </w:r>
      <w:r w:rsidR="00032688">
        <w:t xml:space="preserve"> rating accuracy, a </w:t>
      </w:r>
      <w:r w:rsidR="00845D36">
        <w:t>one</w:t>
      </w:r>
      <w:r w:rsidR="00783504">
        <w:t xml:space="preserve">-sided </w:t>
      </w:r>
      <w:r w:rsidR="004816A3">
        <w:t xml:space="preserve">one-sample </w:t>
      </w:r>
      <w:r>
        <w:t xml:space="preserve">t-test </w:t>
      </w:r>
      <w:r w:rsidR="002B28DC">
        <w:t xml:space="preserve">was calculated </w:t>
      </w:r>
      <w:r w:rsidR="003C075F">
        <w:t xml:space="preserve">for </w:t>
      </w:r>
      <w:r>
        <w:t>the enhanced trait</w:t>
      </w:r>
      <w:r w:rsidR="006546A0">
        <w:t xml:space="preserve"> manipulations</w:t>
      </w:r>
      <w:r w:rsidR="002B28DC">
        <w:t xml:space="preserve"> and t</w:t>
      </w:r>
      <w:r w:rsidR="00034F45">
        <w:t xml:space="preserve">he same </w:t>
      </w:r>
      <w:r>
        <w:t>for the images with reduced trait</w:t>
      </w:r>
      <w:r w:rsidR="006546A0">
        <w:t xml:space="preserve"> manipulations</w:t>
      </w:r>
      <w:r>
        <w:t xml:space="preserve">. </w:t>
      </w:r>
      <w:r w:rsidR="00D4402B" w:rsidRPr="00D4402B">
        <w:t xml:space="preserve">The </w:t>
      </w:r>
      <w:r w:rsidR="00890E67">
        <w:t>ostracism</w:t>
      </w:r>
      <w:r w:rsidR="00D4402B" w:rsidRPr="00D4402B">
        <w:t xml:space="preserve"> manipulation was not included in this analysis because all previous results regarding it were not significant, suggesting that </w:t>
      </w:r>
      <w:r w:rsidR="00E47F86">
        <w:t>the condition variable</w:t>
      </w:r>
      <w:r w:rsidR="00D4402B" w:rsidRPr="00D4402B">
        <w:t xml:space="preserve"> would have no effect in this analysis</w:t>
      </w:r>
      <w:r w:rsidR="00032688">
        <w:t xml:space="preserve"> either</w:t>
      </w:r>
      <w:r w:rsidR="00D4402B" w:rsidRPr="00D4402B">
        <w:t>.</w:t>
      </w:r>
    </w:p>
    <w:p w14:paraId="250BEF17" w14:textId="46142A53" w:rsidR="00B160DE" w:rsidRDefault="006D7B9F" w:rsidP="00B160DE">
      <w:r>
        <w:t xml:space="preserve">In addition, a </w:t>
      </w:r>
      <w:r w:rsidR="00BD34BD">
        <w:t xml:space="preserve">two-sided one-sample </w:t>
      </w:r>
      <w:r>
        <w:t xml:space="preserve">t-test was calculated for each trait and the direction of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3CE9ECED" w:rsidR="004F2ACD" w:rsidRPr="00FF7797" w:rsidRDefault="00D66694" w:rsidP="00A86AF9">
      <w:r>
        <w:t>The analysis revealed that p</w:t>
      </w:r>
      <w:r w:rsidR="00B160DE" w:rsidRPr="00F172BC">
        <w:t xml:space="preserve">articipants were </w:t>
      </w:r>
      <w:r w:rsidR="00B160DE">
        <w:t xml:space="preserve">generally </w:t>
      </w:r>
      <w:r w:rsidR="00B160DE" w:rsidRPr="00F172BC">
        <w:t xml:space="preserve">able to evaluate images with </w:t>
      </w:r>
      <w:r>
        <w:t>enhanced</w:t>
      </w:r>
      <w:r w:rsidR="00B160DE" w:rsidRPr="00F172BC">
        <w:t xml:space="preserve"> trait manipulation</w:t>
      </w:r>
      <w:r w:rsidR="00B160DE">
        <w:t>s</w:t>
      </w:r>
      <w:r w:rsidR="00B160DE" w:rsidRPr="00F172BC">
        <w:t xml:space="preserve"> (</w:t>
      </w:r>
      <w:r w:rsidR="00B160DE" w:rsidRPr="006546A0">
        <w:rPr>
          <w:i/>
          <w:iCs/>
        </w:rPr>
        <w:t>M</w:t>
      </w:r>
      <w:r w:rsidR="00B160DE" w:rsidRPr="00F172BC">
        <w:t xml:space="preserve"> = 4.36, </w:t>
      </w:r>
      <w:r w:rsidR="00B160DE" w:rsidRPr="006546A0">
        <w:rPr>
          <w:i/>
          <w:iCs/>
        </w:rPr>
        <w:t>SD</w:t>
      </w:r>
      <w:r w:rsidR="00B160DE" w:rsidRPr="00F172BC">
        <w:t xml:space="preserve"> = 0.53) with significant accuracy, </w:t>
      </w:r>
      <w:r w:rsidR="00B160DE" w:rsidRPr="006546A0">
        <w:rPr>
          <w:i/>
          <w:iCs/>
        </w:rPr>
        <w:t>t</w:t>
      </w:r>
      <w:r w:rsidR="00B160DE" w:rsidRPr="00F172BC">
        <w:t xml:space="preserve">(105) = 6.94, </w:t>
      </w:r>
      <w:r w:rsidR="00B160DE" w:rsidRPr="006546A0">
        <w:rPr>
          <w:i/>
          <w:iCs/>
        </w:rPr>
        <w:t>p</w:t>
      </w:r>
      <w:r w:rsidR="00B160DE" w:rsidRPr="00F172BC">
        <w:t xml:space="preserve"> &lt; .001, </w:t>
      </w:r>
      <w:r w:rsidR="00B160DE" w:rsidRPr="006546A0">
        <w:rPr>
          <w:i/>
          <w:iCs/>
        </w:rPr>
        <w:t xml:space="preserve">d </w:t>
      </w:r>
      <w:r w:rsidR="00B160DE" w:rsidRPr="00F172BC">
        <w:t>= 0.67</w:t>
      </w:r>
      <w:r w:rsidR="00116660">
        <w:t>, 95% CI [4.27, Inf]</w:t>
      </w:r>
      <w:r w:rsidR="00B160DE" w:rsidRPr="00F172BC">
        <w:t>.</w:t>
      </w:r>
      <w:r w:rsidR="00FB174F">
        <w:rPr>
          <w:rStyle w:val="Funotenzeichen"/>
        </w:rPr>
        <w:footnoteReference w:id="5"/>
      </w:r>
      <w:r w:rsidR="00B160DE" w:rsidRPr="00F172BC">
        <w:t xml:space="preserve"> On the other hand, </w:t>
      </w:r>
      <w:r w:rsidR="00B160DE">
        <w:t xml:space="preserve">overall </w:t>
      </w:r>
      <w:r w:rsidR="00B160DE" w:rsidRPr="00F172BC">
        <w:t>inferences were not significantly correct for images with reduced trait manipulation</w:t>
      </w:r>
      <w:r w:rsidR="00B160DE">
        <w:t>s</w:t>
      </w:r>
      <w:r w:rsidR="00B160DE" w:rsidRPr="00F172BC">
        <w:t xml:space="preserve"> (</w:t>
      </w:r>
      <w:r w:rsidR="00B160DE" w:rsidRPr="006546A0">
        <w:rPr>
          <w:i/>
          <w:iCs/>
        </w:rPr>
        <w:t>M</w:t>
      </w:r>
      <w:r w:rsidR="00B160DE" w:rsidRPr="00F172BC">
        <w:t xml:space="preserve"> = 4.02, </w:t>
      </w:r>
      <w:r w:rsidR="00B160DE" w:rsidRPr="006546A0">
        <w:rPr>
          <w:i/>
          <w:iCs/>
        </w:rPr>
        <w:t>SD</w:t>
      </w:r>
      <w:r w:rsidR="00B160DE" w:rsidRPr="00F172BC">
        <w:t xml:space="preserve"> = 0.52), </w:t>
      </w:r>
      <w:r w:rsidR="00B160DE" w:rsidRPr="006546A0">
        <w:rPr>
          <w:i/>
          <w:iCs/>
        </w:rPr>
        <w:t>t</w:t>
      </w:r>
      <w:r w:rsidR="00B160DE" w:rsidRPr="00F172BC">
        <w:t xml:space="preserve">(105) = 0.34, </w:t>
      </w:r>
      <w:r w:rsidR="00B160DE" w:rsidRPr="006546A0">
        <w:rPr>
          <w:i/>
          <w:iCs/>
        </w:rPr>
        <w:t>p</w:t>
      </w:r>
      <w:r w:rsidR="00B160DE" w:rsidRPr="00F172BC">
        <w:t xml:space="preserve"> = .63, </w:t>
      </w:r>
      <w:r w:rsidR="00B160DE" w:rsidRPr="006546A0">
        <w:rPr>
          <w:i/>
          <w:iCs/>
        </w:rPr>
        <w:t>d</w:t>
      </w:r>
      <w:r w:rsidR="00B160DE" w:rsidRPr="00F172BC">
        <w:t xml:space="preserve"> = 0.03</w:t>
      </w:r>
      <w:r w:rsidR="00116660">
        <w:t>, 95% CI [-Inf, 4.10]</w:t>
      </w:r>
      <w:r w:rsidR="00B160DE" w:rsidRPr="00F172BC">
        <w:t>.</w:t>
      </w:r>
    </w:p>
    <w:p w14:paraId="55FB74C3" w14:textId="77777777" w:rsidR="008C5C0A" w:rsidRDefault="008C5C0A" w:rsidP="003902CC"/>
    <w:p w14:paraId="30E20E51" w14:textId="09B1AD6F"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113464A4" w:rsidR="004F2ACD" w:rsidRPr="00BA0D47" w:rsidRDefault="00F709C6" w:rsidP="00BA0D47">
      <w:pPr>
        <w:ind w:firstLine="0"/>
        <w:rPr>
          <w:i/>
          <w:iCs/>
        </w:rPr>
      </w:pPr>
      <w:r>
        <w:rPr>
          <w:i/>
          <w:iCs/>
        </w:rPr>
        <w:t>Descriptive and i</w:t>
      </w:r>
      <w:r w:rsidR="004F2ACD" w:rsidRPr="00BA0D47">
        <w:rPr>
          <w:i/>
          <w:iCs/>
        </w:rPr>
        <w:t xml:space="preserve">nferential statistics </w:t>
      </w:r>
      <w:r>
        <w:rPr>
          <w:i/>
          <w:iCs/>
        </w:rPr>
        <w:t>of</w:t>
      </w:r>
      <w:r w:rsidR="004F2ACD" w:rsidRPr="00BA0D47">
        <w:rPr>
          <w:i/>
          <w:iCs/>
        </w:rPr>
        <w:t xml:space="preserve"> the trait rating accuracy</w:t>
      </w:r>
      <w:r>
        <w:rPr>
          <w:i/>
          <w:iCs/>
        </w:rPr>
        <w:t xml:space="preserve"> analysis</w:t>
      </w:r>
      <w:r w:rsidR="004F2ACD" w:rsidRPr="00BA0D47">
        <w:rPr>
          <w:i/>
          <w:iCs/>
        </w:rPr>
        <w:t xml:space="preserve"> for enhanced trait manipulation</w:t>
      </w:r>
      <w:r>
        <w:rPr>
          <w:i/>
          <w:iCs/>
        </w:rPr>
        <w:t>s</w:t>
      </w:r>
      <w:r w:rsidR="006805E3">
        <w:rPr>
          <w:i/>
          <w:iCs/>
        </w:rPr>
        <w:t>;</w:t>
      </w:r>
      <w:r>
        <w:rPr>
          <w:i/>
          <w:iCs/>
        </w:rPr>
        <w:t xml:space="preserve"> </w:t>
      </w:r>
      <w:r w:rsidR="001B0F6C">
        <w:rPr>
          <w:i/>
          <w:iCs/>
        </w:rPr>
        <w:t xml:space="preserve">two-sided </w:t>
      </w:r>
      <w:r>
        <w:rPr>
          <w:i/>
          <w:iCs/>
        </w:rPr>
        <w:t>one-sample t-test</w:t>
      </w:r>
      <w:r w:rsidR="004F2ACD"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53"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53"/>
    <w:p w14:paraId="6F117FA1" w14:textId="13429B58" w:rsidR="00D25E7F" w:rsidRDefault="00D25E7F" w:rsidP="00D25E7F">
      <w:r>
        <w:t xml:space="preserve">* p-value &lt; 0.05  </w:t>
      </w:r>
    </w:p>
    <w:p w14:paraId="7D4E35E3" w14:textId="77777777" w:rsidR="00BD05F5" w:rsidRDefault="00BD05F5" w:rsidP="00D25E7F"/>
    <w:p w14:paraId="5675C791" w14:textId="59F3E193" w:rsidR="006D7B9F" w:rsidRDefault="006D7B9F" w:rsidP="00B160DE">
      <w:r>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D66694">
        <w:t xml:space="preserve">as </w:t>
      </w:r>
      <w:r w:rsidR="00B160DE">
        <w:t xml:space="preserve">indicated by the negative Cohen’s </w:t>
      </w:r>
      <w:r w:rsidR="00B160DE" w:rsidRPr="00B160DE">
        <w:rPr>
          <w:i/>
          <w:iCs/>
        </w:rPr>
        <w:t>d</w:t>
      </w:r>
      <w:r w:rsidR="00B160DE">
        <w:t xml:space="preserve">, </w:t>
      </w:r>
      <w:r w:rsidR="00D66694">
        <w:t>meaning that</w:t>
      </w:r>
      <w:r>
        <w:t xml:space="preserve"> participants rat</w:t>
      </w:r>
      <w:r w:rsidR="00D66694">
        <w:t>ed</w:t>
      </w:r>
      <w:r>
        <w:t xml:space="preserve"> </w:t>
      </w:r>
      <w:r w:rsidR="001B5B0F">
        <w:t>images</w:t>
      </w:r>
      <w:r>
        <w:t xml:space="preserve"> with </w:t>
      </w:r>
      <w:r w:rsidR="00D66694">
        <w:t>enhanced</w:t>
      </w:r>
      <w:r>
        <w:t xml:space="preserve"> openness lower than the scale mean of 4. It appears that the enhanced openness conveyed in faces is much more difficult to infer than the other Big Five traits.</w:t>
      </w:r>
    </w:p>
    <w:p w14:paraId="5BF86C4F" w14:textId="64600530" w:rsidR="00890E67" w:rsidRDefault="00890E67" w:rsidP="00B160DE"/>
    <w:p w14:paraId="52B3F141" w14:textId="77777777" w:rsidR="00890E67" w:rsidRDefault="00890E67" w:rsidP="00B160DE"/>
    <w:p w14:paraId="3E26DEAC" w14:textId="77777777" w:rsidR="00EA5F87" w:rsidRDefault="00EA5F87" w:rsidP="00B160DE"/>
    <w:p w14:paraId="4D2D6962" w14:textId="77777777" w:rsidR="004F2ACD" w:rsidRDefault="004F2ACD" w:rsidP="004F2ACD">
      <w:pPr>
        <w:pStyle w:val="Beschriftung"/>
        <w:keepNext/>
      </w:pPr>
      <w:r>
        <w:lastRenderedPageBreak/>
        <w:t xml:space="preserve">Table </w:t>
      </w:r>
      <w:r>
        <w:fldChar w:fldCharType="begin"/>
      </w:r>
      <w:r>
        <w:instrText xml:space="preserve"> SEQ Table \* ARABIC </w:instrText>
      </w:r>
      <w:r>
        <w:fldChar w:fldCharType="separate"/>
      </w:r>
      <w:r>
        <w:rPr>
          <w:noProof/>
        </w:rPr>
        <w:t>6</w:t>
      </w:r>
      <w:r>
        <w:fldChar w:fldCharType="end"/>
      </w:r>
    </w:p>
    <w:p w14:paraId="36B093DD" w14:textId="7B24F633" w:rsidR="00F709C6" w:rsidRPr="00BA0D47" w:rsidRDefault="00F709C6" w:rsidP="00F709C6">
      <w:pPr>
        <w:ind w:firstLine="0"/>
        <w:rPr>
          <w:i/>
          <w:iCs/>
        </w:rPr>
      </w:pPr>
      <w:r>
        <w:rPr>
          <w:i/>
          <w:iCs/>
        </w:rPr>
        <w:t>Descriptive and i</w:t>
      </w:r>
      <w:r w:rsidRPr="00BA0D47">
        <w:rPr>
          <w:i/>
          <w:iCs/>
        </w:rPr>
        <w:t xml:space="preserve">nferential statistics </w:t>
      </w:r>
      <w:r>
        <w:rPr>
          <w:i/>
          <w:iCs/>
        </w:rPr>
        <w:t>of</w:t>
      </w:r>
      <w:r w:rsidRPr="00BA0D47">
        <w:rPr>
          <w:i/>
          <w:iCs/>
        </w:rPr>
        <w:t xml:space="preserve"> the trait rating accuracy</w:t>
      </w:r>
      <w:r>
        <w:rPr>
          <w:i/>
          <w:iCs/>
        </w:rPr>
        <w:t xml:space="preserve"> analysis</w:t>
      </w:r>
      <w:r w:rsidRPr="00BA0D47">
        <w:rPr>
          <w:i/>
          <w:iCs/>
        </w:rPr>
        <w:t xml:space="preserve"> for </w:t>
      </w:r>
      <w:r>
        <w:rPr>
          <w:i/>
          <w:iCs/>
        </w:rPr>
        <w:t>reduced</w:t>
      </w:r>
      <w:r w:rsidRPr="00BA0D47">
        <w:rPr>
          <w:i/>
          <w:iCs/>
        </w:rPr>
        <w:t xml:space="preserve"> trait manipulations</w:t>
      </w:r>
      <w:r w:rsidR="006805E3">
        <w:rPr>
          <w:i/>
          <w:iCs/>
        </w:rPr>
        <w:t>;</w:t>
      </w:r>
      <w:r>
        <w:rPr>
          <w:i/>
          <w:iCs/>
        </w:rPr>
        <w:t xml:space="preserve"> </w:t>
      </w:r>
      <w:r w:rsidR="006311C3">
        <w:rPr>
          <w:i/>
          <w:iCs/>
        </w:rPr>
        <w:t xml:space="preserve">two-sided </w:t>
      </w:r>
      <w:r>
        <w:rPr>
          <w:i/>
          <w:iCs/>
        </w:rPr>
        <w:t>one-sample t-test</w:t>
      </w:r>
      <w:r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D25E7F">
        <w:trPr>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D25E7F">
        <w:trPr>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D25E7F">
        <w:trPr>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D25E7F">
        <w:trPr>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D25E7F">
        <w:trPr>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D25E7F">
        <w:trPr>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468C6F53" w:rsidR="00D25E7F" w:rsidRDefault="00D25E7F" w:rsidP="009A104B">
      <w:r>
        <w:t>* p-value &lt; 0.05</w:t>
      </w:r>
    </w:p>
    <w:p w14:paraId="09148D8F" w14:textId="77777777" w:rsidR="00D25E7F" w:rsidRDefault="00D25E7F" w:rsidP="009A104B"/>
    <w:p w14:paraId="5BFDDAFF" w14:textId="77777777" w:rsidR="00560669" w:rsidRDefault="00922611" w:rsidP="009A104B">
      <w:r w:rsidRPr="00922611">
        <w:t>The results of the t-tests for images with reduced trait manipulation yielded very similar significance values in quantity to the analysis of increased trait manipulation.</w:t>
      </w:r>
      <w:r w:rsidR="009A104B">
        <w:t xml:space="preserve"> However, the direction in which they deviated from the mean is surprising. For the </w:t>
      </w:r>
      <w:proofErr w:type="gramStart"/>
      <w:r w:rsidR="009A104B">
        <w:t>traits</w:t>
      </w:r>
      <w:proofErr w:type="gramEnd"/>
      <w:r w:rsidR="009A104B">
        <w:t xml:space="preserve"> extraversion and openness, the numbers reached significance in the direction of the intended</w:t>
      </w:r>
      <w:r w:rsidR="00E47F86">
        <w:t xml:space="preserve"> trait</w:t>
      </w:r>
      <w:r w:rsidR="009A104B">
        <w:t xml:space="preserve"> manipulation. The t-tests for Agreeableness and Conscientiousness also yielded significant results, but the means deviated in the wrong direction, opposite to the intended</w:t>
      </w:r>
      <w:r w:rsidR="00E47F86">
        <w:t xml:space="preserve"> </w:t>
      </w:r>
      <w:r>
        <w:t xml:space="preserve">direction of </w:t>
      </w:r>
      <w:r w:rsidR="00E47F86">
        <w:t>trait</w:t>
      </w:r>
      <w:r w:rsidR="009A104B">
        <w:t xml:space="preserve"> manipulation. Basically, this means that participants were actually very bad in their inferences of these two traits and performed worse than they would have by pure chance. </w:t>
      </w:r>
      <w:r w:rsidR="00560669" w:rsidRPr="00560669">
        <w:t xml:space="preserve">Only for openness were the ratings significantly in the direction of trait manipulation. </w:t>
      </w:r>
    </w:p>
    <w:p w14:paraId="7F75E2E2" w14:textId="54C27452" w:rsidR="006D7B9F" w:rsidRDefault="00930574" w:rsidP="009A104B">
      <w:r>
        <w:t>Overall, participants were better able to infer high trait manipulations than low ones. The results are discussed in more detail in the</w:t>
      </w:r>
      <w:r w:rsidR="00A8485F">
        <w:t xml:space="preserve"> following</w:t>
      </w:r>
      <w:r>
        <w:t xml:space="preserve"> </w:t>
      </w:r>
      <w:r w:rsidR="00A8485F">
        <w:t>Discussion</w:t>
      </w:r>
      <w:r>
        <w:t xml:space="preserve"> section.</w:t>
      </w:r>
    </w:p>
    <w:p w14:paraId="3423C536" w14:textId="36735201" w:rsidR="00262003" w:rsidRDefault="00262003" w:rsidP="001C7EE4">
      <w:pPr>
        <w:pStyle w:val="berschrift1"/>
        <w:rPr>
          <w:lang w:eastAsia="en-US" w:bidi="ar-SA"/>
        </w:rPr>
      </w:pPr>
      <w:bookmarkStart w:id="154" w:name="_Toc85121057"/>
      <w:r w:rsidRPr="000E1A9C">
        <w:rPr>
          <w:lang w:eastAsia="en-US" w:bidi="ar-SA"/>
        </w:rPr>
        <w:lastRenderedPageBreak/>
        <w:t>Discussion</w:t>
      </w:r>
      <w:bookmarkEnd w:id="141"/>
      <w:bookmarkEnd w:id="142"/>
      <w:bookmarkEnd w:id="143"/>
      <w:bookmarkEnd w:id="144"/>
      <w:bookmarkEnd w:id="145"/>
      <w:bookmarkEnd w:id="146"/>
      <w:bookmarkEnd w:id="147"/>
      <w:bookmarkEnd w:id="148"/>
      <w:bookmarkEnd w:id="149"/>
      <w:bookmarkEnd w:id="150"/>
      <w:bookmarkEnd w:id="151"/>
      <w:bookmarkEnd w:id="154"/>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5" w:name="_Toc72686995"/>
      <w:bookmarkStart w:id="156" w:name="_Toc73444082"/>
      <w:bookmarkStart w:id="157" w:name="_Toc73444214"/>
      <w:bookmarkStart w:id="158" w:name="_Toc73444244"/>
      <w:bookmarkStart w:id="159" w:name="_Toc73461023"/>
      <w:bookmarkStart w:id="160" w:name="_Toc73461094"/>
      <w:bookmarkStart w:id="161" w:name="_Toc73461152"/>
      <w:bookmarkStart w:id="162" w:name="_Toc73461167"/>
      <w:bookmarkStart w:id="163" w:name="_Toc73461197"/>
      <w:bookmarkStart w:id="164" w:name="_Toc73461231"/>
      <w:bookmarkStart w:id="165"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5BC05170"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relationship between a thwarted need to belong and a preference for extraverted faces. No such relationship was observed in the present study; more specifically, said relationship was far from significant, with a p-value of only </w:t>
      </w:r>
      <w:r w:rsidR="00E75DBF">
        <w:rPr>
          <w:lang w:eastAsia="en-US" w:bidi="ar-SA"/>
        </w:rPr>
        <w:t>0</w:t>
      </w:r>
      <w:r>
        <w:rPr>
          <w:lang w:eastAsia="en-US" w:bidi="ar-SA"/>
        </w:rPr>
        <w:t xml:space="preserve">.41.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 xml:space="preserve">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w:t>
      </w:r>
      <w:r w:rsidRPr="00DC5429">
        <w:rPr>
          <w:lang w:eastAsia="en-US" w:bidi="ar-SA"/>
        </w:rPr>
        <w:lastRenderedPageBreak/>
        <w:t>repeated testing. However, because the results of the two studies are very far apart, this probability is exceptionally low.</w:t>
      </w:r>
    </w:p>
    <w:p w14:paraId="755EB11E" w14:textId="426EDC89"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w:t>
      </w:r>
      <w:r w:rsidR="00E75DBF">
        <w:rPr>
          <w:lang w:eastAsia="en-US" w:bidi="ar-SA"/>
        </w:rPr>
        <w:t>no</w:t>
      </w:r>
      <w:r w:rsidR="006D3024" w:rsidRPr="006D3024">
        <w:rPr>
          <w:lang w:eastAsia="en-US" w:bidi="ar-SA"/>
        </w:rPr>
        <w:t>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w:t>
      </w:r>
      <w:r w:rsidR="00E75DBF">
        <w:rPr>
          <w:lang w:eastAsia="en-US" w:bidi="ar-SA"/>
        </w:rPr>
        <w:t xml:space="preserve">have </w:t>
      </w:r>
      <w:r w:rsidR="00007ACC" w:rsidRPr="00007ACC">
        <w:rPr>
          <w:lang w:eastAsia="en-US" w:bidi="ar-SA"/>
        </w:rPr>
        <w:t>differ</w:t>
      </w:r>
      <w:r w:rsidR="00E75DBF">
        <w:rPr>
          <w:lang w:eastAsia="en-US" w:bidi="ar-SA"/>
        </w:rPr>
        <w:t>ed</w:t>
      </w:r>
      <w:r w:rsidR="00007ACC" w:rsidRPr="00007ACC">
        <w:rPr>
          <w:lang w:eastAsia="en-US" w:bidi="ar-SA"/>
        </w:rPr>
        <w:t xml:space="preserve">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7A3D92EB" w14:textId="33ACB341"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w:t>
      </w:r>
      <w:r w:rsidR="00922611">
        <w:rPr>
          <w:lang w:eastAsia="en-US" w:bidi="ar-SA"/>
        </w:rPr>
        <w:t>enhanced</w:t>
      </w:r>
      <w:r w:rsidRPr="00915EBC">
        <w:rPr>
          <w:lang w:eastAsia="en-US" w:bidi="ar-SA"/>
        </w:rPr>
        <w:t xml:space="preserve">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w:t>
      </w:r>
      <w:r w:rsidR="00346910">
        <w:rPr>
          <w:lang w:eastAsia="en-US" w:bidi="ar-SA"/>
        </w:rPr>
        <w:t>low</w:t>
      </w:r>
      <w:r w:rsidR="00454FEE">
        <w:rPr>
          <w:lang w:eastAsia="en-US" w:bidi="ar-SA"/>
        </w:rPr>
        <w:t xml:space="preserve">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r w:rsidR="00346910">
        <w:rPr>
          <w:lang w:eastAsia="en-US" w:bidi="ar-SA"/>
        </w:rPr>
        <w:t xml:space="preserve">but </w:t>
      </w:r>
      <w:r w:rsidR="00454FEE">
        <w:rPr>
          <w:lang w:eastAsia="en-US" w:bidi="ar-SA"/>
        </w:rPr>
        <w:t xml:space="preserve">their inferences were even significantly in the wrong direction, </w:t>
      </w:r>
      <w:r w:rsidR="00454FEE">
        <w:rPr>
          <w:lang w:eastAsia="en-US" w:bidi="ar-SA"/>
        </w:rPr>
        <w:lastRenderedPageBreak/>
        <w:t xml:space="preserve">assuming low values for images with </w:t>
      </w:r>
      <w:r w:rsidR="00346910">
        <w:rPr>
          <w:lang w:eastAsia="en-US" w:bidi="ar-SA"/>
        </w:rPr>
        <w:t>enhanced</w:t>
      </w:r>
      <w:r w:rsidR="00454FEE">
        <w:rPr>
          <w:lang w:eastAsia="en-US" w:bidi="ar-SA"/>
        </w:rPr>
        <w:t xml:space="preserve"> openness manipulations and high values for images with </w:t>
      </w:r>
      <w:r w:rsidR="00346910">
        <w:rPr>
          <w:lang w:eastAsia="en-US" w:bidi="ar-SA"/>
        </w:rPr>
        <w:t>reduced</w:t>
      </w:r>
      <w:r w:rsidR="00454FEE">
        <w:rPr>
          <w:lang w:eastAsia="en-US" w:bidi="ar-SA"/>
        </w:rPr>
        <w:t xml:space="preserve"> agreeableness and </w:t>
      </w:r>
      <w:r w:rsidR="00346910">
        <w:rPr>
          <w:lang w:eastAsia="en-US" w:bidi="ar-SA"/>
        </w:rPr>
        <w:t>reduced</w:t>
      </w:r>
      <w:r w:rsidR="00454FEE">
        <w:rPr>
          <w:lang w:eastAsia="en-US" w:bidi="ar-SA"/>
        </w:rPr>
        <w:t xml:space="preserve">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0B074EA1"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w:t>
      </w:r>
      <w:r w:rsidR="0090043F">
        <w:rPr>
          <w:lang w:eastAsia="en-US" w:bidi="ar-SA"/>
        </w:rPr>
        <w:t>enhanced</w:t>
      </w:r>
      <w:r w:rsidR="008778F3" w:rsidRPr="008778F3">
        <w:rPr>
          <w:lang w:eastAsia="en-US" w:bidi="ar-SA"/>
        </w:rPr>
        <w:t xml:space="preserve"> trait </w:t>
      </w:r>
      <w:r w:rsidR="003E36C4">
        <w:rPr>
          <w:lang w:eastAsia="en-US" w:bidi="ar-SA"/>
        </w:rPr>
        <w:t>manipulations</w:t>
      </w:r>
      <w:r w:rsidR="008778F3" w:rsidRPr="008778F3">
        <w:rPr>
          <w:lang w:eastAsia="en-US" w:bidi="ar-SA"/>
        </w:rPr>
        <w:t xml:space="preserve"> may be easier or more familiar to us than with </w:t>
      </w:r>
      <w:r w:rsidR="0090043F">
        <w:rPr>
          <w:lang w:eastAsia="en-US" w:bidi="ar-SA"/>
        </w:rPr>
        <w:t>reduced</w:t>
      </w:r>
      <w:r w:rsidR="008778F3" w:rsidRPr="008778F3">
        <w:rPr>
          <w:lang w:eastAsia="en-US" w:bidi="ar-SA"/>
        </w:rPr>
        <w:t xml:space="preserve"> </w:t>
      </w:r>
      <w:r w:rsidR="003E36C4">
        <w:rPr>
          <w:lang w:eastAsia="en-US" w:bidi="ar-SA"/>
        </w:rPr>
        <w:t>trait manipulations</w:t>
      </w:r>
      <w:r w:rsidR="008778F3" w:rsidRPr="008778F3">
        <w:rPr>
          <w:lang w:eastAsia="en-US" w:bidi="ar-SA"/>
        </w:rPr>
        <w:t>.</w:t>
      </w:r>
      <w:r w:rsidR="00212F6A">
        <w:rPr>
          <w:lang w:eastAsia="en-US" w:bidi="ar-SA"/>
        </w:rPr>
        <w:t xml:space="preserve"> </w:t>
      </w:r>
    </w:p>
    <w:p w14:paraId="29DBE71C" w14:textId="77777777" w:rsidR="00352ECE" w:rsidRDefault="00F11DAA" w:rsidP="00845B91">
      <w:r w:rsidRPr="00F11DAA">
        <w:t xml:space="preserve">This difference could be due to the conspicuousness of individuals with high traits, as they are often more noticeable and prominent </w:t>
      </w:r>
      <w:r w:rsidR="003F799F">
        <w:rPr>
          <w:sz w:val="22"/>
          <w:szCs w:val="22"/>
        </w:rPr>
        <w:t>(e.g., high extraversion)</w:t>
      </w:r>
      <w:r w:rsidR="003F11A5">
        <w:t xml:space="preserve">. </w:t>
      </w:r>
    </w:p>
    <w:p w14:paraId="586CF3AA" w14:textId="02CF94FE" w:rsidR="00845B91" w:rsidRDefault="003F11A5" w:rsidP="00352ECE">
      <w:r>
        <w:rPr>
          <w:lang w:eastAsia="en-US" w:bidi="ar-SA"/>
        </w:rPr>
        <w:t>A different</w:t>
      </w:r>
      <w:r w:rsidR="008778F3" w:rsidRPr="008778F3">
        <w:rPr>
          <w:lang w:eastAsia="en-US" w:bidi="ar-SA"/>
        </w:rPr>
        <w:t xml:space="preserve"> explanation </w:t>
      </w:r>
      <w:r w:rsidR="00F11DAA">
        <w:rPr>
          <w:lang w:eastAsia="en-US" w:bidi="ar-SA"/>
        </w:rPr>
        <w:t>worth</w:t>
      </w:r>
      <w:r>
        <w:rPr>
          <w:lang w:eastAsia="en-US" w:bidi="ar-SA"/>
        </w:rPr>
        <w:t xml:space="preserve"> consider</w:t>
      </w:r>
      <w:r w:rsidR="00F11DAA">
        <w:rPr>
          <w:lang w:eastAsia="en-US" w:bidi="ar-SA"/>
        </w:rPr>
        <w:t xml:space="preserve">ing </w:t>
      </w:r>
      <w:r>
        <w:rPr>
          <w:lang w:eastAsia="en-US" w:bidi="ar-SA"/>
        </w:rPr>
        <w:t>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 xml:space="preserve">Even though lower values on all </w:t>
      </w:r>
      <w:r w:rsidR="006B69D7">
        <w:rPr>
          <w:lang w:eastAsia="en-US" w:bidi="ar-SA"/>
        </w:rPr>
        <w:t>Big F</w:t>
      </w:r>
      <w:r w:rsidR="008778F3" w:rsidRPr="008778F3">
        <w:rPr>
          <w:lang w:eastAsia="en-US" w:bidi="ar-SA"/>
        </w:rPr>
        <w:t xml:space="preserve">ive traits do not actually have a negative meaning, </w:t>
      </w:r>
      <w:r w:rsidR="006B69D7">
        <w:rPr>
          <w:lang w:eastAsia="en-US" w:bidi="ar-SA"/>
        </w:rPr>
        <w:t xml:space="preserve">a </w:t>
      </w:r>
      <w:r w:rsidR="008778F3" w:rsidRPr="008778F3">
        <w:rPr>
          <w:lang w:eastAsia="en-US" w:bidi="ar-SA"/>
        </w:rPr>
        <w:t>positivity bias may have affected ratings</w:t>
      </w:r>
      <w:r w:rsidR="00352ECE">
        <w:rPr>
          <w:lang w:eastAsia="en-US" w:bidi="ar-SA"/>
        </w:rPr>
        <w:t xml:space="preserve"> nevertheless because</w:t>
      </w:r>
      <w:r w:rsidR="00845B91">
        <w:t xml:space="preserve"> the choice of words used to describe the Big Five traits in the questionnaire was, in retrospect, unfavorable. They were mostly evaluative in either a positive or negative direction and therefore could have signaled to participants that the trait had a positive connotation on one side of the scale and a negative connotation on the other. However, the data do not clearly support this assumption, because the </w:t>
      </w:r>
      <w:r w:rsidR="00845B91">
        <w:lastRenderedPageBreak/>
        <w:t>only trait described by words with negative connotations was neuroticism (anxious, pessimistic), and for pictures intended to convey both high and low neuroticism levels, a slightly higher rating was given on average. This means that participants were not hesitant to give higher ratings for negative characteristics. The opposite was true for openness, as this trait was explained by two positive words (imaginative, spontaneous), and lower ratings were selected on average for all pictures conveying openness, regardless of the direction of manipulation. This suggests a limited influence of positivity bias at best. However, the descriptive words for the Big Five traits should be as neutral as possible to minimize influence on participants' choices and represent an important weakness in the present study.</w:t>
      </w:r>
    </w:p>
    <w:p w14:paraId="1745BF76" w14:textId="4FFAE9B4" w:rsidR="00915EBC" w:rsidRPr="00915EBC" w:rsidRDefault="00C1004F" w:rsidP="00845B91">
      <w:r>
        <w:rPr>
          <w:lang w:eastAsia="en-US" w:bidi="ar-SA"/>
        </w:rPr>
        <w:t xml:space="preserve">Another explanation for the ratings leaning towards </w:t>
      </w:r>
      <w:r w:rsidR="008778F3">
        <w:rPr>
          <w:lang w:eastAsia="en-US" w:bidi="ar-SA"/>
        </w:rPr>
        <w:t>the</w:t>
      </w:r>
      <w:r>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6" w:name="_Toc85121058"/>
      <w:r>
        <w:rPr>
          <w:lang w:eastAsia="en-US" w:bidi="ar-SA"/>
        </w:rPr>
        <w:t xml:space="preserve">Future </w:t>
      </w:r>
      <w:r w:rsidRPr="00915EBC">
        <w:t>Research</w:t>
      </w:r>
      <w:bookmarkEnd w:id="166"/>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1CDF6291"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w:t>
      </w:r>
      <w:r w:rsidR="00A06A35" w:rsidRPr="00A06A35">
        <w:lastRenderedPageBreak/>
        <w:t xml:space="preserve">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rsidR="0090043F">
        <w:t>enhanced</w:t>
      </w:r>
      <w:r>
        <w:t xml:space="preserve"> </w:t>
      </w:r>
      <w:r w:rsidR="003639DB">
        <w:t>trait</w:t>
      </w:r>
      <w:r>
        <w:t xml:space="preserve"> manipulations than </w:t>
      </w:r>
      <w:r w:rsidR="0090043F">
        <w:t>reduced</w:t>
      </w:r>
      <w:r>
        <w:t xml:space="preserve">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 xml:space="preserve">In summary, none of the predicted effects were found. On the contrary, the results are surprisingly non-significant and partially contradictory, calling the previous literature into </w:t>
      </w:r>
      <w:r w:rsidRPr="00F304AC">
        <w:lastRenderedPageBreak/>
        <w:t>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7" w:name="_Toc85121059"/>
      <w:r w:rsidRPr="000E1A9C">
        <w:rPr>
          <w:rFonts w:cstheme="minorHAnsi"/>
        </w:rPr>
        <w:lastRenderedPageBreak/>
        <w:t>Reference</w:t>
      </w:r>
      <w:bookmarkEnd w:id="155"/>
      <w:bookmarkEnd w:id="156"/>
      <w:bookmarkEnd w:id="157"/>
      <w:bookmarkEnd w:id="158"/>
      <w:bookmarkEnd w:id="159"/>
      <w:bookmarkEnd w:id="160"/>
      <w:bookmarkEnd w:id="161"/>
      <w:bookmarkEnd w:id="162"/>
      <w:bookmarkEnd w:id="163"/>
      <w:bookmarkEnd w:id="164"/>
      <w:bookmarkEnd w:id="165"/>
      <w:bookmarkEnd w:id="167"/>
    </w:p>
    <w:p w14:paraId="5DE88086" w14:textId="77777777" w:rsidR="00754B80" w:rsidRPr="000E1A9C" w:rsidRDefault="00754B80" w:rsidP="007163A6">
      <w:pPr>
        <w:rPr>
          <w:rFonts w:cstheme="minorHAnsi"/>
          <w:szCs w:val="21"/>
        </w:rPr>
        <w:sectPr w:rsidR="00754B80" w:rsidRPr="000E1A9C" w:rsidSect="00D2128A">
          <w:headerReference w:type="default" r:id="rId20"/>
          <w:headerReference w:type="first" r:id="rId21"/>
          <w:footerReference w:type="first" r:id="rId22"/>
          <w:pgSz w:w="12240" w:h="15840" w:code="1"/>
          <w:pgMar w:top="1474" w:right="1474" w:bottom="1474" w:left="1474" w:header="720" w:footer="510" w:gutter="0"/>
          <w:pgNumType w:start="1"/>
          <w:cols w:space="720"/>
          <w:titlePg/>
          <w:docGrid w:linePitch="326"/>
        </w:sectPr>
      </w:pPr>
    </w:p>
    <w:p w14:paraId="2123B20E" w14:textId="77777777" w:rsidR="008C0C1D" w:rsidRDefault="00DC33C5" w:rsidP="008C0C1D">
      <w:pPr>
        <w:pStyle w:val="Literaturverzeichnis"/>
      </w:pPr>
      <w:r w:rsidRPr="000E1A9C">
        <w:fldChar w:fldCharType="begin"/>
      </w:r>
      <w:r w:rsidR="009C38F6" w:rsidRPr="003F59A3">
        <w:instrText xml:space="preserve"> ADDIN ZOTERO_BIBL {"uncited":[],"omitted":[],"custom":[]} CSL_BIBLIOGRAPHY </w:instrText>
      </w:r>
      <w:r w:rsidRPr="000E1A9C">
        <w:fldChar w:fldCharType="separate"/>
      </w:r>
      <w:r w:rsidR="008C0C1D" w:rsidRPr="003F59A3">
        <w:t xml:space="preserve">Ambady, N., Bernieri, F. J., &amp; Richeson, J. A. (2000). </w:t>
      </w:r>
      <w:r w:rsidR="008C0C1D">
        <w:t xml:space="preserve">Toward a histology of social behavior: Judgmental accuracy from thin slices of the behavioral stream. In </w:t>
      </w:r>
      <w:r w:rsidR="008C0C1D">
        <w:rPr>
          <w:i/>
          <w:iCs/>
        </w:rPr>
        <w:t>Advances in Experimental Social Psychology</w:t>
      </w:r>
      <w:r w:rsidR="008C0C1D">
        <w:t xml:space="preserve"> (Vol. 32, pp. 201–271). Elsevier. https://doi.org/10.1016/S0065-2601(00)80006-4</w:t>
      </w:r>
    </w:p>
    <w:p w14:paraId="71729042" w14:textId="77777777" w:rsidR="008C0C1D" w:rsidRDefault="008C0C1D" w:rsidP="008C0C1D">
      <w:pPr>
        <w:pStyle w:val="Literaturverzeichnis"/>
      </w:pPr>
      <w:r>
        <w:t xml:space="preserve">Augustine, A. A., Mehl,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531537A0" w14:textId="77777777" w:rsidR="008C0C1D" w:rsidRDefault="008C0C1D" w:rsidP="008C0C1D">
      <w:pPr>
        <w:pStyle w:val="Literaturverzeichnis"/>
      </w:pPr>
      <w:r>
        <w:t xml:space="preserve">Bailenson,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7003D482" w14:textId="77777777" w:rsidR="008C0C1D" w:rsidRDefault="008C0C1D" w:rsidP="008C0C1D">
      <w:pPr>
        <w:pStyle w:val="Literaturverzeichnis"/>
      </w:pPr>
      <w:r w:rsidRPr="008C0C1D">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5DFC61D5" w14:textId="77777777" w:rsidR="008C0C1D" w:rsidRDefault="008C0C1D" w:rsidP="008C0C1D">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364203B8" w14:textId="77777777" w:rsidR="008C0C1D" w:rsidRDefault="008C0C1D" w:rsidP="008C0C1D">
      <w:pPr>
        <w:pStyle w:val="Literaturverzeichnis"/>
      </w:pPr>
      <w:r>
        <w:t xml:space="preserve">Berscheid, E., Dion, K., Walster, E., &amp; Walster,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1D956D6E" w14:textId="77777777" w:rsidR="008C0C1D" w:rsidRDefault="008C0C1D" w:rsidP="008C0C1D">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0893E8A9" w14:textId="77777777" w:rsidR="008C0C1D" w:rsidRDefault="008C0C1D" w:rsidP="008C0C1D">
      <w:pPr>
        <w:pStyle w:val="Literaturverzeichnis"/>
      </w:pPr>
      <w:r>
        <w:t xml:space="preserve">Bressan, P., &amp; Zucchi, G. (2009). Human kin recognition is self- rather than family-referential. </w:t>
      </w:r>
      <w:r>
        <w:rPr>
          <w:i/>
          <w:iCs/>
        </w:rPr>
        <w:t>Biology Letters</w:t>
      </w:r>
      <w:r>
        <w:t xml:space="preserve">, </w:t>
      </w:r>
      <w:r>
        <w:rPr>
          <w:i/>
          <w:iCs/>
        </w:rPr>
        <w:t>5</w:t>
      </w:r>
      <w:r>
        <w:t>(3), 336–338. https://doi.org/10.1098/rsbl.2008.0789</w:t>
      </w:r>
    </w:p>
    <w:p w14:paraId="2D514AC0" w14:textId="77777777" w:rsidR="008C0C1D" w:rsidRDefault="008C0C1D" w:rsidP="008C0C1D">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22AD79CC" w14:textId="77777777" w:rsidR="008C0C1D" w:rsidRDefault="008C0C1D" w:rsidP="008C0C1D">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74265CF9" w14:textId="77777777" w:rsidR="008C0C1D" w:rsidRDefault="008C0C1D" w:rsidP="008C0C1D">
      <w:pPr>
        <w:pStyle w:val="Literaturverzeichnis"/>
      </w:pPr>
      <w:r>
        <w:t xml:space="preserve">DeBruine,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7EC9C2CD" w14:textId="77777777" w:rsidR="008C0C1D" w:rsidRDefault="008C0C1D" w:rsidP="008C0C1D">
      <w:pPr>
        <w:pStyle w:val="Literaturverzeichnis"/>
      </w:pPr>
      <w:r>
        <w:t xml:space="preserve">DeBruine,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1D43268A" w14:textId="77777777" w:rsidR="008C0C1D" w:rsidRDefault="008C0C1D" w:rsidP="008C0C1D">
      <w:pPr>
        <w:pStyle w:val="Literaturverzeichnis"/>
      </w:pPr>
      <w:r w:rsidRPr="008C0C1D">
        <w:rPr>
          <w:lang w:val="de-CH"/>
        </w:rPr>
        <w:t xml:space="preserve">DeWall,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342A3D8C" w14:textId="77777777" w:rsidR="008C0C1D" w:rsidRDefault="008C0C1D" w:rsidP="008C0C1D">
      <w:pPr>
        <w:pStyle w:val="Literaturverzeichnis"/>
      </w:pPr>
      <w:r>
        <w:t xml:space="preserve">DeWall, C. N., Maner, J. K., &amp; Rouby,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5387ED4A" w14:textId="77777777" w:rsidR="008C0C1D" w:rsidRDefault="008C0C1D" w:rsidP="008C0C1D">
      <w:pPr>
        <w:pStyle w:val="Literaturverzeichnis"/>
      </w:pPr>
      <w:r>
        <w:lastRenderedPageBreak/>
        <w:t xml:space="preserve">Dodds, P. S., Clark, E. M., Desu, S., Frank, M. R., Reagan, A. J., Williams, J. R., Mitchell, L., Harris, K. D., Kloumann, I. M., Bagrow, J. P., Megerdoomian,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20A70A06" w14:textId="77777777" w:rsidR="008C0C1D" w:rsidRDefault="008C0C1D" w:rsidP="008C0C1D">
      <w:pPr>
        <w:pStyle w:val="Literaturverzeichnis"/>
      </w:pPr>
      <w:r w:rsidRPr="008C0C1D">
        <w:rPr>
          <w:lang w:val="de-CH"/>
        </w:rPr>
        <w:t xml:space="preserve">Faul, F., Erdfelder, E., Lang,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43384F5D" w14:textId="77777777" w:rsidR="008C0C1D" w:rsidRDefault="008C0C1D" w:rsidP="008C0C1D">
      <w:pPr>
        <w:pStyle w:val="Literaturverzeichnis"/>
      </w:pPr>
      <w:r>
        <w:t xml:space="preserve">Feshbach, S. (1963). The effects of emotional restraint upon the projection of positive affect1. </w:t>
      </w:r>
      <w:r>
        <w:rPr>
          <w:i/>
          <w:iCs/>
        </w:rPr>
        <w:t>Journal of Personality</w:t>
      </w:r>
      <w:r>
        <w:t xml:space="preserve">, </w:t>
      </w:r>
      <w:r>
        <w:rPr>
          <w:i/>
          <w:iCs/>
        </w:rPr>
        <w:t>31</w:t>
      </w:r>
      <w:r>
        <w:t>(4), 471–481. https://doi.org/10.1111/j.1467-6494.1963.tb01313.x</w:t>
      </w:r>
    </w:p>
    <w:p w14:paraId="62496BB0" w14:textId="77777777" w:rsidR="008C0C1D" w:rsidRDefault="008C0C1D" w:rsidP="008C0C1D">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35B53507" w14:textId="77777777" w:rsidR="008C0C1D" w:rsidRDefault="008C0C1D" w:rsidP="008C0C1D">
      <w:pPr>
        <w:pStyle w:val="Literaturverzeichnis"/>
      </w:pPr>
      <w:r>
        <w:t xml:space="preserve">Gardner, W. L., Pickett, C. L., Jefferis,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03C00B37" w14:textId="77777777" w:rsidR="008C0C1D" w:rsidRPr="008C0C1D" w:rsidRDefault="008C0C1D" w:rsidP="008C0C1D">
      <w:pPr>
        <w:pStyle w:val="Literaturverzeichnis"/>
        <w:rPr>
          <w:lang w:val="de-CH"/>
        </w:rPr>
      </w:pPr>
      <w:r w:rsidRPr="008C0C1D">
        <w:rPr>
          <w:lang w:val="de-CH"/>
        </w:rPr>
        <w:t xml:space="preserve">Giang, T., Bell, R., &amp; Buchner, A. (2012). Does Facial Resemblance Enhance Cooperation? </w:t>
      </w:r>
      <w:r w:rsidRPr="008C0C1D">
        <w:rPr>
          <w:i/>
          <w:iCs/>
          <w:lang w:val="de-CH"/>
        </w:rPr>
        <w:t>PLOS ONE</w:t>
      </w:r>
      <w:r w:rsidRPr="008C0C1D">
        <w:rPr>
          <w:lang w:val="de-CH"/>
        </w:rPr>
        <w:t xml:space="preserve">, </w:t>
      </w:r>
      <w:r w:rsidRPr="008C0C1D">
        <w:rPr>
          <w:i/>
          <w:iCs/>
          <w:lang w:val="de-CH"/>
        </w:rPr>
        <w:t>7</w:t>
      </w:r>
      <w:r w:rsidRPr="008C0C1D">
        <w:rPr>
          <w:lang w:val="de-CH"/>
        </w:rPr>
        <w:t>(10), e47809. https://doi.org/10.1371/journal.pone.0047809</w:t>
      </w:r>
    </w:p>
    <w:p w14:paraId="797ADCE6" w14:textId="77777777" w:rsidR="008C0C1D" w:rsidRDefault="008C0C1D" w:rsidP="008C0C1D">
      <w:pPr>
        <w:pStyle w:val="Literaturverzeichnis"/>
      </w:pPr>
      <w:r w:rsidRPr="008C0C1D">
        <w:rPr>
          <w:lang w:val="de-CH"/>
        </w:rPr>
        <w:t xml:space="preserve">Golubickis, M., Sahraie, A., Hunt, A. R., Visokomogilski, A., Topalidis, P., &amp; Neil Macrae, C. (2018). </w:t>
      </w:r>
      <w:r>
        <w:t xml:space="preserve">The visual influence of ostracism. </w:t>
      </w:r>
      <w:r>
        <w:rPr>
          <w:i/>
          <w:iCs/>
        </w:rPr>
        <w:t>European Journal of Social Psychology</w:t>
      </w:r>
      <w:r>
        <w:t xml:space="preserve">, </w:t>
      </w:r>
      <w:r>
        <w:rPr>
          <w:i/>
          <w:iCs/>
        </w:rPr>
        <w:t>48</w:t>
      </w:r>
      <w:r>
        <w:t>(2), O182–O188. https://doi.org/10.1002/ejsp.2305</w:t>
      </w:r>
    </w:p>
    <w:p w14:paraId="79794BED" w14:textId="77777777" w:rsidR="008C0C1D" w:rsidRDefault="008C0C1D" w:rsidP="008C0C1D">
      <w:pPr>
        <w:pStyle w:val="Literaturverzeichnis"/>
      </w:pPr>
      <w:r w:rsidRPr="008C0C1D">
        <w:rPr>
          <w:lang w:val="de-CH"/>
        </w:rPr>
        <w:lastRenderedPageBreak/>
        <w:t xml:space="preserve">Harber, K. D., Einev-Cohen, M., &amp; Lang,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3D62C459" w14:textId="77777777" w:rsidR="008C0C1D" w:rsidRDefault="008C0C1D" w:rsidP="008C0C1D">
      <w:pPr>
        <w:pStyle w:val="Literaturverzeichnis"/>
      </w:pPr>
      <w:r>
        <w:t xml:space="preserve">Harber, K. D., Yeung, D., &amp; Iacovelli,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111370E9" w14:textId="77777777" w:rsidR="008C0C1D" w:rsidRDefault="008C0C1D" w:rsidP="008C0C1D">
      <w:pPr>
        <w:pStyle w:val="Literaturverzeichnis"/>
      </w:pPr>
      <w:r>
        <w:t xml:space="preserve">Hawkley, L. C., &amp; Cacioppo, J. T. (2003). Loneliness and pathways to disease. </w:t>
      </w:r>
      <w:r>
        <w:rPr>
          <w:i/>
          <w:iCs/>
        </w:rPr>
        <w:t>Brain, Behavior, and Immunity</w:t>
      </w:r>
      <w:r>
        <w:t xml:space="preserve">, </w:t>
      </w:r>
      <w:r>
        <w:rPr>
          <w:i/>
          <w:iCs/>
        </w:rPr>
        <w:t>17</w:t>
      </w:r>
      <w:r>
        <w:t>(1, Supplement), 98–105. https://doi.org/10.1016/S0889-1591(02)00073-9</w:t>
      </w:r>
    </w:p>
    <w:p w14:paraId="31DF67AC" w14:textId="77777777" w:rsidR="008C0C1D" w:rsidRDefault="008C0C1D" w:rsidP="008C0C1D">
      <w:pPr>
        <w:pStyle w:val="Literaturverzeichnis"/>
      </w:pPr>
      <w:r>
        <w:t xml:space="preserve">Hobfoll, S. E. (1989). Conservation of resources: A new attempt at conceptualizing stress. </w:t>
      </w:r>
      <w:r>
        <w:rPr>
          <w:i/>
          <w:iCs/>
        </w:rPr>
        <w:t>American Psychologist</w:t>
      </w:r>
      <w:r>
        <w:t xml:space="preserve">, </w:t>
      </w:r>
      <w:r>
        <w:rPr>
          <w:i/>
          <w:iCs/>
        </w:rPr>
        <w:t>44</w:t>
      </w:r>
      <w:r>
        <w:t>(3), 513–524.</w:t>
      </w:r>
    </w:p>
    <w:p w14:paraId="629900D5" w14:textId="77777777" w:rsidR="008C0C1D" w:rsidRDefault="008C0C1D" w:rsidP="008C0C1D">
      <w:pPr>
        <w:pStyle w:val="Literaturverzeichnis"/>
      </w:pPr>
      <w:r>
        <w:t xml:space="preserve">Hobfoll, S. E. (2002). Social and Psychological Resources and Adaptation. </w:t>
      </w:r>
      <w:r>
        <w:rPr>
          <w:i/>
          <w:iCs/>
        </w:rPr>
        <w:t>Review of General Psychology</w:t>
      </w:r>
      <w:r>
        <w:t xml:space="preserve">, </w:t>
      </w:r>
      <w:r>
        <w:rPr>
          <w:i/>
          <w:iCs/>
        </w:rPr>
        <w:t>6</w:t>
      </w:r>
      <w:r>
        <w:t>(4), 307–324. https://doi.org/10.1037/1089-2680.6.4.307</w:t>
      </w:r>
    </w:p>
    <w:p w14:paraId="22C1D2EF" w14:textId="77777777" w:rsidR="008C0C1D" w:rsidRDefault="008C0C1D" w:rsidP="008C0C1D">
      <w:pPr>
        <w:pStyle w:val="Literaturverzeichnis"/>
      </w:pPr>
      <w:r>
        <w:t xml:space="preserve">Holt-Lunstad, J., Smith, T. B., &amp; Layton, J. B. (2010). Social Relationships and Mortality Risk: A Meta-analytic Review. </w:t>
      </w:r>
      <w:r>
        <w:rPr>
          <w:i/>
          <w:iCs/>
        </w:rPr>
        <w:t>PLOS Medicine</w:t>
      </w:r>
      <w:r>
        <w:t xml:space="preserve">, </w:t>
      </w:r>
      <w:r>
        <w:rPr>
          <w:i/>
          <w:iCs/>
        </w:rPr>
        <w:t>7</w:t>
      </w:r>
      <w:r>
        <w:t>(7), e1000316. https://doi.org/10.1371/journal.pmed.1000316</w:t>
      </w:r>
    </w:p>
    <w:p w14:paraId="00C5CF5A" w14:textId="77777777" w:rsidR="008C0C1D" w:rsidRDefault="008C0C1D" w:rsidP="008C0C1D">
      <w:pPr>
        <w:pStyle w:val="Literaturverzeichnis"/>
      </w:pPr>
      <w:r>
        <w:t xml:space="preserve">Holwerda, T. J., Deeg, D. J. H., Beekman, A. T. F., van Tilburg, T. G., Stek, M. L., Jonker, C., &amp; Schoevers, R. A. (2014). Feelings of loneliness, but not social isolation, predict dementia onset: Results from the Amsterdam Study of the Elderly (AMSTEL). </w:t>
      </w:r>
      <w:r>
        <w:rPr>
          <w:i/>
          <w:iCs/>
        </w:rPr>
        <w:t>Journal of Neurology, Neurosurgery &amp; Psychiatry</w:t>
      </w:r>
      <w:r>
        <w:t xml:space="preserve">, </w:t>
      </w:r>
      <w:r>
        <w:rPr>
          <w:i/>
          <w:iCs/>
        </w:rPr>
        <w:t>85</w:t>
      </w:r>
      <w:r>
        <w:t>(2), 135–142. https://doi.org/10.1136/jnnp-2012-302755</w:t>
      </w:r>
    </w:p>
    <w:p w14:paraId="3FB06FD6" w14:textId="77777777" w:rsidR="008C0C1D" w:rsidRDefault="008C0C1D" w:rsidP="008C0C1D">
      <w:pPr>
        <w:pStyle w:val="Literaturverzeichnis"/>
      </w:pPr>
      <w:r>
        <w:lastRenderedPageBreak/>
        <w:t xml:space="preserve">Jones, J. T., Pelham, B. W., Carvallo, M., &amp; Mirenberg,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6EBF2ACC" w14:textId="77777777" w:rsidR="008C0C1D" w:rsidRDefault="008C0C1D" w:rsidP="008C0C1D">
      <w:pPr>
        <w:pStyle w:val="Literaturverzeichnis"/>
      </w:pPr>
      <w:r>
        <w:t xml:space="preserve">Kachur, A., Osin, E., Davydov, D., Shutilov, K., &amp; Novokshonov, A. (2020). Assessing the Big Five personality traits using real-life static facial images. </w:t>
      </w:r>
      <w:r>
        <w:rPr>
          <w:i/>
          <w:iCs/>
        </w:rPr>
        <w:t>Scientific Reports</w:t>
      </w:r>
      <w:r>
        <w:t xml:space="preserve">, </w:t>
      </w:r>
      <w:r>
        <w:rPr>
          <w:i/>
          <w:iCs/>
        </w:rPr>
        <w:t>10</w:t>
      </w:r>
      <w:r>
        <w:t>(1), 8487. https://doi.org/10.1038/s41598-020-65358-6</w:t>
      </w:r>
    </w:p>
    <w:p w14:paraId="36D9D968" w14:textId="77777777" w:rsidR="008C0C1D" w:rsidRDefault="008C0C1D" w:rsidP="008C0C1D">
      <w:pPr>
        <w:pStyle w:val="Literaturverzeichnis"/>
      </w:pPr>
      <w:r>
        <w:t xml:space="preserve">Kawamoto, T., Nittono, H., &amp; Ura,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5E764A03" w14:textId="77777777" w:rsidR="008C0C1D" w:rsidRDefault="008C0C1D" w:rsidP="008C0C1D">
      <w:pPr>
        <w:pStyle w:val="Literaturverzeichnis"/>
      </w:pPr>
      <w:r>
        <w:t xml:space="preserve">Lima, A. (2020, June 15). </w:t>
      </w:r>
      <w:r>
        <w:rPr>
          <w:i/>
          <w:iCs/>
        </w:rPr>
        <w:t>The big five personality traits</w:t>
      </w:r>
      <w:r>
        <w:t>. Simply Psychology. https://www.simplypsychology.org/big-five-personality.html</w:t>
      </w:r>
    </w:p>
    <w:p w14:paraId="7B02501E" w14:textId="77777777" w:rsidR="008C0C1D" w:rsidRDefault="008C0C1D" w:rsidP="008C0C1D">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22C898D8" w14:textId="77777777" w:rsidR="008C0C1D" w:rsidRDefault="008C0C1D" w:rsidP="008C0C1D">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049C5962" w14:textId="77777777" w:rsidR="008C0C1D" w:rsidRDefault="008C0C1D" w:rsidP="008C0C1D">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7D1DBFF1" w14:textId="77777777" w:rsidR="008C0C1D" w:rsidRDefault="008C0C1D" w:rsidP="008C0C1D">
      <w:pPr>
        <w:pStyle w:val="Literaturverzeichnis"/>
      </w:pPr>
      <w:r>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79597B5B" w14:textId="77777777" w:rsidR="008C0C1D" w:rsidRDefault="008C0C1D" w:rsidP="008C0C1D">
      <w:pPr>
        <w:pStyle w:val="Literaturverzeichnis"/>
      </w:pPr>
      <w:r>
        <w:lastRenderedPageBreak/>
        <w:t xml:space="preserve">Riskind, J. H., Moore, R., &amp; Bowley, L. (1995). The looming of spiders: The fearful perceptual distortion of movement and menace. </w:t>
      </w:r>
      <w:r>
        <w:rPr>
          <w:i/>
          <w:iCs/>
        </w:rPr>
        <w:t>Behaviour Research and Therapy</w:t>
      </w:r>
      <w:r>
        <w:t xml:space="preserve">, </w:t>
      </w:r>
      <w:r>
        <w:rPr>
          <w:i/>
          <w:iCs/>
        </w:rPr>
        <w:t>33</w:t>
      </w:r>
      <w:r>
        <w:t>(2), 171–178. https://doi.org/10.1016/0005-7967(94)E0023-C</w:t>
      </w:r>
    </w:p>
    <w:p w14:paraId="78DE472B" w14:textId="77777777" w:rsidR="008C0C1D" w:rsidRDefault="008C0C1D" w:rsidP="008C0C1D">
      <w:pPr>
        <w:pStyle w:val="Literaturverzeichnis"/>
      </w:pPr>
      <w:r>
        <w:t xml:space="preserve">Rokach, A., &amp; Brock, H. (1996). The causes of loneliness. </w:t>
      </w:r>
      <w:r>
        <w:rPr>
          <w:i/>
          <w:iCs/>
        </w:rPr>
        <w:t>Psychology: A Journal of Human Behavior</w:t>
      </w:r>
      <w:r>
        <w:t xml:space="preserve">, </w:t>
      </w:r>
      <w:r>
        <w:rPr>
          <w:i/>
          <w:iCs/>
        </w:rPr>
        <w:t>33</w:t>
      </w:r>
      <w:r>
        <w:t>(3), 1–11.</w:t>
      </w:r>
    </w:p>
    <w:p w14:paraId="025D393B" w14:textId="77777777" w:rsidR="008C0C1D" w:rsidRDefault="008C0C1D" w:rsidP="008C0C1D">
      <w:pPr>
        <w:pStyle w:val="Literaturverzeichnis"/>
      </w:pPr>
      <w:r w:rsidRPr="008C0C1D">
        <w:rPr>
          <w:lang w:val="de-CH"/>
        </w:rPr>
        <w:t xml:space="preserve">Rudert, S. C., &amp; Greifeneder,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4D69429B" w14:textId="77777777" w:rsidR="008C0C1D" w:rsidRDefault="008C0C1D" w:rsidP="008C0C1D">
      <w:pPr>
        <w:pStyle w:val="Literaturverzeichnis"/>
      </w:pPr>
      <w:r>
        <w:t xml:space="preserve">Rudert, S. C., Hales, A. H., &amp; Büttner,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A2D1AA9" w14:textId="77777777" w:rsidR="008C0C1D" w:rsidRDefault="008C0C1D" w:rsidP="008C0C1D">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0F64BAE3" w14:textId="77777777" w:rsidR="008C0C1D" w:rsidRDefault="008C0C1D" w:rsidP="008C0C1D">
      <w:pPr>
        <w:pStyle w:val="Literaturverzeichnis"/>
      </w:pPr>
      <w:r>
        <w:t xml:space="preserve">Sacco, D. F., Wirth, J. H., Hugenberg,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266242C0" w14:textId="77777777" w:rsidR="008C0C1D" w:rsidRDefault="008C0C1D" w:rsidP="008C0C1D">
      <w:pPr>
        <w:pStyle w:val="Literaturverzeichnis"/>
      </w:pPr>
      <w:r>
        <w:t xml:space="preserve">Sears, D. O. (1983). The person-positivity bias. </w:t>
      </w:r>
      <w:r>
        <w:rPr>
          <w:i/>
          <w:iCs/>
        </w:rPr>
        <w:t>Journal of Personality and Social Psychology</w:t>
      </w:r>
      <w:r>
        <w:t xml:space="preserve">, </w:t>
      </w:r>
      <w:r>
        <w:rPr>
          <w:i/>
          <w:iCs/>
        </w:rPr>
        <w:t>44</w:t>
      </w:r>
      <w:r>
        <w:t>(2), 233–250. https://doi.org/10.1037/0022-3514.44.2.233</w:t>
      </w:r>
    </w:p>
    <w:p w14:paraId="22A780A4" w14:textId="77777777" w:rsidR="008C0C1D" w:rsidRDefault="008C0C1D" w:rsidP="008C0C1D">
      <w:pPr>
        <w:pStyle w:val="Literaturverzeichnis"/>
      </w:pPr>
      <w:r>
        <w:t xml:space="preserve">Stefanucci, J. K., Proffitt, D. R., Clore, G. L., &amp; Parekh, N. (2008). Skating down a Steeper Slope: Fear Influences the Perception of Geographical Slant. </w:t>
      </w:r>
      <w:r>
        <w:rPr>
          <w:i/>
          <w:iCs/>
        </w:rPr>
        <w:t>Perception</w:t>
      </w:r>
      <w:r>
        <w:t xml:space="preserve">, </w:t>
      </w:r>
      <w:r>
        <w:rPr>
          <w:i/>
          <w:iCs/>
        </w:rPr>
        <w:t>37</w:t>
      </w:r>
      <w:r>
        <w:t>(2), 321–323. https://doi.org/10.1068/p5796</w:t>
      </w:r>
    </w:p>
    <w:p w14:paraId="0EFED299" w14:textId="77777777" w:rsidR="008C0C1D" w:rsidRDefault="008C0C1D" w:rsidP="008C0C1D">
      <w:pPr>
        <w:pStyle w:val="Literaturverzeichnis"/>
      </w:pPr>
      <w:r>
        <w:lastRenderedPageBreak/>
        <w:t xml:space="preserve">Stefanucci,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60E1E1D7" w14:textId="77777777" w:rsidR="008C0C1D" w:rsidRDefault="008C0C1D" w:rsidP="008C0C1D">
      <w:pPr>
        <w:pStyle w:val="Literaturverzeichnis"/>
      </w:pPr>
      <w:r>
        <w:t xml:space="preserve">Stevenson, A. (2010). </w:t>
      </w:r>
      <w:r>
        <w:rPr>
          <w:i/>
          <w:iCs/>
        </w:rPr>
        <w:t>Oxford Dictionary of English</w:t>
      </w:r>
      <w:r>
        <w:t>. OUP Oxford.</w:t>
      </w:r>
    </w:p>
    <w:p w14:paraId="54A1E007" w14:textId="77777777" w:rsidR="008C0C1D" w:rsidRDefault="008C0C1D" w:rsidP="008C0C1D">
      <w:pPr>
        <w:pStyle w:val="Literaturverzeichnis"/>
      </w:pPr>
      <w:r w:rsidRPr="008C0C1D">
        <w:rPr>
          <w:lang w:val="de-CH"/>
        </w:rPr>
        <w:t xml:space="preserve">Taylor, S. E., Burklund, L. J., Eisenberger, N. I., Lehman, B. J., Hilmert,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611C4E19" w14:textId="77777777" w:rsidR="008C0C1D" w:rsidRDefault="008C0C1D" w:rsidP="008C0C1D">
      <w:pPr>
        <w:pStyle w:val="Literaturverzeichnis"/>
      </w:pPr>
      <w:r>
        <w:t xml:space="preserve">Walker, M., Schönborn, S., Greifeneder,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15ED01F5" w14:textId="77777777" w:rsidR="008C0C1D" w:rsidRDefault="008C0C1D" w:rsidP="008C0C1D">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4070C48F" w14:textId="77777777" w:rsidR="008C0C1D" w:rsidRDefault="008C0C1D" w:rsidP="008C0C1D">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41317066" w14:textId="77777777" w:rsidR="008C0C1D" w:rsidRDefault="008C0C1D" w:rsidP="008C0C1D">
      <w:pPr>
        <w:pStyle w:val="Literaturverzeichnis"/>
      </w:pPr>
      <w:r>
        <w:t xml:space="preserve">Williams, K. D. (2007). </w:t>
      </w:r>
      <w:bookmarkStart w:id="168" w:name="_Hlk85120812"/>
      <w:r>
        <w:t>Ostracism: The Kiss of Social Death</w:t>
      </w:r>
      <w:bookmarkEnd w:id="168"/>
      <w:r>
        <w:t xml:space="preserve">. </w:t>
      </w:r>
      <w:r>
        <w:rPr>
          <w:i/>
          <w:iCs/>
        </w:rPr>
        <w:t>Social and Personality Psychology Compass</w:t>
      </w:r>
      <w:r>
        <w:t xml:space="preserve">, </w:t>
      </w:r>
      <w:r>
        <w:rPr>
          <w:i/>
          <w:iCs/>
        </w:rPr>
        <w:t>1</w:t>
      </w:r>
      <w:r>
        <w:t>(1), 236–247. https://doi.org/10.1111/j.1751-9004.2007.00004.x</w:t>
      </w:r>
    </w:p>
    <w:p w14:paraId="20B1D9B7" w14:textId="77777777" w:rsidR="008C0C1D" w:rsidRDefault="008C0C1D" w:rsidP="008C0C1D">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61FA0118" w14:textId="77777777" w:rsidR="008C0C1D" w:rsidRDefault="008C0C1D" w:rsidP="008C0C1D">
      <w:pPr>
        <w:pStyle w:val="Literaturverzeichnis"/>
      </w:pPr>
      <w:r>
        <w:lastRenderedPageBreak/>
        <w:t xml:space="preserve">Williams, K. D., Cheung, C. K. T., &amp; Choi, W. (2000). Cyberostracism: Effects of being ignored over the Internet. </w:t>
      </w:r>
      <w:r>
        <w:rPr>
          <w:i/>
          <w:iCs/>
        </w:rPr>
        <w:t>Journal of Personality and Social Psychology</w:t>
      </w:r>
      <w:r>
        <w:t xml:space="preserve">, </w:t>
      </w:r>
      <w:r>
        <w:rPr>
          <w:i/>
          <w:iCs/>
        </w:rPr>
        <w:t>79</w:t>
      </w:r>
      <w:r>
        <w:t>(5), 748–762. https://doi.org/10.1037/0022-3514.79.5.748</w:t>
      </w:r>
    </w:p>
    <w:p w14:paraId="4F08D7B9" w14:textId="77777777" w:rsidR="008C0C1D" w:rsidRDefault="008C0C1D" w:rsidP="008C0C1D">
      <w:pPr>
        <w:pStyle w:val="Literaturverzeichnis"/>
      </w:pPr>
      <w:r>
        <w:t xml:space="preserve">Williams, K. D., &amp; Jarvis, B. (2006). Cyberball: A program for use in research on interpersonal ostracism and acceptance. </w:t>
      </w:r>
      <w:r>
        <w:rPr>
          <w:i/>
          <w:iCs/>
        </w:rPr>
        <w:t>Behavior Research Methods</w:t>
      </w:r>
      <w:r>
        <w:t xml:space="preserve">, </w:t>
      </w:r>
      <w:r>
        <w:rPr>
          <w:i/>
          <w:iCs/>
        </w:rPr>
        <w:t>38</w:t>
      </w:r>
      <w:r>
        <w:t>(1), 174–180. https://doi.org/10.3758/BF03192765</w:t>
      </w:r>
    </w:p>
    <w:p w14:paraId="2148C487" w14:textId="77777777" w:rsidR="008C0C1D" w:rsidRDefault="008C0C1D" w:rsidP="008C0C1D">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7FA82D3B" w14:textId="77777777" w:rsidR="008C0C1D" w:rsidRDefault="008C0C1D" w:rsidP="008C0C1D">
      <w:pPr>
        <w:pStyle w:val="Literaturverzeichnis"/>
      </w:pPr>
      <w:r>
        <w:t xml:space="preserve">Williams, P. G., Rau, H. K., Cribbet, M. R., &amp; Gunn, H. E. (2009). Openness to Experience and stress regulation. </w:t>
      </w:r>
      <w:r>
        <w:rPr>
          <w:i/>
          <w:iCs/>
        </w:rPr>
        <w:t>Journal of Research in Personality</w:t>
      </w:r>
      <w:r>
        <w:t xml:space="preserve">, </w:t>
      </w:r>
      <w:r>
        <w:rPr>
          <w:i/>
          <w:iCs/>
        </w:rPr>
        <w:t>43</w:t>
      </w:r>
      <w:r>
        <w:t>(5), 777–784. https://doi.org/10.1016/j.jrp.2009.06.003</w:t>
      </w:r>
    </w:p>
    <w:p w14:paraId="71DC277E" w14:textId="77777777" w:rsidR="008C0C1D" w:rsidRDefault="008C0C1D" w:rsidP="008C0C1D">
      <w:pPr>
        <w:pStyle w:val="Literaturverzeichnis"/>
      </w:pPr>
      <w:r>
        <w:t xml:space="preserve">Yeginsu, C. (2018, January 17). U.K. Appoints a Minister for Loneliness. </w:t>
      </w:r>
      <w:r>
        <w:rPr>
          <w:i/>
          <w:iCs/>
        </w:rPr>
        <w:t>The New York Times</w:t>
      </w:r>
      <w:r>
        <w:t>. https://www.nytimes.com/2018/01/17/world/europe/uk-britain-loneliness.html</w:t>
      </w:r>
    </w:p>
    <w:p w14:paraId="72B62DF5" w14:textId="36B07D24" w:rsidR="009645D9" w:rsidRPr="000E1A9C" w:rsidRDefault="00DC33C5" w:rsidP="007163A6">
      <w:pPr>
        <w:ind w:firstLine="0"/>
      </w:pPr>
      <w:r w:rsidRPr="000E1A9C">
        <w:rPr>
          <w:rFonts w:cs="Times New Roman"/>
        </w:rPr>
        <w:fldChar w:fldCharType="end"/>
      </w:r>
    </w:p>
    <w:sectPr w:rsidR="009645D9" w:rsidRPr="000E1A9C"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D274" w14:textId="77777777" w:rsidR="00990E2F" w:rsidRDefault="00990E2F">
      <w:pPr>
        <w:spacing w:line="240" w:lineRule="auto"/>
      </w:pPr>
      <w:r>
        <w:separator/>
      </w:r>
    </w:p>
  </w:endnote>
  <w:endnote w:type="continuationSeparator" w:id="0">
    <w:p w14:paraId="7BB5F089" w14:textId="77777777" w:rsidR="00990E2F" w:rsidRDefault="00990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2B3A9189" w:rsidR="00454197" w:rsidRPr="00193B56" w:rsidRDefault="00193B56" w:rsidP="00193B56">
    <w:pPr>
      <w:pStyle w:val="Fuzeile"/>
      <w:jc w:val="center"/>
      <w:rPr>
        <w:lang w:val="de-DE"/>
      </w:rPr>
    </w:pPr>
    <w:r>
      <w:rPr>
        <w:lang w:val="de-DE"/>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88336"/>
      <w:docPartObj>
        <w:docPartGallery w:val="Page Numbers (Bottom of Page)"/>
        <w:docPartUnique/>
      </w:docPartObj>
    </w:sdtPr>
    <w:sdtContent>
      <w:p w14:paraId="7AF71E33" w14:textId="74B07FFF" w:rsidR="00193B56" w:rsidRDefault="00193B56">
        <w:pPr>
          <w:pStyle w:val="Fuzeile"/>
          <w:jc w:val="center"/>
        </w:pPr>
      </w:p>
    </w:sdtContent>
  </w:sdt>
  <w:p w14:paraId="245BF6E7" w14:textId="77777777" w:rsidR="00193B56" w:rsidRDefault="00193B56" w:rsidP="00193B56">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55894"/>
      <w:docPartObj>
        <w:docPartGallery w:val="Page Numbers (Bottom of Page)"/>
        <w:docPartUnique/>
      </w:docPartObj>
    </w:sdtPr>
    <w:sdtContent>
      <w:p w14:paraId="26E4BF41" w14:textId="337A7DF1" w:rsidR="00D2128A" w:rsidRDefault="00D2128A">
        <w:pPr>
          <w:pStyle w:val="Fuzeile"/>
          <w:jc w:val="center"/>
        </w:pPr>
        <w:r>
          <w:fldChar w:fldCharType="begin"/>
        </w:r>
        <w:r>
          <w:instrText>PAGE   \* MERGEFORMAT</w:instrText>
        </w:r>
        <w:r>
          <w:fldChar w:fldCharType="separate"/>
        </w:r>
        <w:r>
          <w:rPr>
            <w:lang w:val="de-DE"/>
          </w:rPr>
          <w:t>2</w:t>
        </w:r>
        <w:r>
          <w:fldChar w:fldCharType="end"/>
        </w:r>
      </w:p>
    </w:sdtContent>
  </w:sdt>
  <w:p w14:paraId="215F81D3" w14:textId="32A95A81" w:rsidR="00EB7A02" w:rsidRPr="00193B56" w:rsidRDefault="00EB7A02" w:rsidP="00193B56">
    <w:pPr>
      <w:pStyle w:val="Fuzeile"/>
      <w:jc w:val="center"/>
      <w:rPr>
        <w:lang w:val="de-D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C48" w14:textId="56CB819E" w:rsidR="00193B56" w:rsidRDefault="00193B56">
    <w:pPr>
      <w:pStyle w:val="Fuzeile"/>
      <w:jc w:val="center"/>
    </w:pPr>
    <w:sdt>
      <w:sdtPr>
        <w:id w:val="-2141099022"/>
        <w:docPartObj>
          <w:docPartGallery w:val="Page Numbers (Bottom of Page)"/>
          <w:docPartUnique/>
        </w:docPartObj>
      </w:sdtPr>
      <w:sdtContent>
        <w:r>
          <w:fldChar w:fldCharType="begin"/>
        </w:r>
        <w:r>
          <w:instrText xml:space="preserve"> PAGE  \* roman  \* MERGEFORMAT </w:instrText>
        </w:r>
        <w:r>
          <w:fldChar w:fldCharType="separate"/>
        </w:r>
        <w:r>
          <w:rPr>
            <w:noProof/>
          </w:rPr>
          <w:t>xxii</w:t>
        </w:r>
        <w:r>
          <w:fldChar w:fldCharType="end"/>
        </w:r>
      </w:sdtContent>
    </w:sdt>
    <w:r w:rsidR="00D2128A">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276335"/>
      <w:docPartObj>
        <w:docPartGallery w:val="Page Numbers (Bottom of Page)"/>
        <w:docPartUnique/>
      </w:docPartObj>
    </w:sdtPr>
    <w:sdtContent>
      <w:p w14:paraId="23954FF9" w14:textId="4AC42E3D" w:rsidR="00D2128A" w:rsidRDefault="00D2128A">
        <w:pPr>
          <w:pStyle w:val="Fuzeile"/>
          <w:jc w:val="center"/>
        </w:pPr>
        <w:r>
          <w:fldChar w:fldCharType="begin"/>
        </w:r>
        <w:r>
          <w:instrText>PAGE   \* MERGEFORMAT</w:instrText>
        </w:r>
        <w:r>
          <w:fldChar w:fldCharType="separate"/>
        </w:r>
        <w:r>
          <w:rPr>
            <w:lang w:val="de-DE"/>
          </w:rPr>
          <w:t>1</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1407"/>
      <w:docPartObj>
        <w:docPartGallery w:val="Page Numbers (Bottom of Page)"/>
        <w:docPartUnique/>
      </w:docPartObj>
    </w:sdtPr>
    <w:sdtContent>
      <w:p w14:paraId="710A6933" w14:textId="716998AF" w:rsidR="00EB7A02" w:rsidRDefault="00D2128A" w:rsidP="00D2128A">
        <w:pPr>
          <w:pStyle w:val="Fuzeile"/>
          <w:jc w:val="center"/>
        </w:pPr>
        <w:r>
          <w:t>iii</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728452"/>
      <w:docPartObj>
        <w:docPartGallery w:val="Page Numbers (Bottom of Page)"/>
        <w:docPartUnique/>
      </w:docPartObj>
    </w:sdtPr>
    <w:sdtContent>
      <w:p w14:paraId="172D005E" w14:textId="64F9F332" w:rsidR="00D2128A" w:rsidRDefault="00D2128A" w:rsidP="00D2128A">
        <w:pPr>
          <w:pStyle w:val="Fuzeile"/>
          <w:jc w:val="center"/>
        </w:pPr>
        <w:r>
          <w:fldChar w:fldCharType="begin"/>
        </w:r>
        <w:r>
          <w:instrText>PAGE   \* MERGEFORMAT</w:instrText>
        </w:r>
        <w:r>
          <w:fldChar w:fldCharType="separate"/>
        </w:r>
        <w:r>
          <w:rPr>
            <w:lang w:val="de-DE"/>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A5D2" w14:textId="77777777" w:rsidR="00990E2F" w:rsidRDefault="00990E2F">
      <w:pPr>
        <w:spacing w:line="240" w:lineRule="auto"/>
      </w:pPr>
      <w:r>
        <w:separator/>
      </w:r>
    </w:p>
  </w:footnote>
  <w:footnote w:type="continuationSeparator" w:id="0">
    <w:p w14:paraId="0B9FB0F7" w14:textId="77777777" w:rsidR="00990E2F" w:rsidRDefault="00990E2F">
      <w:pPr>
        <w:spacing w:line="240" w:lineRule="auto"/>
      </w:pPr>
      <w:r>
        <w:continuationSeparator/>
      </w:r>
    </w:p>
  </w:footnote>
  <w:footnote w:id="1">
    <w:p w14:paraId="2A44298D" w14:textId="6707CA13" w:rsidR="005F2650" w:rsidRPr="005F2650" w:rsidRDefault="005F2650" w:rsidP="00FD0278">
      <w:pPr>
        <w:pStyle w:val="Fussnote"/>
      </w:pPr>
      <w:r>
        <w:rPr>
          <w:rStyle w:val="Funotenzeichen"/>
        </w:rPr>
        <w:footnoteRef/>
      </w:r>
      <w:r>
        <w:t xml:space="preserve"> Facial cues conveying personality traits are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7E4F46D7"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w:t>
      </w:r>
      <w:r w:rsidR="00F25482">
        <w:t xml:space="preserve"> than the scale mean (4)</w:t>
      </w:r>
      <w:r>
        <w:t xml:space="preserve">.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 w:id="5">
    <w:p w14:paraId="269ACF95" w14:textId="00C2FD14" w:rsidR="00FB174F" w:rsidRPr="00081AF6" w:rsidRDefault="00FB174F">
      <w:pPr>
        <w:pStyle w:val="Funotentext"/>
      </w:pPr>
      <w:r>
        <w:rPr>
          <w:rStyle w:val="Funotenzeichen"/>
        </w:rPr>
        <w:footnoteRef/>
      </w:r>
      <w:r>
        <w:t xml:space="preserve"> </w:t>
      </w:r>
      <w:r w:rsidR="00081AF6" w:rsidRPr="00081AF6">
        <w:t>One side of the 95% CI i</w:t>
      </w:r>
      <w:r w:rsidR="00081AF6">
        <w:t>s infinite because the t-test used is one-sided.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E2E5" w14:textId="0BAD5DBC" w:rsidR="002D022C" w:rsidRDefault="00D2128A" w:rsidP="00402001">
    <w:pPr>
      <w:pStyle w:val="OhneEinzug"/>
    </w:pPr>
    <w:r>
      <w:t>R</w:t>
    </w:r>
    <w:r w:rsidR="00AD119B">
      <w:t xml:space="preserve">OSTRACISM AND </w:t>
    </w:r>
    <w:r w:rsidR="008C232F">
      <w:t>PERCEPTION</w:t>
    </w:r>
    <w:r w:rsidR="00F55563">
      <w:t xml:space="preserve"> OF FACIAL PERSONALITY TRAIT</w:t>
    </w:r>
    <w:r w:rsidR="006A3388">
      <w:t>S</w:t>
    </w:r>
    <w:r w:rsidR="00F55563">
      <w:t xml:space="preserve"> </w:t>
    </w: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1B17" w14:textId="37258A9F" w:rsidR="00402001" w:rsidRDefault="00402001" w:rsidP="00402001">
    <w:pPr>
      <w:pStyle w:val="OhneEinzu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7687" w14:textId="3C163A6A" w:rsidR="00EB7A02" w:rsidRDefault="00EB7A02" w:rsidP="00402001">
    <w:pPr>
      <w:pStyle w:val="OhneEinzu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56FD" w14:textId="3D24CA83" w:rsidR="00A45EAC" w:rsidRDefault="00A45EAC" w:rsidP="00402001">
    <w:pPr>
      <w:pStyle w:val="OhneEinzug"/>
    </w:pPr>
    <w:r>
      <w:t xml:space="preserve">OSTRACISM AND PERCEPTION OF FACIAL </w:t>
    </w:r>
    <w:r w:rsidR="00B37E13">
      <w:t>BIG FIVE</w:t>
    </w:r>
    <w:r>
      <w:t xml:space="preserve"> TRAITS </w:t>
    </w:r>
  </w:p>
  <w:p w14:paraId="198AF790" w14:textId="77777777" w:rsidR="00A45EAC" w:rsidRDefault="00A45EA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8DFF" w14:textId="5F1A0E66" w:rsidR="00A45EAC" w:rsidRDefault="00A45EAC" w:rsidP="00402001">
    <w:pPr>
      <w:pStyle w:val="OhneEinzug"/>
    </w:pPr>
    <w:r>
      <w:t xml:space="preserve">Running head: OSTRACISM AND PERCEPTION OF FACIAL </w:t>
    </w:r>
    <w:r w:rsidR="00B37E13">
      <w:t>BIG FIVE</w:t>
    </w:r>
    <w:r>
      <w:t xml:space="preserve"> TRAITS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2688"/>
    <w:rsid w:val="00033643"/>
    <w:rsid w:val="00034F45"/>
    <w:rsid w:val="00035954"/>
    <w:rsid w:val="00042DEC"/>
    <w:rsid w:val="000436EE"/>
    <w:rsid w:val="00044548"/>
    <w:rsid w:val="00047678"/>
    <w:rsid w:val="000538F4"/>
    <w:rsid w:val="000548C9"/>
    <w:rsid w:val="00056419"/>
    <w:rsid w:val="000614D7"/>
    <w:rsid w:val="00064662"/>
    <w:rsid w:val="00067E42"/>
    <w:rsid w:val="00073366"/>
    <w:rsid w:val="000745D8"/>
    <w:rsid w:val="00077A33"/>
    <w:rsid w:val="0008010B"/>
    <w:rsid w:val="00081AF6"/>
    <w:rsid w:val="0008547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41FF"/>
    <w:rsid w:val="00107640"/>
    <w:rsid w:val="001109F7"/>
    <w:rsid w:val="00111367"/>
    <w:rsid w:val="00113570"/>
    <w:rsid w:val="001138C1"/>
    <w:rsid w:val="00115A85"/>
    <w:rsid w:val="00116660"/>
    <w:rsid w:val="00117420"/>
    <w:rsid w:val="00120BF5"/>
    <w:rsid w:val="00121E97"/>
    <w:rsid w:val="00123CFF"/>
    <w:rsid w:val="00127740"/>
    <w:rsid w:val="00130DEC"/>
    <w:rsid w:val="001320DD"/>
    <w:rsid w:val="0013592C"/>
    <w:rsid w:val="0013718B"/>
    <w:rsid w:val="00141C6C"/>
    <w:rsid w:val="00145BF4"/>
    <w:rsid w:val="001514FC"/>
    <w:rsid w:val="00155B91"/>
    <w:rsid w:val="00161B6B"/>
    <w:rsid w:val="00164115"/>
    <w:rsid w:val="001679DC"/>
    <w:rsid w:val="00173ACD"/>
    <w:rsid w:val="00173B0B"/>
    <w:rsid w:val="00175623"/>
    <w:rsid w:val="00176B45"/>
    <w:rsid w:val="00176F4A"/>
    <w:rsid w:val="00177589"/>
    <w:rsid w:val="00182A90"/>
    <w:rsid w:val="001858BF"/>
    <w:rsid w:val="00193735"/>
    <w:rsid w:val="00193B56"/>
    <w:rsid w:val="00194137"/>
    <w:rsid w:val="00196EFD"/>
    <w:rsid w:val="001A5D45"/>
    <w:rsid w:val="001B0F6C"/>
    <w:rsid w:val="001B5B0F"/>
    <w:rsid w:val="001B6981"/>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203556"/>
    <w:rsid w:val="0020412A"/>
    <w:rsid w:val="002046B6"/>
    <w:rsid w:val="002050A4"/>
    <w:rsid w:val="002109F9"/>
    <w:rsid w:val="00211475"/>
    <w:rsid w:val="00211853"/>
    <w:rsid w:val="0021243E"/>
    <w:rsid w:val="00212F6A"/>
    <w:rsid w:val="00222DE6"/>
    <w:rsid w:val="002237FD"/>
    <w:rsid w:val="00225268"/>
    <w:rsid w:val="00225496"/>
    <w:rsid w:val="002259DE"/>
    <w:rsid w:val="00225FA0"/>
    <w:rsid w:val="0023722D"/>
    <w:rsid w:val="00244770"/>
    <w:rsid w:val="00251AE4"/>
    <w:rsid w:val="002537D9"/>
    <w:rsid w:val="002553EC"/>
    <w:rsid w:val="00261E3A"/>
    <w:rsid w:val="00262003"/>
    <w:rsid w:val="00264F10"/>
    <w:rsid w:val="00272B33"/>
    <w:rsid w:val="00272C07"/>
    <w:rsid w:val="002733DE"/>
    <w:rsid w:val="0027392D"/>
    <w:rsid w:val="00280B71"/>
    <w:rsid w:val="0028117D"/>
    <w:rsid w:val="0028253C"/>
    <w:rsid w:val="00284143"/>
    <w:rsid w:val="002927E7"/>
    <w:rsid w:val="00293078"/>
    <w:rsid w:val="002979FF"/>
    <w:rsid w:val="002A24A9"/>
    <w:rsid w:val="002A41BF"/>
    <w:rsid w:val="002B2002"/>
    <w:rsid w:val="002B28DC"/>
    <w:rsid w:val="002B4925"/>
    <w:rsid w:val="002B4ACD"/>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2F4"/>
    <w:rsid w:val="00317642"/>
    <w:rsid w:val="00325366"/>
    <w:rsid w:val="003272CD"/>
    <w:rsid w:val="00331DB9"/>
    <w:rsid w:val="0033348E"/>
    <w:rsid w:val="003432CA"/>
    <w:rsid w:val="00344EA6"/>
    <w:rsid w:val="00346910"/>
    <w:rsid w:val="00347C07"/>
    <w:rsid w:val="00351F34"/>
    <w:rsid w:val="00352ECE"/>
    <w:rsid w:val="00356EA1"/>
    <w:rsid w:val="00360E76"/>
    <w:rsid w:val="00362E24"/>
    <w:rsid w:val="003634CB"/>
    <w:rsid w:val="003639DB"/>
    <w:rsid w:val="0036696A"/>
    <w:rsid w:val="00373820"/>
    <w:rsid w:val="0037621C"/>
    <w:rsid w:val="00376301"/>
    <w:rsid w:val="00376CAB"/>
    <w:rsid w:val="00380689"/>
    <w:rsid w:val="00383DFB"/>
    <w:rsid w:val="00386573"/>
    <w:rsid w:val="00387314"/>
    <w:rsid w:val="003902CC"/>
    <w:rsid w:val="00393EFB"/>
    <w:rsid w:val="00396D36"/>
    <w:rsid w:val="003A49D3"/>
    <w:rsid w:val="003A7D72"/>
    <w:rsid w:val="003B02B4"/>
    <w:rsid w:val="003B101D"/>
    <w:rsid w:val="003B565A"/>
    <w:rsid w:val="003B6D1D"/>
    <w:rsid w:val="003C075F"/>
    <w:rsid w:val="003D1897"/>
    <w:rsid w:val="003D4F1F"/>
    <w:rsid w:val="003D7AD2"/>
    <w:rsid w:val="003E36C4"/>
    <w:rsid w:val="003E5AE5"/>
    <w:rsid w:val="003F11A5"/>
    <w:rsid w:val="003F30E6"/>
    <w:rsid w:val="003F59A3"/>
    <w:rsid w:val="003F7998"/>
    <w:rsid w:val="003F799F"/>
    <w:rsid w:val="00402001"/>
    <w:rsid w:val="0040409C"/>
    <w:rsid w:val="0040499D"/>
    <w:rsid w:val="00406627"/>
    <w:rsid w:val="00412F21"/>
    <w:rsid w:val="00420E33"/>
    <w:rsid w:val="00431B5D"/>
    <w:rsid w:val="00432C47"/>
    <w:rsid w:val="00432D5E"/>
    <w:rsid w:val="00432FB9"/>
    <w:rsid w:val="00434078"/>
    <w:rsid w:val="00434642"/>
    <w:rsid w:val="00436840"/>
    <w:rsid w:val="004429D3"/>
    <w:rsid w:val="00443A02"/>
    <w:rsid w:val="00453048"/>
    <w:rsid w:val="00454FEE"/>
    <w:rsid w:val="00456838"/>
    <w:rsid w:val="00462272"/>
    <w:rsid w:val="0046415F"/>
    <w:rsid w:val="00471756"/>
    <w:rsid w:val="00472F69"/>
    <w:rsid w:val="00481175"/>
    <w:rsid w:val="004816A3"/>
    <w:rsid w:val="004840AE"/>
    <w:rsid w:val="0049119E"/>
    <w:rsid w:val="00496EBF"/>
    <w:rsid w:val="004970D1"/>
    <w:rsid w:val="004977FC"/>
    <w:rsid w:val="004A5883"/>
    <w:rsid w:val="004A69C7"/>
    <w:rsid w:val="004B1B47"/>
    <w:rsid w:val="004C4C36"/>
    <w:rsid w:val="004C7E19"/>
    <w:rsid w:val="004D37AE"/>
    <w:rsid w:val="004D50EA"/>
    <w:rsid w:val="004D6172"/>
    <w:rsid w:val="004E0E83"/>
    <w:rsid w:val="004E331C"/>
    <w:rsid w:val="004E5C9B"/>
    <w:rsid w:val="004E6B36"/>
    <w:rsid w:val="004E7137"/>
    <w:rsid w:val="004F0593"/>
    <w:rsid w:val="004F1318"/>
    <w:rsid w:val="004F1AA4"/>
    <w:rsid w:val="004F2ACD"/>
    <w:rsid w:val="004F441A"/>
    <w:rsid w:val="004F4617"/>
    <w:rsid w:val="004F53C1"/>
    <w:rsid w:val="00501DA0"/>
    <w:rsid w:val="00501DAB"/>
    <w:rsid w:val="00501EE1"/>
    <w:rsid w:val="0050255D"/>
    <w:rsid w:val="00502F30"/>
    <w:rsid w:val="00503692"/>
    <w:rsid w:val="0050399C"/>
    <w:rsid w:val="0050478A"/>
    <w:rsid w:val="00504F7C"/>
    <w:rsid w:val="00507796"/>
    <w:rsid w:val="00510E98"/>
    <w:rsid w:val="00514DF2"/>
    <w:rsid w:val="0051768C"/>
    <w:rsid w:val="00525C35"/>
    <w:rsid w:val="00526490"/>
    <w:rsid w:val="00527607"/>
    <w:rsid w:val="0052792B"/>
    <w:rsid w:val="00532B9F"/>
    <w:rsid w:val="005341E0"/>
    <w:rsid w:val="00536390"/>
    <w:rsid w:val="00541E32"/>
    <w:rsid w:val="0054402D"/>
    <w:rsid w:val="005473D2"/>
    <w:rsid w:val="00554F2C"/>
    <w:rsid w:val="00555F29"/>
    <w:rsid w:val="00560669"/>
    <w:rsid w:val="00560FFA"/>
    <w:rsid w:val="00562CD9"/>
    <w:rsid w:val="00565495"/>
    <w:rsid w:val="005668D5"/>
    <w:rsid w:val="005674D3"/>
    <w:rsid w:val="00573834"/>
    <w:rsid w:val="00573C84"/>
    <w:rsid w:val="00573F7D"/>
    <w:rsid w:val="00574A7A"/>
    <w:rsid w:val="00580E80"/>
    <w:rsid w:val="00582E7A"/>
    <w:rsid w:val="005857EA"/>
    <w:rsid w:val="00585FE7"/>
    <w:rsid w:val="00586E3F"/>
    <w:rsid w:val="00590098"/>
    <w:rsid w:val="005928D4"/>
    <w:rsid w:val="0059582C"/>
    <w:rsid w:val="005A3C15"/>
    <w:rsid w:val="005A6403"/>
    <w:rsid w:val="005A6A04"/>
    <w:rsid w:val="005B1077"/>
    <w:rsid w:val="005B2060"/>
    <w:rsid w:val="005B45E9"/>
    <w:rsid w:val="005C2595"/>
    <w:rsid w:val="005C2F3F"/>
    <w:rsid w:val="005C4D48"/>
    <w:rsid w:val="005C7746"/>
    <w:rsid w:val="005D090A"/>
    <w:rsid w:val="005D2A57"/>
    <w:rsid w:val="005D357A"/>
    <w:rsid w:val="005D5BC2"/>
    <w:rsid w:val="005E35AD"/>
    <w:rsid w:val="005F20ED"/>
    <w:rsid w:val="005F2650"/>
    <w:rsid w:val="005F378D"/>
    <w:rsid w:val="005F79B6"/>
    <w:rsid w:val="00601A15"/>
    <w:rsid w:val="00601D8B"/>
    <w:rsid w:val="006024CA"/>
    <w:rsid w:val="00605052"/>
    <w:rsid w:val="006079BD"/>
    <w:rsid w:val="00607D7F"/>
    <w:rsid w:val="00611244"/>
    <w:rsid w:val="00615C9D"/>
    <w:rsid w:val="0061674D"/>
    <w:rsid w:val="0061739A"/>
    <w:rsid w:val="006176E6"/>
    <w:rsid w:val="00623BC9"/>
    <w:rsid w:val="00630147"/>
    <w:rsid w:val="00630B44"/>
    <w:rsid w:val="006311C3"/>
    <w:rsid w:val="00632839"/>
    <w:rsid w:val="0063410F"/>
    <w:rsid w:val="00634C10"/>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49D7"/>
    <w:rsid w:val="0067718A"/>
    <w:rsid w:val="0068011E"/>
    <w:rsid w:val="006804F5"/>
    <w:rsid w:val="006805E3"/>
    <w:rsid w:val="00682305"/>
    <w:rsid w:val="0068233E"/>
    <w:rsid w:val="00683623"/>
    <w:rsid w:val="00686B9D"/>
    <w:rsid w:val="00692E0A"/>
    <w:rsid w:val="006933BF"/>
    <w:rsid w:val="00694E2F"/>
    <w:rsid w:val="00695DCA"/>
    <w:rsid w:val="006A3388"/>
    <w:rsid w:val="006A3671"/>
    <w:rsid w:val="006A58C0"/>
    <w:rsid w:val="006B000F"/>
    <w:rsid w:val="006B6083"/>
    <w:rsid w:val="006B69D7"/>
    <w:rsid w:val="006B7009"/>
    <w:rsid w:val="006C4448"/>
    <w:rsid w:val="006C4813"/>
    <w:rsid w:val="006C7543"/>
    <w:rsid w:val="006D075E"/>
    <w:rsid w:val="006D3024"/>
    <w:rsid w:val="006D4FA0"/>
    <w:rsid w:val="006D7B9F"/>
    <w:rsid w:val="006E172F"/>
    <w:rsid w:val="006E50B8"/>
    <w:rsid w:val="006E58B4"/>
    <w:rsid w:val="006E635B"/>
    <w:rsid w:val="006F24D6"/>
    <w:rsid w:val="006F2591"/>
    <w:rsid w:val="00703F1B"/>
    <w:rsid w:val="0070743C"/>
    <w:rsid w:val="00710696"/>
    <w:rsid w:val="007113B4"/>
    <w:rsid w:val="00712DBB"/>
    <w:rsid w:val="0071326C"/>
    <w:rsid w:val="007142D5"/>
    <w:rsid w:val="00714377"/>
    <w:rsid w:val="00715CED"/>
    <w:rsid w:val="007163A6"/>
    <w:rsid w:val="007173DB"/>
    <w:rsid w:val="00717572"/>
    <w:rsid w:val="00723CD9"/>
    <w:rsid w:val="007250E5"/>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9252D"/>
    <w:rsid w:val="00792AE3"/>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3032"/>
    <w:rsid w:val="0082499F"/>
    <w:rsid w:val="00832BE7"/>
    <w:rsid w:val="008378C2"/>
    <w:rsid w:val="00840242"/>
    <w:rsid w:val="008435EE"/>
    <w:rsid w:val="00844522"/>
    <w:rsid w:val="00845B91"/>
    <w:rsid w:val="00845D36"/>
    <w:rsid w:val="008542EB"/>
    <w:rsid w:val="00862E85"/>
    <w:rsid w:val="00870A4C"/>
    <w:rsid w:val="008739D4"/>
    <w:rsid w:val="008778F3"/>
    <w:rsid w:val="00880B94"/>
    <w:rsid w:val="008814FB"/>
    <w:rsid w:val="008849FD"/>
    <w:rsid w:val="00884DB3"/>
    <w:rsid w:val="00890E67"/>
    <w:rsid w:val="00895495"/>
    <w:rsid w:val="00896934"/>
    <w:rsid w:val="00896D3A"/>
    <w:rsid w:val="008A1DEE"/>
    <w:rsid w:val="008A2D94"/>
    <w:rsid w:val="008A34E4"/>
    <w:rsid w:val="008A7365"/>
    <w:rsid w:val="008B058E"/>
    <w:rsid w:val="008B0EA9"/>
    <w:rsid w:val="008B1F5D"/>
    <w:rsid w:val="008B5E13"/>
    <w:rsid w:val="008C0655"/>
    <w:rsid w:val="008C0C1D"/>
    <w:rsid w:val="008C232F"/>
    <w:rsid w:val="008C5C0A"/>
    <w:rsid w:val="008D00C8"/>
    <w:rsid w:val="008D1489"/>
    <w:rsid w:val="008D38A8"/>
    <w:rsid w:val="008E1D1A"/>
    <w:rsid w:val="008E5E97"/>
    <w:rsid w:val="008F06A7"/>
    <w:rsid w:val="008F38B0"/>
    <w:rsid w:val="008F3CB5"/>
    <w:rsid w:val="008F58D7"/>
    <w:rsid w:val="008F661B"/>
    <w:rsid w:val="0090043F"/>
    <w:rsid w:val="009035DB"/>
    <w:rsid w:val="00907403"/>
    <w:rsid w:val="0090790F"/>
    <w:rsid w:val="0091527A"/>
    <w:rsid w:val="00915EBC"/>
    <w:rsid w:val="00920E87"/>
    <w:rsid w:val="0092191F"/>
    <w:rsid w:val="00922611"/>
    <w:rsid w:val="00930574"/>
    <w:rsid w:val="00931809"/>
    <w:rsid w:val="009318C8"/>
    <w:rsid w:val="009326ED"/>
    <w:rsid w:val="00937BB0"/>
    <w:rsid w:val="0094333D"/>
    <w:rsid w:val="00951191"/>
    <w:rsid w:val="009645D9"/>
    <w:rsid w:val="00967F79"/>
    <w:rsid w:val="00974910"/>
    <w:rsid w:val="00976DA3"/>
    <w:rsid w:val="00981CD3"/>
    <w:rsid w:val="00984E95"/>
    <w:rsid w:val="009873B7"/>
    <w:rsid w:val="009879B7"/>
    <w:rsid w:val="00990E2F"/>
    <w:rsid w:val="00991B3D"/>
    <w:rsid w:val="00994365"/>
    <w:rsid w:val="009A104B"/>
    <w:rsid w:val="009A672C"/>
    <w:rsid w:val="009B771B"/>
    <w:rsid w:val="009C2C15"/>
    <w:rsid w:val="009C38F6"/>
    <w:rsid w:val="009C65D5"/>
    <w:rsid w:val="009D0CEA"/>
    <w:rsid w:val="009D0F0A"/>
    <w:rsid w:val="009D1E47"/>
    <w:rsid w:val="009D7DAF"/>
    <w:rsid w:val="009E554B"/>
    <w:rsid w:val="00A00516"/>
    <w:rsid w:val="00A009CF"/>
    <w:rsid w:val="00A025D3"/>
    <w:rsid w:val="00A03C93"/>
    <w:rsid w:val="00A06A35"/>
    <w:rsid w:val="00A07C97"/>
    <w:rsid w:val="00A122A1"/>
    <w:rsid w:val="00A15919"/>
    <w:rsid w:val="00A17355"/>
    <w:rsid w:val="00A17568"/>
    <w:rsid w:val="00A21C7C"/>
    <w:rsid w:val="00A21CE0"/>
    <w:rsid w:val="00A22A08"/>
    <w:rsid w:val="00A22A2C"/>
    <w:rsid w:val="00A23B47"/>
    <w:rsid w:val="00A274C0"/>
    <w:rsid w:val="00A3132C"/>
    <w:rsid w:val="00A34326"/>
    <w:rsid w:val="00A43488"/>
    <w:rsid w:val="00A44C48"/>
    <w:rsid w:val="00A44D30"/>
    <w:rsid w:val="00A44DE7"/>
    <w:rsid w:val="00A45EAC"/>
    <w:rsid w:val="00A47EC7"/>
    <w:rsid w:val="00A5052C"/>
    <w:rsid w:val="00A516F7"/>
    <w:rsid w:val="00A53F50"/>
    <w:rsid w:val="00A55211"/>
    <w:rsid w:val="00A56FBD"/>
    <w:rsid w:val="00A57EB7"/>
    <w:rsid w:val="00A60E26"/>
    <w:rsid w:val="00A60E91"/>
    <w:rsid w:val="00A61ECC"/>
    <w:rsid w:val="00A6556B"/>
    <w:rsid w:val="00A6619B"/>
    <w:rsid w:val="00A712A2"/>
    <w:rsid w:val="00A7212D"/>
    <w:rsid w:val="00A74D89"/>
    <w:rsid w:val="00A751B9"/>
    <w:rsid w:val="00A77193"/>
    <w:rsid w:val="00A80AF7"/>
    <w:rsid w:val="00A8485F"/>
    <w:rsid w:val="00A8601C"/>
    <w:rsid w:val="00A86AF9"/>
    <w:rsid w:val="00A91B42"/>
    <w:rsid w:val="00A9323C"/>
    <w:rsid w:val="00AA44E7"/>
    <w:rsid w:val="00AB0EC8"/>
    <w:rsid w:val="00AB107D"/>
    <w:rsid w:val="00AB699E"/>
    <w:rsid w:val="00AC0D7C"/>
    <w:rsid w:val="00AC2508"/>
    <w:rsid w:val="00AC75FA"/>
    <w:rsid w:val="00AD0F98"/>
    <w:rsid w:val="00AD119B"/>
    <w:rsid w:val="00AD25E4"/>
    <w:rsid w:val="00AD7139"/>
    <w:rsid w:val="00AD799B"/>
    <w:rsid w:val="00AE3FD0"/>
    <w:rsid w:val="00AE623A"/>
    <w:rsid w:val="00AF6A46"/>
    <w:rsid w:val="00B00093"/>
    <w:rsid w:val="00B01002"/>
    <w:rsid w:val="00B015C9"/>
    <w:rsid w:val="00B025C5"/>
    <w:rsid w:val="00B02DDE"/>
    <w:rsid w:val="00B034B7"/>
    <w:rsid w:val="00B06422"/>
    <w:rsid w:val="00B11611"/>
    <w:rsid w:val="00B12C85"/>
    <w:rsid w:val="00B13883"/>
    <w:rsid w:val="00B156F0"/>
    <w:rsid w:val="00B160DE"/>
    <w:rsid w:val="00B303AF"/>
    <w:rsid w:val="00B328A5"/>
    <w:rsid w:val="00B37E13"/>
    <w:rsid w:val="00B44FBD"/>
    <w:rsid w:val="00B468A5"/>
    <w:rsid w:val="00B51BC3"/>
    <w:rsid w:val="00B578A8"/>
    <w:rsid w:val="00B621A8"/>
    <w:rsid w:val="00B65149"/>
    <w:rsid w:val="00B65C44"/>
    <w:rsid w:val="00B742AE"/>
    <w:rsid w:val="00B74CBB"/>
    <w:rsid w:val="00B76162"/>
    <w:rsid w:val="00B8149C"/>
    <w:rsid w:val="00B81EB0"/>
    <w:rsid w:val="00B84373"/>
    <w:rsid w:val="00B8611D"/>
    <w:rsid w:val="00B93086"/>
    <w:rsid w:val="00B946D4"/>
    <w:rsid w:val="00BA0D47"/>
    <w:rsid w:val="00BA23BF"/>
    <w:rsid w:val="00BA40BA"/>
    <w:rsid w:val="00BA6126"/>
    <w:rsid w:val="00BB6F81"/>
    <w:rsid w:val="00BC2FA0"/>
    <w:rsid w:val="00BC5B1A"/>
    <w:rsid w:val="00BC6F1B"/>
    <w:rsid w:val="00BC78D6"/>
    <w:rsid w:val="00BD0123"/>
    <w:rsid w:val="00BD05F5"/>
    <w:rsid w:val="00BD12CC"/>
    <w:rsid w:val="00BD34BD"/>
    <w:rsid w:val="00BD569A"/>
    <w:rsid w:val="00BE3098"/>
    <w:rsid w:val="00BE3516"/>
    <w:rsid w:val="00BF3AE8"/>
    <w:rsid w:val="00BF4135"/>
    <w:rsid w:val="00BF46D9"/>
    <w:rsid w:val="00BF6164"/>
    <w:rsid w:val="00C0157E"/>
    <w:rsid w:val="00C050C1"/>
    <w:rsid w:val="00C1004F"/>
    <w:rsid w:val="00C10C06"/>
    <w:rsid w:val="00C12C17"/>
    <w:rsid w:val="00C16559"/>
    <w:rsid w:val="00C17DB5"/>
    <w:rsid w:val="00C2223D"/>
    <w:rsid w:val="00C260B9"/>
    <w:rsid w:val="00C3120F"/>
    <w:rsid w:val="00C37028"/>
    <w:rsid w:val="00C37AFF"/>
    <w:rsid w:val="00C37D9A"/>
    <w:rsid w:val="00C44D77"/>
    <w:rsid w:val="00C45157"/>
    <w:rsid w:val="00C50AA3"/>
    <w:rsid w:val="00C62494"/>
    <w:rsid w:val="00C62F1F"/>
    <w:rsid w:val="00C654CA"/>
    <w:rsid w:val="00C65DF0"/>
    <w:rsid w:val="00C66E56"/>
    <w:rsid w:val="00C7056F"/>
    <w:rsid w:val="00C73C94"/>
    <w:rsid w:val="00C761EC"/>
    <w:rsid w:val="00C80E7D"/>
    <w:rsid w:val="00C90FD1"/>
    <w:rsid w:val="00C917C6"/>
    <w:rsid w:val="00C96B74"/>
    <w:rsid w:val="00CA226E"/>
    <w:rsid w:val="00CA59E9"/>
    <w:rsid w:val="00CB3EDF"/>
    <w:rsid w:val="00CB4179"/>
    <w:rsid w:val="00CB67D3"/>
    <w:rsid w:val="00CC160A"/>
    <w:rsid w:val="00CC53C6"/>
    <w:rsid w:val="00CD1A2A"/>
    <w:rsid w:val="00CD736D"/>
    <w:rsid w:val="00CE2081"/>
    <w:rsid w:val="00CE6EE0"/>
    <w:rsid w:val="00CF7F06"/>
    <w:rsid w:val="00D0456D"/>
    <w:rsid w:val="00D064AD"/>
    <w:rsid w:val="00D1214D"/>
    <w:rsid w:val="00D123B6"/>
    <w:rsid w:val="00D12741"/>
    <w:rsid w:val="00D16297"/>
    <w:rsid w:val="00D1718A"/>
    <w:rsid w:val="00D2128A"/>
    <w:rsid w:val="00D22264"/>
    <w:rsid w:val="00D23A6C"/>
    <w:rsid w:val="00D25E7F"/>
    <w:rsid w:val="00D30430"/>
    <w:rsid w:val="00D306C0"/>
    <w:rsid w:val="00D31247"/>
    <w:rsid w:val="00D3337C"/>
    <w:rsid w:val="00D33F99"/>
    <w:rsid w:val="00D34134"/>
    <w:rsid w:val="00D376B8"/>
    <w:rsid w:val="00D40D23"/>
    <w:rsid w:val="00D43ADF"/>
    <w:rsid w:val="00D4402B"/>
    <w:rsid w:val="00D47E1E"/>
    <w:rsid w:val="00D52051"/>
    <w:rsid w:val="00D52366"/>
    <w:rsid w:val="00D54384"/>
    <w:rsid w:val="00D54577"/>
    <w:rsid w:val="00D56C25"/>
    <w:rsid w:val="00D639A2"/>
    <w:rsid w:val="00D66694"/>
    <w:rsid w:val="00D66D67"/>
    <w:rsid w:val="00D67B17"/>
    <w:rsid w:val="00D7323B"/>
    <w:rsid w:val="00D807EF"/>
    <w:rsid w:val="00D80E53"/>
    <w:rsid w:val="00D81669"/>
    <w:rsid w:val="00D81E5D"/>
    <w:rsid w:val="00D82E87"/>
    <w:rsid w:val="00D87A46"/>
    <w:rsid w:val="00D92779"/>
    <w:rsid w:val="00D92DC0"/>
    <w:rsid w:val="00D9459E"/>
    <w:rsid w:val="00DA1EA3"/>
    <w:rsid w:val="00DA26FA"/>
    <w:rsid w:val="00DA56D2"/>
    <w:rsid w:val="00DA6F65"/>
    <w:rsid w:val="00DA7CE4"/>
    <w:rsid w:val="00DC2850"/>
    <w:rsid w:val="00DC2C6E"/>
    <w:rsid w:val="00DC33C5"/>
    <w:rsid w:val="00DC5429"/>
    <w:rsid w:val="00DC726C"/>
    <w:rsid w:val="00DD17A4"/>
    <w:rsid w:val="00DD2F24"/>
    <w:rsid w:val="00DD6502"/>
    <w:rsid w:val="00DE1555"/>
    <w:rsid w:val="00DE2340"/>
    <w:rsid w:val="00DE6069"/>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1E9C"/>
    <w:rsid w:val="00E444D3"/>
    <w:rsid w:val="00E47F86"/>
    <w:rsid w:val="00E51166"/>
    <w:rsid w:val="00E5382E"/>
    <w:rsid w:val="00E575CF"/>
    <w:rsid w:val="00E603B9"/>
    <w:rsid w:val="00E63551"/>
    <w:rsid w:val="00E64C28"/>
    <w:rsid w:val="00E650BB"/>
    <w:rsid w:val="00E66803"/>
    <w:rsid w:val="00E72618"/>
    <w:rsid w:val="00E72BA3"/>
    <w:rsid w:val="00E748FB"/>
    <w:rsid w:val="00E75DBF"/>
    <w:rsid w:val="00E75F0F"/>
    <w:rsid w:val="00E76979"/>
    <w:rsid w:val="00E76DE8"/>
    <w:rsid w:val="00E933F3"/>
    <w:rsid w:val="00E95D5D"/>
    <w:rsid w:val="00E969E0"/>
    <w:rsid w:val="00EA217F"/>
    <w:rsid w:val="00EA2DA7"/>
    <w:rsid w:val="00EA4F2A"/>
    <w:rsid w:val="00EA5F87"/>
    <w:rsid w:val="00EA7E21"/>
    <w:rsid w:val="00EB02A3"/>
    <w:rsid w:val="00EB163A"/>
    <w:rsid w:val="00EB31A4"/>
    <w:rsid w:val="00EB4D65"/>
    <w:rsid w:val="00EB7736"/>
    <w:rsid w:val="00EB7A02"/>
    <w:rsid w:val="00EC1577"/>
    <w:rsid w:val="00EC1ACF"/>
    <w:rsid w:val="00EC2099"/>
    <w:rsid w:val="00EC3F63"/>
    <w:rsid w:val="00EC6ED8"/>
    <w:rsid w:val="00ED2C49"/>
    <w:rsid w:val="00ED3F02"/>
    <w:rsid w:val="00ED60E2"/>
    <w:rsid w:val="00EE5872"/>
    <w:rsid w:val="00EF13AE"/>
    <w:rsid w:val="00EF7C9E"/>
    <w:rsid w:val="00F007FF"/>
    <w:rsid w:val="00F05156"/>
    <w:rsid w:val="00F05CC1"/>
    <w:rsid w:val="00F11DAA"/>
    <w:rsid w:val="00F12BF5"/>
    <w:rsid w:val="00F14CC2"/>
    <w:rsid w:val="00F172BC"/>
    <w:rsid w:val="00F1786B"/>
    <w:rsid w:val="00F20D55"/>
    <w:rsid w:val="00F25482"/>
    <w:rsid w:val="00F304AC"/>
    <w:rsid w:val="00F32B4F"/>
    <w:rsid w:val="00F358A4"/>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B174F"/>
    <w:rsid w:val="00FB3CD6"/>
    <w:rsid w:val="00FC00D6"/>
    <w:rsid w:val="00FC2EAE"/>
    <w:rsid w:val="00FC3A83"/>
    <w:rsid w:val="00FC3AC1"/>
    <w:rsid w:val="00FC6503"/>
    <w:rsid w:val="00FC7CAB"/>
    <w:rsid w:val="00FD0278"/>
    <w:rsid w:val="00FD247B"/>
    <w:rsid w:val="00FD361C"/>
    <w:rsid w:val="00FD37E3"/>
    <w:rsid w:val="00FD3C07"/>
    <w:rsid w:val="00FD47CA"/>
    <w:rsid w:val="00FD4B91"/>
    <w:rsid w:val="00FD5040"/>
    <w:rsid w:val="00FD6644"/>
    <w:rsid w:val="00FD7600"/>
    <w:rsid w:val="00FE00C7"/>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unibas.ch/dam/jcr:4439d7b2-f71c-457c-837d-44938163ce02/Code%20of%20good%20practice%20in%20research.pdf"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27637</Words>
  <Characters>174116</Characters>
  <Application>Microsoft Office Word</Application>
  <DocSecurity>0</DocSecurity>
  <Lines>1450</Lines>
  <Paragraphs>402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48</cp:revision>
  <dcterms:created xsi:type="dcterms:W3CDTF">2021-10-14T09:35:00Z</dcterms:created>
  <dcterms:modified xsi:type="dcterms:W3CDTF">2021-10-14T20:38:00Z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id="fanvcCSE"/&gt;&lt;style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