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B49C" w14:textId="2E07E18D" w:rsidR="00573539" w:rsidRDefault="00AE6813" w:rsidP="00AE6813">
      <w:pPr>
        <w:spacing w:line="276" w:lineRule="auto"/>
        <w:rPr>
          <w:u w:val="none"/>
        </w:rPr>
      </w:pPr>
      <w:r>
        <w:rPr>
          <w:u w:val="none"/>
        </w:rPr>
        <w:t>Gabriel Eze</w:t>
      </w:r>
    </w:p>
    <w:p w14:paraId="518AF260" w14:textId="02E48BE7" w:rsidR="00AE6813" w:rsidRDefault="00AE6813" w:rsidP="00AE6813">
      <w:pPr>
        <w:spacing w:line="276" w:lineRule="auto"/>
        <w:rPr>
          <w:u w:val="none"/>
        </w:rPr>
      </w:pPr>
      <w:r>
        <w:rPr>
          <w:u w:val="none"/>
        </w:rPr>
        <w:t>Dr. Gendreau</w:t>
      </w:r>
    </w:p>
    <w:p w14:paraId="36AA6122" w14:textId="4AAECC2E" w:rsidR="00AE6813" w:rsidRDefault="00AE6813" w:rsidP="00AE6813">
      <w:pPr>
        <w:spacing w:line="276" w:lineRule="auto"/>
        <w:rPr>
          <w:u w:val="none"/>
        </w:rPr>
      </w:pPr>
      <w:r>
        <w:rPr>
          <w:u w:val="none"/>
        </w:rPr>
        <w:t>ENS 110</w:t>
      </w:r>
    </w:p>
    <w:p w14:paraId="41A7388D" w14:textId="549BF1A9" w:rsidR="00AE6813" w:rsidRDefault="00AE6813" w:rsidP="00AE6813">
      <w:pPr>
        <w:spacing w:line="276" w:lineRule="auto"/>
        <w:rPr>
          <w:u w:val="none"/>
        </w:rPr>
      </w:pPr>
      <w:r>
        <w:rPr>
          <w:u w:val="none"/>
        </w:rPr>
        <w:t>24 February 2026</w:t>
      </w:r>
    </w:p>
    <w:p w14:paraId="01895B44" w14:textId="05F07E5F" w:rsidR="00AE6813" w:rsidRDefault="00AE6813" w:rsidP="00AE6813">
      <w:pPr>
        <w:spacing w:line="480" w:lineRule="auto"/>
        <w:jc w:val="center"/>
      </w:pPr>
      <w:r w:rsidRPr="00AE6813">
        <w:t>Restraint Over Use</w:t>
      </w:r>
    </w:p>
    <w:p w14:paraId="2C657B8D" w14:textId="357535FB" w:rsidR="00AE6813" w:rsidRDefault="00AE6813" w:rsidP="00AE6813">
      <w:pPr>
        <w:spacing w:line="480" w:lineRule="auto"/>
        <w:rPr>
          <w:u w:val="none"/>
        </w:rPr>
      </w:pPr>
      <w:r>
        <w:rPr>
          <w:u w:val="none"/>
        </w:rPr>
        <w:tab/>
        <w:t>My relationship with the wilderness is not romantic or dramatic; it is restrained. I do not enter forests to conquer them, nor do I depend on them for profit. I require from nature only what sustains basic life processes: movement, respiration, nourishment. Having witnessed the ecological consequences of industrialization in Nigeria—deforestation, soot-filled air, land exhausted by large-scale agriculture—I find myself aligned not with conservation in the utilitarian sense, but with preservation.</w:t>
      </w:r>
    </w:p>
    <w:p w14:paraId="04D5DFA2" w14:textId="47C8D9C1" w:rsidR="00AE6813" w:rsidRDefault="00AE6813" w:rsidP="00AE6813">
      <w:pPr>
        <w:spacing w:line="480" w:lineRule="auto"/>
        <w:rPr>
          <w:u w:val="none"/>
        </w:rPr>
      </w:pPr>
      <w:r>
        <w:rPr>
          <w:u w:val="none"/>
        </w:rPr>
        <w:tab/>
        <w:t xml:space="preserve">The early twentieth-century debate between Gifford Pinchot and John Muir clarifies this divide. </w:t>
      </w:r>
      <w:r>
        <w:rPr>
          <w:u w:val="none"/>
        </w:rPr>
        <w:tab/>
        <w:t xml:space="preserve">Pinchot defined conservation as </w:t>
      </w:r>
      <w:r w:rsidR="00B114A4">
        <w:rPr>
          <w:u w:val="none"/>
        </w:rPr>
        <w:t xml:space="preserve">“the use of the natural resources…for the benefit of the people” and summarized it as “the greatest good </w:t>
      </w:r>
      <w:r w:rsidR="008B1A29">
        <w:rPr>
          <w:u w:val="none"/>
        </w:rPr>
        <w:t>to</w:t>
      </w:r>
      <w:r w:rsidR="00B114A4">
        <w:rPr>
          <w:u w:val="none"/>
        </w:rPr>
        <w:t xml:space="preserve"> the greatest number for the longest time” (Pinchot</w:t>
      </w:r>
      <w:r w:rsidR="008B1A29">
        <w:rPr>
          <w:u w:val="none"/>
        </w:rPr>
        <w:t xml:space="preserve"> </w:t>
      </w:r>
      <w:r w:rsidR="00B114A4">
        <w:rPr>
          <w:u w:val="none"/>
        </w:rPr>
        <w:t>28-29). His argument for damming Hetch Hetchy Valley rested on calculated public utility: if water served San Fran</w:t>
      </w:r>
      <w:r w:rsidR="008C4967">
        <w:rPr>
          <w:u w:val="none"/>
        </w:rPr>
        <w:t xml:space="preserve">cisco efficiently, then its use justified alteration of the valley (Muir 32). This logic is disciplined and rational. Yet it assumes that nature’s primary value lies in service. </w:t>
      </w:r>
    </w:p>
    <w:p w14:paraId="356254D6" w14:textId="045DB6E3" w:rsidR="008C4967" w:rsidRDefault="008C4967" w:rsidP="00AE6813">
      <w:pPr>
        <w:spacing w:line="480" w:lineRule="auto"/>
        <w:rPr>
          <w:u w:val="none"/>
        </w:rPr>
      </w:pPr>
      <w:r>
        <w:rPr>
          <w:u w:val="none"/>
        </w:rPr>
        <w:tab/>
        <w:t>Muir rejected that assumption. In “The Hetch Hetchy Valley</w:t>
      </w:r>
      <w:r w:rsidR="00FD00E1">
        <w:rPr>
          <w:u w:val="none"/>
        </w:rPr>
        <w:t>,</w:t>
      </w:r>
      <w:r>
        <w:rPr>
          <w:u w:val="none"/>
        </w:rPr>
        <w:t xml:space="preserve">” he </w:t>
      </w:r>
      <w:r w:rsidR="007C232B">
        <w:rPr>
          <w:u w:val="none"/>
        </w:rPr>
        <w:t>called</w:t>
      </w:r>
      <w:r>
        <w:rPr>
          <w:u w:val="none"/>
        </w:rPr>
        <w:t xml:space="preserve"> wild landscapes</w:t>
      </w:r>
      <w:r w:rsidR="007C232B">
        <w:rPr>
          <w:u w:val="none"/>
        </w:rPr>
        <w:t xml:space="preserve"> </w:t>
      </w:r>
      <w:r>
        <w:rPr>
          <w:u w:val="none"/>
        </w:rPr>
        <w:t xml:space="preserve">“mountain </w:t>
      </w:r>
      <w:r w:rsidR="008B1A29">
        <w:rPr>
          <w:u w:val="none"/>
        </w:rPr>
        <w:t>temples as places for people to grow in…They are the greatest</w:t>
      </w:r>
      <w:r w:rsidR="007C232B">
        <w:rPr>
          <w:u w:val="none"/>
        </w:rPr>
        <w:t xml:space="preserve"> of our natural resources</w:t>
      </w:r>
      <w:r>
        <w:rPr>
          <w:u w:val="none"/>
        </w:rPr>
        <w:t>” (Muir 31). For Muir, wilderness possessed intrinsic worth, independent of the economy. To dam Hetch Hetchy was not merely poor management; it was desecration, as it</w:t>
      </w:r>
      <w:r w:rsidR="007C232B">
        <w:rPr>
          <w:u w:val="none"/>
        </w:rPr>
        <w:t xml:space="preserve"> is</w:t>
      </w:r>
      <w:r>
        <w:rPr>
          <w:u w:val="none"/>
        </w:rPr>
        <w:t xml:space="preserve"> no</w:t>
      </w:r>
      <w:r w:rsidR="00A73645">
        <w:rPr>
          <w:u w:val="none"/>
        </w:rPr>
        <w:t xml:space="preserve"> </w:t>
      </w:r>
      <w:r>
        <w:rPr>
          <w:u w:val="none"/>
        </w:rPr>
        <w:t xml:space="preserve">longer </w:t>
      </w:r>
      <w:r w:rsidR="00117911">
        <w:rPr>
          <w:u w:val="none"/>
        </w:rPr>
        <w:t xml:space="preserve">effective. When I reflect on Nigeria’s transformation—lush green spaces replaced by dust </w:t>
      </w:r>
      <w:r w:rsidR="00117911">
        <w:rPr>
          <w:u w:val="none"/>
        </w:rPr>
        <w:lastRenderedPageBreak/>
        <w:t xml:space="preserve">and soot in the name of development—I see the consequences of prioritizing use over reverence. Conservation may </w:t>
      </w:r>
      <w:r w:rsidR="003148B8">
        <w:rPr>
          <w:u w:val="none"/>
        </w:rPr>
        <w:t>curb</w:t>
      </w:r>
      <w:r w:rsidR="00117911">
        <w:rPr>
          <w:u w:val="none"/>
        </w:rPr>
        <w:t xml:space="preserve"> destruction, but it rarely questions the underlying appetite that drives it.</w:t>
      </w:r>
    </w:p>
    <w:p w14:paraId="2594C741" w14:textId="70EBC4D1" w:rsidR="00117911" w:rsidRDefault="00117911" w:rsidP="00AE6813">
      <w:pPr>
        <w:spacing w:line="480" w:lineRule="auto"/>
        <w:rPr>
          <w:u w:val="none"/>
        </w:rPr>
      </w:pPr>
      <w:r>
        <w:rPr>
          <w:u w:val="none"/>
        </w:rPr>
        <w:tab/>
        <w:t xml:space="preserve">Dorceta Taylor notes that </w:t>
      </w:r>
      <w:r w:rsidR="00C964BA">
        <w:rPr>
          <w:u w:val="none"/>
        </w:rPr>
        <w:t xml:space="preserve">early preservationist sentiment emerged partly from cultural nationalism and elite aesthetics, especially in the creation of national parks (Taylor </w:t>
      </w:r>
      <w:r w:rsidR="003148B8">
        <w:rPr>
          <w:u w:val="none"/>
        </w:rPr>
        <w:t>294)</w:t>
      </w:r>
      <w:r w:rsidR="00C964BA">
        <w:rPr>
          <w:u w:val="none"/>
        </w:rPr>
        <w:t>.</w:t>
      </w:r>
      <w:r w:rsidR="003148B8">
        <w:rPr>
          <w:u w:val="none"/>
        </w:rPr>
        <w:t xml:space="preserve"> While preservation had social limitations, it nevertheless asserted something radical: some places should remain beyond economic conversion. That principle resonates with my own skepticism toward modern “progress</w:t>
      </w:r>
      <w:r w:rsidR="00FD00E1">
        <w:rPr>
          <w:u w:val="none"/>
        </w:rPr>
        <w:t>.</w:t>
      </w:r>
      <w:r w:rsidR="003148B8">
        <w:rPr>
          <w:u w:val="none"/>
        </w:rPr>
        <w:t>” The expansion of production, whether agricultural intensification, technological advancements of labor, or militarized resource competition, often widens inequality while exhausting ecosystems. Demand continually expands; supply does not.</w:t>
      </w:r>
    </w:p>
    <w:p w14:paraId="2EDC749A" w14:textId="217D02B5" w:rsidR="003148B8" w:rsidRDefault="003148B8" w:rsidP="00AE6813">
      <w:pPr>
        <w:spacing w:line="480" w:lineRule="auto"/>
        <w:rPr>
          <w:u w:val="none"/>
        </w:rPr>
      </w:pPr>
      <w:r>
        <w:rPr>
          <w:u w:val="none"/>
        </w:rPr>
        <w:tab/>
        <w:t>Aldo Leopold later deepened this critique by arguing that ethics must extend beyond human communities</w:t>
      </w:r>
      <w:r w:rsidR="00FD00E1">
        <w:rPr>
          <w:u w:val="none"/>
        </w:rPr>
        <w:t xml:space="preserve">. In </w:t>
      </w:r>
      <w:r w:rsidR="00D03F27">
        <w:rPr>
          <w:u w:val="none"/>
        </w:rPr>
        <w:t xml:space="preserve">the seasonal essays of </w:t>
      </w:r>
      <w:r w:rsidR="00FD00E1">
        <w:rPr>
          <w:i/>
          <w:iCs/>
          <w:u w:val="none"/>
        </w:rPr>
        <w:t xml:space="preserve">A Sand County Almanac, </w:t>
      </w:r>
      <w:r w:rsidR="00D03F27">
        <w:rPr>
          <w:u w:val="none"/>
        </w:rPr>
        <w:t xml:space="preserve">Leopold models careful attention to land. He observes thawing marshes, migrating geese, and oak trees with patience rather than obsession (Leopold [18]). </w:t>
      </w:r>
      <w:r w:rsidR="0038300D">
        <w:rPr>
          <w:u w:val="none"/>
        </w:rPr>
        <w:t xml:space="preserve">His writing suggests that understanding land begins with respect, not domination. </w:t>
      </w:r>
      <w:r w:rsidR="009577BB">
        <w:rPr>
          <w:u w:val="none"/>
        </w:rPr>
        <w:t xml:space="preserve">If we are servants of the land, </w:t>
      </w:r>
      <w:r w:rsidR="00003400">
        <w:rPr>
          <w:u w:val="none"/>
        </w:rPr>
        <w:t xml:space="preserve">not masters, </w:t>
      </w:r>
      <w:r w:rsidR="009577BB">
        <w:rPr>
          <w:u w:val="none"/>
        </w:rPr>
        <w:t>then restraint becomes duty.</w:t>
      </w:r>
    </w:p>
    <w:p w14:paraId="0B0B1026" w14:textId="10B5770F" w:rsidR="0038300D" w:rsidRDefault="0038300D" w:rsidP="00AE6813">
      <w:pPr>
        <w:spacing w:line="480" w:lineRule="auto"/>
        <w:rPr>
          <w:u w:val="none"/>
        </w:rPr>
      </w:pPr>
      <w:r>
        <w:rPr>
          <w:u w:val="none"/>
        </w:rPr>
        <w:tab/>
      </w:r>
      <w:r w:rsidRPr="0038300D">
        <w:rPr>
          <w:u w:val="none"/>
        </w:rPr>
        <w:t xml:space="preserve">Modern society often treats technological progress as moral progress. We produce more, consume more, and expand faster. When problems arise, we try to manage them with better systems. But management is different from humility. Conservation can reduce waste. It can improve efficiency. Yet it rarely </w:t>
      </w:r>
      <w:r>
        <w:rPr>
          <w:u w:val="none"/>
        </w:rPr>
        <w:t>asks</w:t>
      </w:r>
      <w:r w:rsidRPr="0038300D">
        <w:rPr>
          <w:u w:val="none"/>
        </w:rPr>
        <w:t xml:space="preserve"> whether our level of demand is sustainable in the first place.</w:t>
      </w:r>
      <w:r>
        <w:rPr>
          <w:u w:val="none"/>
        </w:rPr>
        <w:t xml:space="preserve"> </w:t>
      </w:r>
    </w:p>
    <w:p w14:paraId="130B67A6" w14:textId="3DA449E3" w:rsidR="0038300D" w:rsidRDefault="0038300D" w:rsidP="00AE6813">
      <w:pPr>
        <w:spacing w:line="480" w:lineRule="auto"/>
        <w:rPr>
          <w:u w:val="none"/>
        </w:rPr>
      </w:pPr>
      <w:r>
        <w:rPr>
          <w:u w:val="none"/>
        </w:rPr>
        <w:tab/>
      </w:r>
      <w:r w:rsidRPr="0038300D">
        <w:rPr>
          <w:u w:val="none"/>
        </w:rPr>
        <w:t xml:space="preserve">My own relationship with </w:t>
      </w:r>
      <w:r>
        <w:rPr>
          <w:u w:val="none"/>
        </w:rPr>
        <w:t xml:space="preserve">the </w:t>
      </w:r>
      <w:r w:rsidRPr="0038300D">
        <w:rPr>
          <w:u w:val="none"/>
        </w:rPr>
        <w:t xml:space="preserve">wilderness reflects this concern. I do not seek to maximize what nature can provide. I seek to minimize what I take. In that restraint, I find myself closer to Muir’s reverence and Leopold’s ethical vision than to Pinchot’s utilitarian framework. </w:t>
      </w:r>
      <w:r w:rsidR="009577BB">
        <w:rPr>
          <w:u w:val="none"/>
        </w:rPr>
        <w:t>Nature</w:t>
      </w:r>
      <w:r w:rsidRPr="0038300D">
        <w:rPr>
          <w:u w:val="none"/>
        </w:rPr>
        <w:t>, to me, is not a warehouse of resources. It is a living system to which I belong.</w:t>
      </w:r>
    </w:p>
    <w:p w14:paraId="2CB6A4D3" w14:textId="721D7D23" w:rsidR="0038300D" w:rsidRDefault="0038300D" w:rsidP="0038300D">
      <w:pPr>
        <w:spacing w:line="480" w:lineRule="auto"/>
        <w:jc w:val="center"/>
      </w:pPr>
      <w:r w:rsidRPr="0038300D">
        <w:lastRenderedPageBreak/>
        <w:t>Works Cited</w:t>
      </w:r>
    </w:p>
    <w:p w14:paraId="027ADBC3" w14:textId="6C2D816D" w:rsidR="0038300D" w:rsidRPr="0038300D" w:rsidRDefault="0038300D" w:rsidP="0038300D">
      <w:pPr>
        <w:spacing w:line="480" w:lineRule="auto"/>
        <w:rPr>
          <w:u w:val="none"/>
        </w:rPr>
      </w:pPr>
      <w:r w:rsidRPr="0038300D">
        <w:rPr>
          <w:u w:val="none"/>
        </w:rPr>
        <w:t xml:space="preserve">Leopold, Aldo. </w:t>
      </w:r>
      <w:r w:rsidRPr="0038300D">
        <w:rPr>
          <w:i/>
          <w:iCs/>
          <w:u w:val="none"/>
        </w:rPr>
        <w:t>A Sand County Almanac</w:t>
      </w:r>
      <w:r w:rsidRPr="0038300D">
        <w:rPr>
          <w:u w:val="none"/>
        </w:rPr>
        <w:t xml:space="preserve">. Oxford University Press, 1949. </w:t>
      </w:r>
    </w:p>
    <w:p w14:paraId="3FFEC764" w14:textId="02D168E4" w:rsidR="0038300D" w:rsidRPr="0038300D" w:rsidRDefault="0038300D" w:rsidP="0038300D">
      <w:pPr>
        <w:spacing w:line="480" w:lineRule="auto"/>
        <w:rPr>
          <w:u w:val="none"/>
        </w:rPr>
      </w:pPr>
      <w:r w:rsidRPr="0038300D">
        <w:rPr>
          <w:u w:val="none"/>
        </w:rPr>
        <w:t xml:space="preserve">Muir, John. “The Hetch Hetchy Valley.” In </w:t>
      </w:r>
      <w:r w:rsidRPr="0038300D">
        <w:rPr>
          <w:i/>
          <w:iCs/>
          <w:u w:val="none"/>
        </w:rPr>
        <w:t>The Yosemite</w:t>
      </w:r>
      <w:r w:rsidRPr="0038300D">
        <w:rPr>
          <w:u w:val="none"/>
        </w:rPr>
        <w:t xml:space="preserve">, 1912. </w:t>
      </w:r>
    </w:p>
    <w:p w14:paraId="656AF17E" w14:textId="51C59E41" w:rsidR="0038300D" w:rsidRPr="0038300D" w:rsidRDefault="0038300D" w:rsidP="0038300D">
      <w:pPr>
        <w:spacing w:line="480" w:lineRule="auto"/>
        <w:rPr>
          <w:u w:val="none"/>
        </w:rPr>
      </w:pPr>
      <w:r w:rsidRPr="0038300D">
        <w:rPr>
          <w:u w:val="none"/>
        </w:rPr>
        <w:t xml:space="preserve">Pinchot, Gifford. “The Fight for Conservation.” 1910. </w:t>
      </w:r>
    </w:p>
    <w:p w14:paraId="52BF532D" w14:textId="77777777" w:rsidR="0038300D" w:rsidRPr="0038300D" w:rsidRDefault="0038300D" w:rsidP="0038300D">
      <w:pPr>
        <w:spacing w:line="480" w:lineRule="auto"/>
        <w:rPr>
          <w:u w:val="none"/>
        </w:rPr>
      </w:pPr>
      <w:r w:rsidRPr="0038300D">
        <w:rPr>
          <w:u w:val="none"/>
        </w:rPr>
        <w:t xml:space="preserve">Taylor, Dorceta E. </w:t>
      </w:r>
      <w:r w:rsidRPr="0038300D">
        <w:rPr>
          <w:i/>
          <w:iCs/>
          <w:u w:val="none"/>
        </w:rPr>
        <w:t>The Rise of the American Conservation Movement: Power, Privilege, and Environmental Protection</w:t>
      </w:r>
      <w:r w:rsidRPr="0038300D">
        <w:rPr>
          <w:u w:val="none"/>
        </w:rPr>
        <w:t>. Duke University Press, 2016.</w:t>
      </w:r>
    </w:p>
    <w:p w14:paraId="442A7A16" w14:textId="77777777" w:rsidR="0038300D" w:rsidRPr="0038300D" w:rsidRDefault="0038300D" w:rsidP="0038300D">
      <w:pPr>
        <w:spacing w:line="480" w:lineRule="auto"/>
        <w:rPr>
          <w:u w:val="none"/>
        </w:rPr>
      </w:pPr>
    </w:p>
    <w:sectPr w:rsidR="0038300D" w:rsidRPr="0038300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F2EA" w14:textId="77777777" w:rsidR="000B764A" w:rsidRDefault="000B764A" w:rsidP="008B1A29">
      <w:pPr>
        <w:spacing w:after="0" w:line="240" w:lineRule="auto"/>
      </w:pPr>
      <w:r>
        <w:separator/>
      </w:r>
    </w:p>
  </w:endnote>
  <w:endnote w:type="continuationSeparator" w:id="0">
    <w:p w14:paraId="614CB5B8" w14:textId="77777777" w:rsidR="000B764A" w:rsidRDefault="000B764A" w:rsidP="008B1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24D9" w14:textId="77777777" w:rsidR="000B764A" w:rsidRDefault="000B764A" w:rsidP="008B1A29">
      <w:pPr>
        <w:spacing w:after="0" w:line="240" w:lineRule="auto"/>
      </w:pPr>
      <w:r>
        <w:separator/>
      </w:r>
    </w:p>
  </w:footnote>
  <w:footnote w:type="continuationSeparator" w:id="0">
    <w:p w14:paraId="7F6A9A77" w14:textId="77777777" w:rsidR="000B764A" w:rsidRDefault="000B764A" w:rsidP="008B1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7235" w14:textId="3E1CF05D" w:rsidR="008B1A29" w:rsidRPr="008B1A29" w:rsidRDefault="008B1A29" w:rsidP="008B1A29">
    <w:pPr>
      <w:pStyle w:val="Header"/>
      <w:jc w:val="right"/>
      <w:rPr>
        <w:u w:val="none"/>
      </w:rPr>
    </w:pPr>
    <w:r w:rsidRPr="008B1A29">
      <w:rPr>
        <w:u w:val="none"/>
      </w:rPr>
      <w:t>Eze</w:t>
    </w:r>
  </w:p>
  <w:p w14:paraId="657EBD90" w14:textId="77777777" w:rsidR="008B1A29" w:rsidRDefault="008B1A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13"/>
    <w:rsid w:val="00003400"/>
    <w:rsid w:val="000916ED"/>
    <w:rsid w:val="000B764A"/>
    <w:rsid w:val="00117911"/>
    <w:rsid w:val="00232F72"/>
    <w:rsid w:val="003148B8"/>
    <w:rsid w:val="0038300D"/>
    <w:rsid w:val="00424955"/>
    <w:rsid w:val="004A5CE2"/>
    <w:rsid w:val="00573539"/>
    <w:rsid w:val="007C232B"/>
    <w:rsid w:val="008B1A29"/>
    <w:rsid w:val="008C4967"/>
    <w:rsid w:val="009577BB"/>
    <w:rsid w:val="009B62C6"/>
    <w:rsid w:val="00A73645"/>
    <w:rsid w:val="00A84578"/>
    <w:rsid w:val="00AE6813"/>
    <w:rsid w:val="00B114A4"/>
    <w:rsid w:val="00C376B5"/>
    <w:rsid w:val="00C710E1"/>
    <w:rsid w:val="00C964BA"/>
    <w:rsid w:val="00D03F27"/>
    <w:rsid w:val="00D312F1"/>
    <w:rsid w:val="00DA7CFF"/>
    <w:rsid w:val="00FD00E1"/>
    <w:rsid w:val="00FF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17C8"/>
  <w15:chartTrackingRefBased/>
  <w15:docId w15:val="{8B727731-C396-484E-873F-DF516B79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8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8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68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68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68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68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68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8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8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68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68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68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68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68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6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8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8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6813"/>
    <w:pPr>
      <w:spacing w:before="160"/>
      <w:jc w:val="center"/>
    </w:pPr>
    <w:rPr>
      <w:i/>
      <w:iCs/>
      <w:color w:val="404040" w:themeColor="text1" w:themeTint="BF"/>
    </w:rPr>
  </w:style>
  <w:style w:type="character" w:customStyle="1" w:styleId="QuoteChar">
    <w:name w:val="Quote Char"/>
    <w:basedOn w:val="DefaultParagraphFont"/>
    <w:link w:val="Quote"/>
    <w:uiPriority w:val="29"/>
    <w:rsid w:val="00AE6813"/>
    <w:rPr>
      <w:i/>
      <w:iCs/>
      <w:color w:val="404040" w:themeColor="text1" w:themeTint="BF"/>
    </w:rPr>
  </w:style>
  <w:style w:type="paragraph" w:styleId="ListParagraph">
    <w:name w:val="List Paragraph"/>
    <w:basedOn w:val="Normal"/>
    <w:uiPriority w:val="34"/>
    <w:qFormat/>
    <w:rsid w:val="00AE6813"/>
    <w:pPr>
      <w:ind w:left="720"/>
      <w:contextualSpacing/>
    </w:pPr>
  </w:style>
  <w:style w:type="character" w:styleId="IntenseEmphasis">
    <w:name w:val="Intense Emphasis"/>
    <w:basedOn w:val="DefaultParagraphFont"/>
    <w:uiPriority w:val="21"/>
    <w:qFormat/>
    <w:rsid w:val="00AE6813"/>
    <w:rPr>
      <w:i/>
      <w:iCs/>
      <w:color w:val="0F4761" w:themeColor="accent1" w:themeShade="BF"/>
    </w:rPr>
  </w:style>
  <w:style w:type="paragraph" w:styleId="IntenseQuote">
    <w:name w:val="Intense Quote"/>
    <w:basedOn w:val="Normal"/>
    <w:next w:val="Normal"/>
    <w:link w:val="IntenseQuoteChar"/>
    <w:uiPriority w:val="30"/>
    <w:qFormat/>
    <w:rsid w:val="00AE6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813"/>
    <w:rPr>
      <w:i/>
      <w:iCs/>
      <w:color w:val="0F4761" w:themeColor="accent1" w:themeShade="BF"/>
    </w:rPr>
  </w:style>
  <w:style w:type="character" w:styleId="IntenseReference">
    <w:name w:val="Intense Reference"/>
    <w:basedOn w:val="DefaultParagraphFont"/>
    <w:uiPriority w:val="32"/>
    <w:qFormat/>
    <w:rsid w:val="00AE6813"/>
    <w:rPr>
      <w:b/>
      <w:bCs/>
      <w:smallCaps/>
      <w:color w:val="0F4761" w:themeColor="accent1" w:themeShade="BF"/>
      <w:spacing w:val="5"/>
    </w:rPr>
  </w:style>
  <w:style w:type="paragraph" w:styleId="Header">
    <w:name w:val="header"/>
    <w:basedOn w:val="Normal"/>
    <w:link w:val="HeaderChar"/>
    <w:uiPriority w:val="99"/>
    <w:unhideWhenUsed/>
    <w:rsid w:val="008B1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A29"/>
  </w:style>
  <w:style w:type="paragraph" w:styleId="Footer">
    <w:name w:val="footer"/>
    <w:basedOn w:val="Normal"/>
    <w:link w:val="FooterChar"/>
    <w:uiPriority w:val="99"/>
    <w:unhideWhenUsed/>
    <w:rsid w:val="008B1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592</Words>
  <Characters>3387</Characters>
  <Application>Microsoft Office Word</Application>
  <DocSecurity>0</DocSecurity>
  <Lines>51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9</cp:revision>
  <dcterms:created xsi:type="dcterms:W3CDTF">2026-02-24T22:03:00Z</dcterms:created>
  <dcterms:modified xsi:type="dcterms:W3CDTF">2026-02-24T23:47:00Z</dcterms:modified>
</cp:coreProperties>
</file>