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CCCA" w14:textId="43444943" w:rsidR="00573539" w:rsidRDefault="00F05F36" w:rsidP="00F05F36">
      <w:pPr>
        <w:spacing w:line="276" w:lineRule="auto"/>
        <w:rPr>
          <w:u w:val="none"/>
        </w:rPr>
      </w:pPr>
      <w:r>
        <w:rPr>
          <w:u w:val="none"/>
        </w:rPr>
        <w:t xml:space="preserve">Gabriel </w:t>
      </w:r>
      <w:r w:rsidR="006E6D73">
        <w:rPr>
          <w:u w:val="none"/>
        </w:rPr>
        <w:t>Eze</w:t>
      </w:r>
    </w:p>
    <w:p w14:paraId="09D2FA7B" w14:textId="0F726C00" w:rsidR="006E6D73" w:rsidRDefault="006E6D73" w:rsidP="00F05F36">
      <w:pPr>
        <w:spacing w:line="276" w:lineRule="auto"/>
        <w:rPr>
          <w:u w:val="none"/>
        </w:rPr>
      </w:pPr>
      <w:r>
        <w:rPr>
          <w:u w:val="none"/>
        </w:rPr>
        <w:t>Dr. Gendreau</w:t>
      </w:r>
    </w:p>
    <w:p w14:paraId="7F59D311" w14:textId="7F7CAFC2" w:rsidR="006E6D73" w:rsidRDefault="006E6D73" w:rsidP="00F05F36">
      <w:pPr>
        <w:spacing w:line="276" w:lineRule="auto"/>
        <w:rPr>
          <w:u w:val="none"/>
        </w:rPr>
      </w:pPr>
      <w:r>
        <w:rPr>
          <w:u w:val="none"/>
        </w:rPr>
        <w:t>ENS 110</w:t>
      </w:r>
    </w:p>
    <w:p w14:paraId="6F92B19D" w14:textId="7945DB6A" w:rsidR="006E6D73" w:rsidRDefault="006E6D73" w:rsidP="00F05F36">
      <w:pPr>
        <w:spacing w:line="276" w:lineRule="auto"/>
        <w:rPr>
          <w:u w:val="none"/>
        </w:rPr>
      </w:pPr>
      <w:r>
        <w:rPr>
          <w:u w:val="none"/>
        </w:rPr>
        <w:t>24 April 2026</w:t>
      </w:r>
    </w:p>
    <w:p w14:paraId="6C75538D" w14:textId="180BCE11" w:rsidR="006E6D73" w:rsidRDefault="0022540C" w:rsidP="006E6D73">
      <w:pPr>
        <w:spacing w:line="480" w:lineRule="auto"/>
        <w:jc w:val="center"/>
      </w:pPr>
      <w:r>
        <w:t>Compassion Over Responsibility</w:t>
      </w:r>
    </w:p>
    <w:p w14:paraId="2A6E2507" w14:textId="7FEA1B51" w:rsidR="00567E15" w:rsidRDefault="006E6D73" w:rsidP="006E6D73">
      <w:pPr>
        <w:spacing w:line="480" w:lineRule="auto"/>
        <w:rPr>
          <w:u w:val="none"/>
        </w:rPr>
      </w:pPr>
      <w:r>
        <w:rPr>
          <w:u w:val="none"/>
        </w:rPr>
        <w:tab/>
        <w:t>The question of financial responsibility for historic emitters like the United States</w:t>
      </w:r>
      <w:r w:rsidR="00567E15">
        <w:rPr>
          <w:u w:val="none"/>
        </w:rPr>
        <w:t>, Canada, and EU nations toward climate adaptation in low-emitting but highly vulnerable countries—AOSIS states, nations in Northen and Sub-Saharan Africa and the Horn of Africa such as Eritrea—can sound aggressive. It risks framing the issue as blame rather than a shared human challenge. A compassionate approach shifts the focus away from strict “responsibility.” Industrialization and fossil-fuel burning have produced a largely uniform global impact through GHG emissions, yet vulnerability differs because of pre-existing climates. Nations with two-season (wet/dry) systems lack the restorative “reset” that temperate four-season cycles provide through winter-to-spring thaw</w:t>
      </w:r>
      <w:r w:rsidR="00554853">
        <w:rPr>
          <w:u w:val="none"/>
        </w:rPr>
        <w:t>. Compassionate support—rooted in practical aid that improves standard of living—offers the most effective path forward.</w:t>
      </w:r>
    </w:p>
    <w:p w14:paraId="6EF6AC26" w14:textId="7604F441" w:rsidR="00554853" w:rsidRDefault="00554853" w:rsidP="006E6D73">
      <w:pPr>
        <w:spacing w:line="480" w:lineRule="auto"/>
        <w:rPr>
          <w:u w:val="none"/>
        </w:rPr>
      </w:pPr>
      <w:r>
        <w:rPr>
          <w:u w:val="none"/>
        </w:rPr>
        <w:tab/>
        <w:t>Sheila Watt-Cloutier makes this global connectedness clear. She writes that “we are already among the first to be devasted by climate change, but we are not the only ones.</w:t>
      </w:r>
      <w:r w:rsidR="00AD3E3C">
        <w:rPr>
          <w:u w:val="none"/>
        </w:rPr>
        <w:t xml:space="preserve"> </w:t>
      </w:r>
      <w:r>
        <w:rPr>
          <w:u w:val="none"/>
        </w:rPr>
        <w:t>Everything is connected through our common atmosphere” (Watt-Cloutier XX). The Arctic functions as the planet’s “air conditioner”; its rapid warming drives erratic weather patterns—droughts, floods, stronger hurricanes</w:t>
      </w:r>
      <w:r w:rsidR="00E309D2">
        <w:rPr>
          <w:u w:val="none"/>
        </w:rPr>
        <w:t>, and rising seas that threaten small islands and coastal regions (Watt-Cloutier XX). This directly corroborate</w:t>
      </w:r>
      <w:r w:rsidR="00FE2AE6">
        <w:rPr>
          <w:u w:val="none"/>
        </w:rPr>
        <w:t>s</w:t>
      </w:r>
      <w:r w:rsidR="00E309D2">
        <w:rPr>
          <w:u w:val="none"/>
        </w:rPr>
        <w:t xml:space="preserve"> the prompt’s examples: AOSIS nations face inundation, while Bangladesh contends with intensified flooding and African countries grapple with prolonged drought. </w:t>
      </w:r>
    </w:p>
    <w:p w14:paraId="05C40AD4" w14:textId="29D4CF10" w:rsidR="00E309D2" w:rsidRDefault="00E309D2" w:rsidP="006E6D73">
      <w:pPr>
        <w:spacing w:line="480" w:lineRule="auto"/>
        <w:rPr>
          <w:u w:val="none"/>
        </w:rPr>
      </w:pPr>
      <w:r>
        <w:rPr>
          <w:u w:val="none"/>
        </w:rPr>
        <w:lastRenderedPageBreak/>
        <w:tab/>
      </w:r>
      <w:r w:rsidR="007634D7">
        <w:rPr>
          <w:u w:val="none"/>
        </w:rPr>
        <w:t xml:space="preserve">Aldo Leopold’s observations in </w:t>
      </w:r>
      <w:r w:rsidR="007634D7">
        <w:rPr>
          <w:i/>
          <w:iCs/>
          <w:u w:val="none"/>
        </w:rPr>
        <w:t xml:space="preserve">A Sand County Almanac </w:t>
      </w:r>
      <w:r w:rsidR="007634D7">
        <w:rPr>
          <w:u w:val="none"/>
        </w:rPr>
        <w:t xml:space="preserve">illuminate why some regions suffer more. In “January Thaw,” he describes the annual melt as part of “that cycle of beginnings and ceasings which we call a year” (Leopold [3]). </w:t>
      </w:r>
      <w:r w:rsidR="001B2DB5">
        <w:rPr>
          <w:u w:val="none"/>
        </w:rPr>
        <w:t xml:space="preserve">The thaw stirs hibernating animals, frees meadow mice from snow-bound tunnels, and signals renewal for hawks and geese return in March—patterns repeating “every March since the Pleistocene” (Leopold [23]). Having lived in Sub-Saharan Africa before moving to Kentucky, I have seen how extreme </w:t>
      </w:r>
      <w:r w:rsidR="007D03DE">
        <w:rPr>
          <w:u w:val="none"/>
        </w:rPr>
        <w:t>hot</w:t>
      </w:r>
      <w:r w:rsidR="001B2DB5">
        <w:rPr>
          <w:u w:val="none"/>
        </w:rPr>
        <w:t xml:space="preserve"> periods linger without the seasonal break</w:t>
      </w:r>
      <w:r w:rsidR="007D03DE">
        <w:rPr>
          <w:u w:val="none"/>
        </w:rPr>
        <w:t xml:space="preserve"> that thaws and resets temperate ecosystems</w:t>
      </w:r>
      <w:r w:rsidR="001B2DB5">
        <w:rPr>
          <w:u w:val="none"/>
        </w:rPr>
        <w:t xml:space="preserve">. Uniform global warming therefore hits harder where nature offers no built-in recovery system. </w:t>
      </w:r>
    </w:p>
    <w:p w14:paraId="76508098" w14:textId="316740CF" w:rsidR="001B2DB5" w:rsidRDefault="001B2DB5" w:rsidP="006E6D73">
      <w:pPr>
        <w:spacing w:line="480" w:lineRule="auto"/>
        <w:rPr>
          <w:u w:val="none"/>
        </w:rPr>
      </w:pPr>
      <w:r>
        <w:rPr>
          <w:u w:val="none"/>
        </w:rPr>
        <w:tab/>
        <w:t xml:space="preserve">Direct financial transactions alone cannot solve this problem. The world remains heavily dependent on fossil fuels for trade and daily survival. In vulnerable nations like Nigeria, most people prioritize immediate needs over abstract climate discussions. </w:t>
      </w:r>
      <w:r w:rsidR="00B035D9">
        <w:rPr>
          <w:u w:val="none"/>
        </w:rPr>
        <w:t xml:space="preserve">The engineering of genetically modified organisms offers a useful parallel: just as we supplement agricultural deficiencies with new traits to avert food insecurity, we can tailor adaptive solutions for climate-stressed regions. </w:t>
      </w:r>
      <w:r w:rsidR="00BE4870">
        <w:rPr>
          <w:u w:val="none"/>
        </w:rPr>
        <w:t xml:space="preserve">This approach respects local realities while addressing the human-rights dimension Watt-Cloutier emphasizes. In her policy work with the Inuit Circumpolar Council, she successfully advocated that </w:t>
      </w:r>
      <w:r w:rsidR="00AD3E3C">
        <w:rPr>
          <w:u w:val="none"/>
        </w:rPr>
        <w:t>government</w:t>
      </w:r>
      <w:r w:rsidR="004062C7">
        <w:rPr>
          <w:u w:val="none"/>
        </w:rPr>
        <w:t>s</w:t>
      </w:r>
      <w:r w:rsidR="00BE4870">
        <w:rPr>
          <w:u w:val="none"/>
        </w:rPr>
        <w:t xml:space="preserve"> “commit energy and resources to helping Indigenous people adapt</w:t>
      </w:r>
      <w:r w:rsidR="00A75DAD">
        <w:rPr>
          <w:u w:val="none"/>
        </w:rPr>
        <w:t>,</w:t>
      </w:r>
      <w:r w:rsidR="00BE4870">
        <w:rPr>
          <w:u w:val="none"/>
        </w:rPr>
        <w:t>” equipping communities with information, budgets, and decision-making authority</w:t>
      </w:r>
      <w:r w:rsidR="004062C7">
        <w:rPr>
          <w:u w:val="none"/>
        </w:rPr>
        <w:t xml:space="preserve"> </w:t>
      </w:r>
      <w:r w:rsidR="00BE4870">
        <w:rPr>
          <w:u w:val="none"/>
        </w:rPr>
        <w:t xml:space="preserve">(Watt-Cloutier 204). </w:t>
      </w:r>
    </w:p>
    <w:p w14:paraId="0B05688C" w14:textId="04917E95" w:rsidR="00BE4870" w:rsidRDefault="00BE4870" w:rsidP="006E6D73">
      <w:pPr>
        <w:spacing w:line="480" w:lineRule="auto"/>
        <w:rPr>
          <w:u w:val="none"/>
        </w:rPr>
      </w:pPr>
      <w:r>
        <w:rPr>
          <w:u w:val="none"/>
        </w:rPr>
        <w:tab/>
        <w:t xml:space="preserve">Historic emitters already </w:t>
      </w:r>
      <w:r w:rsidR="0022540C">
        <w:rPr>
          <w:u w:val="none"/>
        </w:rPr>
        <w:t>possess</w:t>
      </w:r>
      <w:r>
        <w:rPr>
          <w:u w:val="none"/>
        </w:rPr>
        <w:t xml:space="preserve"> the wealth, technology, and institutional expe</w:t>
      </w:r>
      <w:r w:rsidR="0022540C">
        <w:rPr>
          <w:u w:val="none"/>
        </w:rPr>
        <w:t xml:space="preserve">rtise to act. By reframing their role around shared humanity—rather than aggressive </w:t>
      </w:r>
      <w:r w:rsidR="00A75DAD">
        <w:rPr>
          <w:u w:val="none"/>
        </w:rPr>
        <w:t>accountability</w:t>
      </w:r>
      <w:r w:rsidR="0022540C">
        <w:rPr>
          <w:u w:val="none"/>
        </w:rPr>
        <w:t>—they can help vulnerable countries adapt without undermining global trade or local priorities. The future of places like the Arctic, the Sahel, or low-lying islands is the future of us all.</w:t>
      </w:r>
      <w:r w:rsidR="00FA35DF">
        <w:rPr>
          <w:u w:val="none"/>
        </w:rPr>
        <w:t xml:space="preserve"> Only through compassionate, inventive partnership will adaptation efforts succeed.</w:t>
      </w:r>
    </w:p>
    <w:p w14:paraId="019788FA" w14:textId="4E4489AA" w:rsidR="0022540C" w:rsidRDefault="0022540C" w:rsidP="0022540C">
      <w:pPr>
        <w:spacing w:line="480" w:lineRule="auto"/>
        <w:jc w:val="center"/>
      </w:pPr>
      <w:r w:rsidRPr="0022540C">
        <w:lastRenderedPageBreak/>
        <w:t>Works Cited</w:t>
      </w:r>
    </w:p>
    <w:p w14:paraId="6E72DEF0" w14:textId="694CA221" w:rsidR="0022540C" w:rsidRDefault="0022540C" w:rsidP="0022540C">
      <w:pPr>
        <w:spacing w:line="480" w:lineRule="auto"/>
        <w:rPr>
          <w:u w:val="none"/>
        </w:rPr>
      </w:pPr>
      <w:r>
        <w:rPr>
          <w:u w:val="none"/>
        </w:rPr>
        <w:t xml:space="preserve">Leopold, Aldo. </w:t>
      </w:r>
      <w:r>
        <w:rPr>
          <w:i/>
          <w:iCs/>
          <w:u w:val="none"/>
        </w:rPr>
        <w:t xml:space="preserve">A Sand County Almanac. </w:t>
      </w:r>
      <w:r>
        <w:rPr>
          <w:u w:val="none"/>
        </w:rPr>
        <w:t>Oxford University Press, 1949.</w:t>
      </w:r>
    </w:p>
    <w:p w14:paraId="35F1AC03" w14:textId="588DC84E" w:rsidR="0022540C" w:rsidRPr="0022540C" w:rsidRDefault="0022540C" w:rsidP="0022540C">
      <w:pPr>
        <w:spacing w:line="480" w:lineRule="auto"/>
        <w:rPr>
          <w:u w:val="none"/>
        </w:rPr>
      </w:pPr>
      <w:r>
        <w:rPr>
          <w:u w:val="none"/>
        </w:rPr>
        <w:t xml:space="preserve">Watt-Cloutier, Shelia. </w:t>
      </w:r>
      <w:r>
        <w:rPr>
          <w:i/>
          <w:iCs/>
          <w:u w:val="none"/>
        </w:rPr>
        <w:t xml:space="preserve">The Right to Be Cold: One Woman’s Fight to Protect the Arctic and Save the Planet from Climate Change. </w:t>
      </w:r>
      <w:r>
        <w:rPr>
          <w:u w:val="none"/>
        </w:rPr>
        <w:t>University of Minnesota Press, 2015.</w:t>
      </w:r>
    </w:p>
    <w:sectPr w:rsidR="0022540C" w:rsidRPr="0022540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7A611" w14:textId="77777777" w:rsidR="00C836D7" w:rsidRDefault="00C836D7" w:rsidP="00352F38">
      <w:pPr>
        <w:spacing w:after="0" w:line="240" w:lineRule="auto"/>
      </w:pPr>
      <w:r>
        <w:separator/>
      </w:r>
    </w:p>
  </w:endnote>
  <w:endnote w:type="continuationSeparator" w:id="0">
    <w:p w14:paraId="46EC888C" w14:textId="77777777" w:rsidR="00C836D7" w:rsidRDefault="00C836D7" w:rsidP="00352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F496C" w14:textId="77777777" w:rsidR="00C836D7" w:rsidRDefault="00C836D7" w:rsidP="00352F38">
      <w:pPr>
        <w:spacing w:after="0" w:line="240" w:lineRule="auto"/>
      </w:pPr>
      <w:r>
        <w:separator/>
      </w:r>
    </w:p>
  </w:footnote>
  <w:footnote w:type="continuationSeparator" w:id="0">
    <w:p w14:paraId="538761AE" w14:textId="77777777" w:rsidR="00C836D7" w:rsidRDefault="00C836D7" w:rsidP="00352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11343" w14:textId="25576289" w:rsidR="00352F38" w:rsidRPr="00352F38" w:rsidRDefault="00352F38" w:rsidP="00352F38">
    <w:pPr>
      <w:pStyle w:val="Header"/>
      <w:jc w:val="right"/>
      <w:rPr>
        <w:u w:val="none"/>
      </w:rPr>
    </w:pPr>
    <w:r>
      <w:rPr>
        <w:u w:val="none"/>
      </w:rPr>
      <w:t>Eze</w:t>
    </w:r>
  </w:p>
  <w:p w14:paraId="421A6E89" w14:textId="77777777" w:rsidR="00352F38" w:rsidRDefault="00352F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F36"/>
    <w:rsid w:val="001A3DD9"/>
    <w:rsid w:val="001B2DB5"/>
    <w:rsid w:val="001C72E0"/>
    <w:rsid w:val="0022540C"/>
    <w:rsid w:val="0028184E"/>
    <w:rsid w:val="00352F38"/>
    <w:rsid w:val="00385BD1"/>
    <w:rsid w:val="004062C7"/>
    <w:rsid w:val="004A4EB7"/>
    <w:rsid w:val="00554853"/>
    <w:rsid w:val="00567E15"/>
    <w:rsid w:val="00573539"/>
    <w:rsid w:val="006E6D73"/>
    <w:rsid w:val="007634D7"/>
    <w:rsid w:val="007D03DE"/>
    <w:rsid w:val="0080438B"/>
    <w:rsid w:val="009B62C6"/>
    <w:rsid w:val="00A75DAD"/>
    <w:rsid w:val="00AD3E3C"/>
    <w:rsid w:val="00B035D9"/>
    <w:rsid w:val="00B718A4"/>
    <w:rsid w:val="00BE4870"/>
    <w:rsid w:val="00C710E1"/>
    <w:rsid w:val="00C836D7"/>
    <w:rsid w:val="00D312F1"/>
    <w:rsid w:val="00D46C12"/>
    <w:rsid w:val="00E309D2"/>
    <w:rsid w:val="00EC160B"/>
    <w:rsid w:val="00F05F36"/>
    <w:rsid w:val="00FA35DF"/>
    <w:rsid w:val="00FE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B0E87"/>
  <w15:chartTrackingRefBased/>
  <w15:docId w15:val="{EBF82E0C-7E1A-4A39-8EC4-90D61EBB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u w:val="single"/>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F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F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5F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5F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5F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5F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5F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F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F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5F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5F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5F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5F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5F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5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F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F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5F36"/>
    <w:pPr>
      <w:spacing w:before="160"/>
      <w:jc w:val="center"/>
    </w:pPr>
    <w:rPr>
      <w:i/>
      <w:iCs/>
      <w:color w:val="404040" w:themeColor="text1" w:themeTint="BF"/>
    </w:rPr>
  </w:style>
  <w:style w:type="character" w:customStyle="1" w:styleId="QuoteChar">
    <w:name w:val="Quote Char"/>
    <w:basedOn w:val="DefaultParagraphFont"/>
    <w:link w:val="Quote"/>
    <w:uiPriority w:val="29"/>
    <w:rsid w:val="00F05F36"/>
    <w:rPr>
      <w:i/>
      <w:iCs/>
      <w:color w:val="404040" w:themeColor="text1" w:themeTint="BF"/>
    </w:rPr>
  </w:style>
  <w:style w:type="paragraph" w:styleId="ListParagraph">
    <w:name w:val="List Paragraph"/>
    <w:basedOn w:val="Normal"/>
    <w:uiPriority w:val="34"/>
    <w:qFormat/>
    <w:rsid w:val="00F05F36"/>
    <w:pPr>
      <w:ind w:left="720"/>
      <w:contextualSpacing/>
    </w:pPr>
  </w:style>
  <w:style w:type="character" w:styleId="IntenseEmphasis">
    <w:name w:val="Intense Emphasis"/>
    <w:basedOn w:val="DefaultParagraphFont"/>
    <w:uiPriority w:val="21"/>
    <w:qFormat/>
    <w:rsid w:val="00F05F36"/>
    <w:rPr>
      <w:i/>
      <w:iCs/>
      <w:color w:val="0F4761" w:themeColor="accent1" w:themeShade="BF"/>
    </w:rPr>
  </w:style>
  <w:style w:type="paragraph" w:styleId="IntenseQuote">
    <w:name w:val="Intense Quote"/>
    <w:basedOn w:val="Normal"/>
    <w:next w:val="Normal"/>
    <w:link w:val="IntenseQuoteChar"/>
    <w:uiPriority w:val="30"/>
    <w:qFormat/>
    <w:rsid w:val="00F05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F36"/>
    <w:rPr>
      <w:i/>
      <w:iCs/>
      <w:color w:val="0F4761" w:themeColor="accent1" w:themeShade="BF"/>
    </w:rPr>
  </w:style>
  <w:style w:type="character" w:styleId="IntenseReference">
    <w:name w:val="Intense Reference"/>
    <w:basedOn w:val="DefaultParagraphFont"/>
    <w:uiPriority w:val="32"/>
    <w:qFormat/>
    <w:rsid w:val="00F05F36"/>
    <w:rPr>
      <w:b/>
      <w:bCs/>
      <w:smallCaps/>
      <w:color w:val="0F4761" w:themeColor="accent1" w:themeShade="BF"/>
      <w:spacing w:val="5"/>
    </w:rPr>
  </w:style>
  <w:style w:type="paragraph" w:styleId="Header">
    <w:name w:val="header"/>
    <w:basedOn w:val="Normal"/>
    <w:link w:val="HeaderChar"/>
    <w:uiPriority w:val="99"/>
    <w:unhideWhenUsed/>
    <w:rsid w:val="00352F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F38"/>
  </w:style>
  <w:style w:type="paragraph" w:styleId="Footer">
    <w:name w:val="footer"/>
    <w:basedOn w:val="Normal"/>
    <w:link w:val="FooterChar"/>
    <w:uiPriority w:val="99"/>
    <w:unhideWhenUsed/>
    <w:rsid w:val="00352F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3</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Eze</dc:creator>
  <cp:keywords/>
  <dc:description/>
  <cp:lastModifiedBy>Gabriel Eze</cp:lastModifiedBy>
  <cp:revision>8</cp:revision>
  <dcterms:created xsi:type="dcterms:W3CDTF">2026-04-24T22:53:00Z</dcterms:created>
  <dcterms:modified xsi:type="dcterms:W3CDTF">2026-04-25T01:20:00Z</dcterms:modified>
</cp:coreProperties>
</file>