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Caracterización de las variables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Tipos de variables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Numéricas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○ Discretas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○ Continuas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Categóricas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○ Nominales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○ Ordinales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Fecha/hora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Compuestas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Aspectos de variables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1.Datos faltantes.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Clasificación de Rubin de valores faltantes (1976):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Missing Completely at Random (MCAR)</w:t>
      </w:r>
      <w:r w:rsidDel="00000000" w:rsidR="00000000" w:rsidRPr="00000000">
        <w:rPr>
          <w:rtl w:val="0"/>
        </w:rPr>
        <w:t xml:space="preserve">: significa que la razón por la cuál el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dato no está es completamente aleatoria, y que probablemente no podamos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predecir el valor a partir de otro valor en los datos. Omitir estas observaciones no implicaría un sesgo en las inferencias.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Missing at Random (MAR):</w:t>
      </w:r>
      <w:r w:rsidDel="00000000" w:rsidR="00000000" w:rsidRPr="00000000">
        <w:rPr>
          <w:rtl w:val="0"/>
        </w:rPr>
        <w:t xml:space="preserve"> los datos faltantes pueden ser explicados por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valores en las otras columnas, pero no por valores de esa columna. Por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ejemplo, si cada columna representa una elección excluyente. Es decir, el azar no es la única causa por la que faltan esos datos.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Missing not at Random (MNAR):</w:t>
      </w:r>
      <w:r w:rsidDel="00000000" w:rsidR="00000000" w:rsidRPr="00000000">
        <w:rPr>
          <w:rtl w:val="0"/>
        </w:rPr>
        <w:t xml:space="preserve"> significa que es probable que la falta de ese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dato no sea al azar. En este caso tenemos que investigar la causa por la que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falta ese valor. →Ejemplos: En un estudio sobre depresión, los pacientes con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depresión son menos propensos a responder algunas preguntas.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 Variables categóricas.</w:t>
      </w:r>
      <w:r w:rsidDel="00000000" w:rsidR="00000000" w:rsidRPr="00000000">
        <w:rPr>
          <w:rtl w:val="0"/>
        </w:rPr>
        <w:t xml:space="preserve"> Cardinalidad y etiquetas raras.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Los valores que puede tomar una variable categórica forman un grupo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de categorías (también llamadas etiquetas).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● Se denomina cardinalidad al número de categorías existentes.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Cardinalidad. Problemas: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● La mayoría de los modelos de aprendizaje automático no aceptan cadenas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de texto como entradas, por lo tanto, las categorías deben ser codificadas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numéricamente.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● Las técnicas de codificación pueden tener un efecto secundario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indeseado, como aumentar la dimensión del espacio de las variables de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entrada.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● Pueden ocurrir errores en la partición de entrenamiento y validación: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Valores que sólo estén disponibles en train set → overfitting.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○ Valores que sólo estén disponibles en test set → el modelo no podrá interpretarlos.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Overfitting.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● Las variables con muchas etiquetas dominarán sobre las que tengan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menos etiquetas, especialmente en los algoritmos basados en árboles de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decisión.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● Un número grande de etiquetas empeora la relación señal/ruido.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● Reducir la cardinalidad puede contribuir a mejorar el desempeño de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algunos modelos.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Cumplimiento de los supuestos de linealidad.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Ver correlación y distribuición normal de datos.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Distribución de los valores de las independientes.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Se estudiarán dos grupos de métodos para llevar una distribución a una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forma normal: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○ Transformaciones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■ ln(x)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■ exp(x)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■ 1/x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■ Box-Cox, Yeo Johnson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○ Discretización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■ Bins de frecuencia fija (suelen mejorar la distribución)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■ Bins de ancho fijo (por lo general no mejoran la distribución)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Valores extremos (outliers).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Magnitud/escala.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Normalización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Imputación de datos faltantes: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Pueden agruparse las técnicas de imputación en dos categorías: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○ Univariada: cuando la imputación se realiza de manera independiente para cada variable de entrada, sin considerar las otras variables.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○ Multivariada: cuando el valor imputado para cada variable es una función de dos o más variables.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Metodos: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numéricas: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■ Imputación por promedio/mediana.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■ Imputación por valor arbitrario.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■ Imputación de “fin de cola” (end of tail).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categóricas: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■ Imputación por categoría frecuente.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  <w:t xml:space="preserve">■ Agregar categoría “FALTANTE”.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Ambas: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  <w:t xml:space="preserve">■ Análisis de caso completo.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■ Agregar indicador “FALTANTE”.</w:t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■ Imputación por muestreo aleatorio.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Codificación de variables categóricas: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Alternativas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Binary encoding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  <w:t xml:space="preserve">Feature hashing</w:t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Tradicionales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  <w:t xml:space="preserve">One Hot Encoding</w:t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  <w:t xml:space="preserve">Count/frequency encoding</w:t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  <w:t xml:space="preserve">Ordinal/label encoding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Relación monotónica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Label encoding ordenado.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Encoding por promedio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  <w:t xml:space="preserve">Peso de la evidencia (WoE)</w:t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 Hot Encoding.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●No realiza ningún supuesto sobre la distribución de las categorías de la variable.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●Mantiene toda la información de la variable categórica.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●Es apta para modelos lineales.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Aumenta la dimensión del espacio de variables de entrada.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No agrega información.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Introduce muchas variables con información redundante.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Label/integer 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●Fácil de implementar,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●No expande la dimensión del espacio de variables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entrada.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●Puede funcionar bien con algoritmos basados en árboles.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●La codificación no aporta información.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No es apropiado para modelos lineales.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En producción, no maneja automáticamente nuevas categorías.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Count/Frequency encoding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categoría se reemplaza por el valor o porcentaje de observaciones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que aparece en el dataset.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hace un supuesto importante: la cantidad de observaciones para cada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está relacionada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 la variable a predecir.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Fácil de implementar.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No expande las dimensiones del espacio de variables de entrada.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Puede tener un desempeño aceptable con modelos basados en árboles.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Se captura la representación de cada categoría.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No apropiado para modelos lineales.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No maneja automáticamente nuevas categorías en test set/producción.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Si aparecen dos categorías la misma cantidad de veces, pueden ser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reemplazadas por el mismo número, con la consecuente pérdida de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 encoding / feature hashing.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Eficiencia en la representación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●Pérdida de interpretabilidad. </w:t>
            </w:r>
          </w:p>
        </w:tc>
      </w:tr>
    </w:tbl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