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QUALITY &amp; FINAL QA DOCUMENTATION</w:t>
      </w:r>
    </w:p>
    <w:p>
      <w:pPr>
        <w:jc w:val="center"/>
      </w:pPr>
      <w:r>
        <w:rPr>
          <w:b/>
          <w:sz w:val="20"/>
        </w:rPr>
        <w:t>FINTRUST DIGITAL BANK EXPERIENCE LAB | DATA ANALYTICS TRACK | WEEK 4</w:t>
      </w:r>
    </w:p>
    <w:p>
      <w:r>
        <w:rPr>
          <w:b/>
        </w:rPr>
        <w:t xml:space="preserve">Project: </w:t>
      </w:r>
      <w:r>
        <w:t>FinTrust Financial Intelligence &amp; Digital Banking Support Solution</w:t>
      </w:r>
    </w:p>
    <w:p>
      <w:r>
        <w:rPr>
          <w:b/>
        </w:rPr>
        <w:t xml:space="preserve">Participant: </w:t>
      </w:r>
      <w:r>
        <w:t>Ezeh Faith Chinonso</w:t>
      </w:r>
    </w:p>
    <w:p>
      <w:r>
        <w:rPr>
          <w:b/>
        </w:rPr>
        <w:t xml:space="preserve">Purpose: </w:t>
      </w:r>
      <w:r>
        <w:t>Document the final data-quality and analytical-quality controls applied before integration and submission.</w:t>
      </w:r>
    </w:p>
    <w:p>
      <w:pPr>
        <w:pStyle w:val="Heading1"/>
      </w:pPr>
      <w:r>
        <w:t>1. Data Quality Review Scope</w:t>
      </w:r>
    </w:p>
    <w:p>
      <w:r>
        <w:t>The Week 4 final review focuses on whether the data and analytical outputs are suitable for the final Power BI dashboard, SQL analysis and Python validation. The review covers record integrity, field consistency, calculation consistency, analytical definitions and reproducibility.</w:t>
      </w:r>
    </w:p>
    <w:p>
      <w:pPr>
        <w:pStyle w:val="Heading1"/>
      </w:pPr>
      <w:r>
        <w:t>2. Final Data Quality Controls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E8DFE8"/>
            <w:vAlign w:val="center"/>
          </w:tcPr>
          <w:p>
            <w:r>
              <w:rPr>
                <w:b/>
              </w:rPr>
              <w:t>Control</w:t>
            </w:r>
          </w:p>
        </w:tc>
        <w:tc>
          <w:tcPr>
            <w:tcW w:type="dxa" w:w="3312"/>
            <w:shd w:fill="E8DFE8"/>
            <w:vAlign w:val="center"/>
          </w:tcPr>
          <w:p>
            <w:r>
              <w:rPr>
                <w:b/>
              </w:rPr>
              <w:t>Check</w:t>
            </w:r>
          </w:p>
        </w:tc>
        <w:tc>
          <w:tcPr>
            <w:tcW w:type="dxa" w:w="3168"/>
            <w:shd w:fill="E8DFE8"/>
            <w:vAlign w:val="center"/>
          </w:tcPr>
          <w:p>
            <w:r>
              <w:rPr>
                <w:b/>
              </w:rPr>
              <w:t>Evidence/Method</w:t>
            </w:r>
          </w:p>
        </w:tc>
        <w:tc>
          <w:tcPr>
            <w:tcW w:type="dxa" w:w="2880"/>
            <w:shd w:fill="E8DFE8"/>
            <w:vAlign w:val="center"/>
          </w:tcPr>
          <w:p>
            <w:r>
              <w:rPr>
                <w:b/>
              </w:rPr>
              <w:t>Final Note</w:t>
            </w:r>
          </w:p>
        </w:tc>
      </w:tr>
      <w:tr>
        <w:tc>
          <w:tcPr>
            <w:tcW w:type="dxa" w:w="1872"/>
            <w:vAlign w:val="center"/>
          </w:tcPr>
          <w:p>
            <w:r>
              <w:t>Duplicate records</w:t>
            </w:r>
          </w:p>
        </w:tc>
        <w:tc>
          <w:tcPr>
            <w:tcW w:type="dxa" w:w="3312"/>
            <w:vAlign w:val="center"/>
          </w:tcPr>
          <w:p>
            <w:r>
              <w:t>Check for duplicate transaction/customer records before aggregation.</w:t>
            </w:r>
          </w:p>
        </w:tc>
        <w:tc>
          <w:tcPr>
            <w:tcW w:type="dxa" w:w="3168"/>
            <w:vAlign w:val="center"/>
          </w:tcPr>
          <w:p>
            <w:r>
              <w:t>Reviewed as part of final analytical QA.</w:t>
            </w:r>
          </w:p>
        </w:tc>
        <w:tc>
          <w:tcPr>
            <w:tcW w:type="dxa" w:w="2880"/>
            <w:vAlign w:val="center"/>
          </w:tcPr>
          <w:p>
            <w:r>
              <w:t>No unresolved duplicate issue is documented in the available Week 3 record.</w:t>
            </w:r>
          </w:p>
        </w:tc>
      </w:tr>
      <w:tr>
        <w:tc>
          <w:tcPr>
            <w:tcW w:type="dxa" w:w="1872"/>
            <w:vAlign w:val="center"/>
          </w:tcPr>
          <w:p>
            <w:r>
              <w:t>Missing values</w:t>
            </w:r>
          </w:p>
        </w:tc>
        <w:tc>
          <w:tcPr>
            <w:tcW w:type="dxa" w:w="3312"/>
            <w:vAlign w:val="center"/>
          </w:tcPr>
          <w:p>
            <w:r>
              <w:t>Check key identifiers, dates, transaction amounts, customer fields and categorical fields used in analysis.</w:t>
            </w:r>
          </w:p>
        </w:tc>
        <w:tc>
          <w:tcPr>
            <w:tcW w:type="dxa" w:w="3168"/>
            <w:vAlign w:val="center"/>
          </w:tcPr>
          <w:p>
            <w:r>
              <w:t>Reviewed as part of final analytical QA.</w:t>
            </w:r>
          </w:p>
        </w:tc>
        <w:tc>
          <w:tcPr>
            <w:tcW w:type="dxa" w:w="2880"/>
            <w:vAlign w:val="center"/>
          </w:tcPr>
          <w:p>
            <w:r>
              <w:t>No unresolved missing-value issue is documented in the available Week 3 record.</w:t>
            </w:r>
          </w:p>
        </w:tc>
      </w:tr>
      <w:tr>
        <w:tc>
          <w:tcPr>
            <w:tcW w:type="dxa" w:w="1872"/>
            <w:vAlign w:val="center"/>
          </w:tcPr>
          <w:p>
            <w:r>
              <w:t>Data types</w:t>
            </w:r>
          </w:p>
        </w:tc>
        <w:tc>
          <w:tcPr>
            <w:tcW w:type="dxa" w:w="3312"/>
            <w:vAlign w:val="center"/>
          </w:tcPr>
          <w:p>
            <w:r>
              <w:t>Dates should be handled as dates; transaction values as numeric; identifiers/categories as appropriate.</w:t>
            </w:r>
          </w:p>
        </w:tc>
        <w:tc>
          <w:tcPr>
            <w:tcW w:type="dxa" w:w="3168"/>
            <w:vAlign w:val="center"/>
          </w:tcPr>
          <w:p>
            <w:r>
              <w:t>Python analysis explicitly converts Transaction_DateTime with pd.to_datetime.</w:t>
            </w:r>
          </w:p>
        </w:tc>
        <w:tc>
          <w:tcPr>
            <w:tcW w:type="dxa" w:w="2880"/>
            <w:vAlign w:val="center"/>
          </w:tcPr>
          <w:p>
            <w:r>
              <w:t>Date conversion was incorporated into the validation workflow.</w:t>
            </w:r>
          </w:p>
        </w:tc>
      </w:tr>
      <w:tr>
        <w:tc>
          <w:tcPr>
            <w:tcW w:type="dxa" w:w="1872"/>
            <w:vAlign w:val="center"/>
          </w:tcPr>
          <w:p>
            <w:r>
              <w:t>Transaction calculations</w:t>
            </w:r>
          </w:p>
        </w:tc>
        <w:tc>
          <w:tcPr>
            <w:tcW w:type="dxa" w:w="3312"/>
            <w:vAlign w:val="center"/>
          </w:tcPr>
          <w:p>
            <w:r>
              <w:t>Check totals, averages and rates for mathematical consistency.</w:t>
            </w:r>
          </w:p>
        </w:tc>
        <w:tc>
          <w:tcPr>
            <w:tcW w:type="dxa" w:w="3168"/>
            <w:vAlign w:val="center"/>
          </w:tcPr>
          <w:p>
            <w:r>
              <w:t>Cross-checked through independent Python validation and dashboard outputs.</w:t>
            </w:r>
          </w:p>
        </w:tc>
        <w:tc>
          <w:tcPr>
            <w:tcW w:type="dxa" w:w="2880"/>
            <w:vAlign w:val="center"/>
          </w:tcPr>
          <w:p>
            <w:r>
              <w:t>Final validation workflow completed without execution errors.</w:t>
            </w:r>
          </w:p>
        </w:tc>
      </w:tr>
      <w:tr>
        <w:tc>
          <w:tcPr>
            <w:tcW w:type="dxa" w:w="1872"/>
            <w:vAlign w:val="center"/>
          </w:tcPr>
          <w:p>
            <w:r>
              <w:t>Category definitions</w:t>
            </w:r>
          </w:p>
        </w:tc>
        <w:tc>
          <w:tcPr>
            <w:tcW w:type="dxa" w:w="3312"/>
            <w:vAlign w:val="center"/>
          </w:tcPr>
          <w:p>
            <w:r>
              <w:t>Ensure business categories such as customer segment, channel, status and risk flag are used consistently.</w:t>
            </w:r>
          </w:p>
        </w:tc>
        <w:tc>
          <w:tcPr>
            <w:tcW w:type="dxa" w:w="3168"/>
            <w:vAlign w:val="center"/>
          </w:tcPr>
          <w:p>
            <w:r>
              <w:t>Compared across SQL, Python and Power BI analyses.</w:t>
            </w:r>
          </w:p>
        </w:tc>
        <w:tc>
          <w:tcPr>
            <w:tcW w:type="dxa" w:w="2880"/>
            <w:vAlign w:val="center"/>
          </w:tcPr>
          <w:p>
            <w:r>
              <w:t>Definitions were reviewed for final consistency.</w:t>
            </w:r>
          </w:p>
        </w:tc>
      </w:tr>
      <w:tr>
        <w:tc>
          <w:tcPr>
            <w:tcW w:type="dxa" w:w="1872"/>
            <w:vAlign w:val="center"/>
          </w:tcPr>
          <w:p>
            <w:r>
              <w:t>Activity segmentation</w:t>
            </w:r>
          </w:p>
        </w:tc>
        <w:tc>
          <w:tcPr>
            <w:tcW w:type="dxa" w:w="3312"/>
            <w:vAlign w:val="center"/>
          </w:tcPr>
          <w:p>
            <w:r>
              <w:t>Ensure customer activity groups use one consistent business definition.</w:t>
            </w:r>
          </w:p>
        </w:tc>
        <w:tc>
          <w:tcPr>
            <w:tcW w:type="dxa" w:w="3168"/>
            <w:vAlign w:val="center"/>
          </w:tcPr>
          <w:p>
            <w:r>
              <w:t>Python segmentation was aligned to the final business thresholds.</w:t>
            </w:r>
          </w:p>
        </w:tc>
        <w:tc>
          <w:tcPr>
            <w:tcW w:type="dxa" w:w="2880"/>
            <w:vAlign w:val="center"/>
          </w:tcPr>
          <w:p>
            <w:r>
              <w:t>Low &lt;8; Medium 8–14; High ≥15 transactions.</w:t>
            </w:r>
          </w:p>
        </w:tc>
      </w:tr>
    </w:tbl>
    <w:p>
      <w:pPr>
        <w:pStyle w:val="Heading1"/>
      </w:pPr>
      <w:r>
        <w:t>3. Analytical Quality Issues Corrected</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E8DFE8"/>
            <w:vAlign w:val="center"/>
          </w:tcPr>
          <w:p>
            <w:r>
              <w:rPr>
                <w:b/>
              </w:rPr>
              <w:t>Issue</w:t>
            </w:r>
          </w:p>
        </w:tc>
        <w:tc>
          <w:tcPr>
            <w:tcW w:type="dxa" w:w="4896"/>
            <w:shd w:fill="E8DFE8"/>
            <w:vAlign w:val="center"/>
          </w:tcPr>
          <w:p>
            <w:r>
              <w:rPr>
                <w:b/>
              </w:rPr>
              <w:t>Correction</w:t>
            </w:r>
          </w:p>
        </w:tc>
        <w:tc>
          <w:tcPr>
            <w:tcW w:type="dxa" w:w="3168"/>
            <w:shd w:fill="E8DFE8"/>
            <w:vAlign w:val="center"/>
          </w:tcPr>
          <w:p>
            <w:r>
              <w:rPr>
                <w:b/>
              </w:rPr>
              <w:t>Reason</w:t>
            </w:r>
          </w:p>
        </w:tc>
      </w:tr>
      <w:tr>
        <w:tc>
          <w:tcPr>
            <w:tcW w:type="dxa" w:w="3168"/>
            <w:vAlign w:val="center"/>
          </w:tcPr>
          <w:p>
            <w:r>
              <w:t>Transactions_Per_Customer calculation</w:t>
            </w:r>
          </w:p>
        </w:tc>
        <w:tc>
          <w:tcPr>
            <w:tcW w:type="dxa" w:w="4896"/>
            <w:vAlign w:val="center"/>
          </w:tcPr>
          <w:p>
            <w:r>
              <w:t>Changed to Total_Transactions ÷ Total_Customers using NULLIF protection.</w:t>
            </w:r>
          </w:p>
        </w:tc>
        <w:tc>
          <w:tcPr>
            <w:tcW w:type="dxa" w:w="3168"/>
            <w:vAlign w:val="center"/>
          </w:tcPr>
          <w:p>
            <w:r>
              <w:t>The original calculation was inconsistent with the field name and intended metric.</w:t>
            </w:r>
          </w:p>
        </w:tc>
      </w:tr>
      <w:tr>
        <w:tc>
          <w:tcPr>
            <w:tcW w:type="dxa" w:w="3168"/>
            <w:vAlign w:val="center"/>
          </w:tcPr>
          <w:p>
            <w:r>
              <w:t>Activity segmentation consistency</w:t>
            </w:r>
          </w:p>
        </w:tc>
        <w:tc>
          <w:tcPr>
            <w:tcW w:type="dxa" w:w="4896"/>
            <w:vAlign w:val="center"/>
          </w:tcPr>
          <w:p>
            <w:r>
              <w:t>Python segmentation changed from tertiles to the final business thresholds.</w:t>
            </w:r>
          </w:p>
        </w:tc>
        <w:tc>
          <w:tcPr>
            <w:tcW w:type="dxa" w:w="3168"/>
            <w:vAlign w:val="center"/>
          </w:tcPr>
          <w:p>
            <w:r>
              <w:t>Prevents SQL and Python from using different definitions of Low, Medium and High Activity.</w:t>
            </w:r>
          </w:p>
        </w:tc>
      </w:tr>
      <w:tr>
        <w:tc>
          <w:tcPr>
            <w:tcW w:type="dxa" w:w="3168"/>
            <w:vAlign w:val="center"/>
          </w:tcPr>
          <w:p>
            <w:r>
              <w:t>Formal validation coverage</w:t>
            </w:r>
          </w:p>
        </w:tc>
        <w:tc>
          <w:tcPr>
            <w:tcW w:type="dxa" w:w="4896"/>
            <w:vAlign w:val="center"/>
          </w:tcPr>
          <w:p>
            <w:r>
              <w:t>Expanded validation to five important findings.</w:t>
            </w:r>
          </w:p>
        </w:tc>
        <w:tc>
          <w:tcPr>
            <w:tcW w:type="dxa" w:w="3168"/>
            <w:vAlign w:val="center"/>
          </w:tcPr>
          <w:p>
            <w:r>
              <w:t>Week 3 identified insufficient independent validation as a gap.</w:t>
            </w:r>
          </w:p>
        </w:tc>
      </w:tr>
    </w:tbl>
    <w:p>
      <w:pPr>
        <w:pStyle w:val="Heading1"/>
      </w:pPr>
      <w:r>
        <w:t>4. Validation Evidence</w:t>
      </w:r>
    </w:p>
    <w:p>
      <w:r>
        <w:t>The final Python validation workflow independently recalculated five important findings: customer-segment performance, channel performance, risk review by customer segment, international versus domestic risk, and monthly transaction trend. The validation workflow completed without execution errors.</w:t>
      </w:r>
    </w:p>
    <w:p>
      <w:r>
        <w:t>The monthly validation output showed 4,133 transactions in January 2026, 3,734 in February 2026 and 4,133 in March 2026. The international-risk validation output showed 11,520 domestic transactions with 2,175 reviewed and 480 international transactions with 177 reviewed.</w:t>
      </w:r>
    </w:p>
    <w:p>
      <w:pPr>
        <w:pStyle w:val="Heading1"/>
      </w:pPr>
      <w:r>
        <w:t>5. Data Quality Limitations</w:t>
      </w:r>
    </w:p>
    <w:p>
      <w:pPr>
        <w:pStyle w:val="ListBullet"/>
      </w:pPr>
      <w:r>
        <w:t>The available Week 3 documentation does not provide a formal numeric audit table of missing-value counts or duplicate-record counts. This document therefore does not invent such counts.</w:t>
      </w:r>
    </w:p>
    <w:p>
      <w:pPr>
        <w:pStyle w:val="ListBullet"/>
      </w:pPr>
      <w:r>
        <w:t>Data quality conclusions are limited to the checks and analytical evidence actually available in the project workflow.</w:t>
      </w:r>
    </w:p>
    <w:p>
      <w:pPr>
        <w:pStyle w:val="ListBullet"/>
      </w:pPr>
      <w:r>
        <w:t>Validation confirms reproducibility of the selected findings; it does not prove that the underlying source data is free from all possible upstream errors.</w:t>
      </w:r>
    </w:p>
    <w:p>
      <w:pPr>
        <w:pStyle w:val="ListBullet"/>
      </w:pPr>
      <w:r>
        <w:t>Risk indicators and transaction statuses are treated as recorded fields; the analysis does not independently establish whether an individual risk flag or transaction outcome is correct in the real-world banking process.</w:t>
      </w:r>
    </w:p>
    <w:p>
      <w:pPr>
        <w:pStyle w:val="Heading1"/>
      </w:pPr>
      <w:r>
        <w:t>6. Final QA Status</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fill="E8DFE8"/>
            <w:vAlign w:val="center"/>
          </w:tcPr>
          <w:p>
            <w:r>
              <w:rPr>
                <w:b/>
              </w:rPr>
              <w:t>Area</w:t>
            </w:r>
          </w:p>
        </w:tc>
        <w:tc>
          <w:tcPr>
            <w:tcW w:type="dxa" w:w="1584"/>
            <w:shd w:fill="E8DFE8"/>
            <w:vAlign w:val="center"/>
          </w:tcPr>
          <w:p>
            <w:r>
              <w:rPr>
                <w:b/>
              </w:rPr>
              <w:t>Status</w:t>
            </w:r>
          </w:p>
        </w:tc>
        <w:tc>
          <w:tcPr>
            <w:tcW w:type="dxa" w:w="6624"/>
            <w:shd w:fill="E8DFE8"/>
            <w:vAlign w:val="center"/>
          </w:tcPr>
          <w:p>
            <w:r>
              <w:rPr>
                <w:b/>
              </w:rPr>
              <w:t>Final Position</w:t>
            </w:r>
          </w:p>
        </w:tc>
      </w:tr>
      <w:tr>
        <w:tc>
          <w:tcPr>
            <w:tcW w:type="dxa" w:w="2736"/>
            <w:vAlign w:val="center"/>
          </w:tcPr>
          <w:p>
            <w:r>
              <w:t>SQL analytical depth</w:t>
            </w:r>
          </w:p>
        </w:tc>
        <w:tc>
          <w:tcPr>
            <w:tcW w:type="dxa" w:w="1584"/>
            <w:vAlign w:val="center"/>
          </w:tcPr>
          <w:p>
            <w:r>
              <w:t>PASS</w:t>
            </w:r>
          </w:p>
        </w:tc>
        <w:tc>
          <w:tcPr>
            <w:tcW w:type="dxa" w:w="6624"/>
            <w:vAlign w:val="center"/>
          </w:tcPr>
          <w:p>
            <w:r>
              <w:t>Advanced SQL methods are incorporated in the final analysis.</w:t>
            </w:r>
          </w:p>
        </w:tc>
      </w:tr>
      <w:tr>
        <w:tc>
          <w:tcPr>
            <w:tcW w:type="dxa" w:w="2736"/>
            <w:vAlign w:val="center"/>
          </w:tcPr>
          <w:p>
            <w:r>
              <w:t>Python analytical depth</w:t>
            </w:r>
          </w:p>
        </w:tc>
        <w:tc>
          <w:tcPr>
            <w:tcW w:type="dxa" w:w="1584"/>
            <w:vAlign w:val="center"/>
          </w:tcPr>
          <w:p>
            <w:r>
              <w:t>PASS</w:t>
            </w:r>
          </w:p>
        </w:tc>
        <w:tc>
          <w:tcPr>
            <w:tcW w:type="dxa" w:w="6624"/>
            <w:vAlign w:val="center"/>
          </w:tcPr>
          <w:p>
            <w:r>
              <w:t>Trend, comparison, segmentation and validation analyses are included.</w:t>
            </w:r>
          </w:p>
        </w:tc>
      </w:tr>
      <w:tr>
        <w:tc>
          <w:tcPr>
            <w:tcW w:type="dxa" w:w="2736"/>
            <w:vAlign w:val="center"/>
          </w:tcPr>
          <w:p>
            <w:r>
              <w:t>Five-finding validation</w:t>
            </w:r>
          </w:p>
        </w:tc>
        <w:tc>
          <w:tcPr>
            <w:tcW w:type="dxa" w:w="1584"/>
            <w:vAlign w:val="center"/>
          </w:tcPr>
          <w:p>
            <w:r>
              <w:t>PASS</w:t>
            </w:r>
          </w:p>
        </w:tc>
        <w:tc>
          <w:tcPr>
            <w:tcW w:type="dxa" w:w="6624"/>
            <w:vAlign w:val="center"/>
          </w:tcPr>
          <w:p>
            <w:r>
              <w:t>Five important findings were independently recalculated in Python.</w:t>
            </w:r>
          </w:p>
        </w:tc>
      </w:tr>
      <w:tr>
        <w:tc>
          <w:tcPr>
            <w:tcW w:type="dxa" w:w="2736"/>
            <w:vAlign w:val="center"/>
          </w:tcPr>
          <w:p>
            <w:r>
              <w:t>KPI consistency</w:t>
            </w:r>
          </w:p>
        </w:tc>
        <w:tc>
          <w:tcPr>
            <w:tcW w:type="dxa" w:w="1584"/>
            <w:vAlign w:val="center"/>
          </w:tcPr>
          <w:p>
            <w:r>
              <w:t>REVIEWED</w:t>
            </w:r>
          </w:p>
        </w:tc>
        <w:tc>
          <w:tcPr>
            <w:tcW w:type="dxa" w:w="6624"/>
            <w:vAlign w:val="center"/>
          </w:tcPr>
          <w:p>
            <w:r>
              <w:t>Definitions and formulas documented; final dashboard values reviewed.</w:t>
            </w:r>
          </w:p>
        </w:tc>
      </w:tr>
      <w:tr>
        <w:tc>
          <w:tcPr>
            <w:tcW w:type="dxa" w:w="2736"/>
            <w:vAlign w:val="center"/>
          </w:tcPr>
          <w:p>
            <w:r>
              <w:t>Activity segmentation</w:t>
            </w:r>
          </w:p>
        </w:tc>
        <w:tc>
          <w:tcPr>
            <w:tcW w:type="dxa" w:w="1584"/>
            <w:vAlign w:val="center"/>
          </w:tcPr>
          <w:p>
            <w:r>
              <w:t>CORRECTED</w:t>
            </w:r>
          </w:p>
        </w:tc>
        <w:tc>
          <w:tcPr>
            <w:tcW w:type="dxa" w:w="6624"/>
            <w:vAlign w:val="center"/>
          </w:tcPr>
          <w:p>
            <w:r>
              <w:t>SQL/Python definitions aligned to the final business thresholds.</w:t>
            </w:r>
          </w:p>
        </w:tc>
      </w:tr>
      <w:tr>
        <w:tc>
          <w:tcPr>
            <w:tcW w:type="dxa" w:w="2736"/>
            <w:vAlign w:val="center"/>
          </w:tcPr>
          <w:p>
            <w:r>
              <w:t>Calculation consistency</w:t>
            </w:r>
          </w:p>
        </w:tc>
        <w:tc>
          <w:tcPr>
            <w:tcW w:type="dxa" w:w="1584"/>
            <w:vAlign w:val="center"/>
          </w:tcPr>
          <w:p>
            <w:r>
              <w:t>CORRECTED</w:t>
            </w:r>
          </w:p>
        </w:tc>
        <w:tc>
          <w:tcPr>
            <w:tcW w:type="dxa" w:w="6624"/>
            <w:vAlign w:val="center"/>
          </w:tcPr>
          <w:p>
            <w:r>
              <w:t>Transactions_Per_Customer formula corrected.</w:t>
            </w:r>
          </w:p>
        </w:tc>
      </w:tr>
      <w:tr>
        <w:tc>
          <w:tcPr>
            <w:tcW w:type="dxa" w:w="2736"/>
            <w:vAlign w:val="center"/>
          </w:tcPr>
          <w:p>
            <w:r>
              <w:t>Final dashboard structure</w:t>
            </w:r>
          </w:p>
        </w:tc>
        <w:tc>
          <w:tcPr>
            <w:tcW w:type="dxa" w:w="1584"/>
            <w:vAlign w:val="center"/>
          </w:tcPr>
          <w:p>
            <w:r>
              <w:t>PASS</w:t>
            </w:r>
          </w:p>
        </w:tc>
        <w:tc>
          <w:tcPr>
            <w:tcW w:type="dxa" w:w="6624"/>
            <w:vAlign w:val="center"/>
          </w:tcPr>
          <w:p>
            <w:r>
              <w:t>Executive, transaction/risk and business-insight pages are in place.</w:t>
            </w:r>
          </w:p>
        </w:tc>
      </w:tr>
    </w:tbl>
    <w:p>
      <w:pPr>
        <w:pStyle w:val="Heading1"/>
      </w:pPr>
      <w:r>
        <w:t>7. Final Integration Readiness</w:t>
      </w:r>
    </w:p>
    <w:p>
      <w:r>
        <w:t>The final data-quality position is suitable for integration provided that the final SQL script, Python notebook and Power BI dashboard retain the documented KPI definitions and corrections. Any future refresh should repeat the same data-quality and reconciliation checks before business decisions are based on the updated results.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