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KPI DOCUMENTATION</w:t>
      </w:r>
    </w:p>
    <w:p>
      <w:pPr>
        <w:jc w:val="center"/>
      </w:pPr>
      <w:r>
        <w:rPr>
          <w:b/>
          <w:sz w:val="20"/>
        </w:rPr>
        <w:t>FINTRUST DIGITAL BANK EXPERIENCE LAB | DATA ANALYTICS TRACK | WEEK 4</w:t>
      </w:r>
    </w:p>
    <w:p>
      <w:r>
        <w:rPr>
          <w:b/>
        </w:rPr>
        <w:t xml:space="preserve">Project: </w:t>
      </w:r>
      <w:r>
        <w:t>FinTrust Financial Intelligence &amp; Digital Banking Support Solution</w:t>
      </w:r>
    </w:p>
    <w:p>
      <w:r>
        <w:rPr>
          <w:b/>
        </w:rPr>
        <w:t xml:space="preserve">Participant: </w:t>
      </w:r>
      <w:r>
        <w:t>Ezeh Faith Chinonso</w:t>
      </w:r>
    </w:p>
    <w:p>
      <w:r>
        <w:rPr>
          <w:b/>
        </w:rPr>
        <w:t xml:space="preserve">Purpose: </w:t>
      </w:r>
      <w:r>
        <w:t>Define the final dashboard KPIs consistently across the Power BI, SQL and Python analytical outputs.</w:t>
      </w:r>
    </w:p>
    <w:p>
      <w:pPr>
        <w:pStyle w:val="Heading1"/>
      </w:pPr>
      <w:r>
        <w:t>1. KPI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88"/>
            <w:shd w:fill="E8DFE8"/>
            <w:vAlign w:val="center"/>
          </w:tcPr>
          <w:p>
            <w:r>
              <w:rPr>
                <w:b/>
              </w:rPr>
              <w:t>KPI</w:t>
            </w:r>
          </w:p>
        </w:tc>
        <w:tc>
          <w:tcPr>
            <w:tcW w:type="dxa" w:w="3672"/>
            <w:shd w:fill="E8DFE8"/>
            <w:vAlign w:val="center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024"/>
            <w:shd w:fill="E8DFE8"/>
            <w:vAlign w:val="center"/>
          </w:tcPr>
          <w:p>
            <w:r>
              <w:rPr>
                <w:b/>
              </w:rPr>
              <w:t>Calculation</w:t>
            </w:r>
          </w:p>
        </w:tc>
        <w:tc>
          <w:tcPr>
            <w:tcW w:type="dxa" w:w="2520"/>
            <w:shd w:fill="E8DFE8"/>
            <w:vAlign w:val="center"/>
          </w:tcPr>
          <w:p>
            <w:r>
              <w:rPr>
                <w:b/>
              </w:rPr>
              <w:t>Business Use</w:t>
            </w:r>
          </w:p>
        </w:tc>
      </w:tr>
      <w:tr>
        <w:tc>
          <w:tcPr>
            <w:tcW w:type="dxa" w:w="2088"/>
            <w:vAlign w:val="center"/>
          </w:tcPr>
          <w:p>
            <w:r>
              <w:t>Total Transactions</w:t>
            </w:r>
          </w:p>
        </w:tc>
        <w:tc>
          <w:tcPr>
            <w:tcW w:type="dxa" w:w="3672"/>
            <w:vAlign w:val="center"/>
          </w:tcPr>
          <w:p>
            <w:r>
              <w:t>Count of transaction records in the analysis dataset.</w:t>
            </w:r>
          </w:p>
        </w:tc>
        <w:tc>
          <w:tcPr>
            <w:tcW w:type="dxa" w:w="3024"/>
            <w:vAlign w:val="center"/>
          </w:tcPr>
          <w:p>
            <w:r>
              <w:t>COUNT(Transaction_ID)</w:t>
            </w:r>
          </w:p>
        </w:tc>
        <w:tc>
          <w:tcPr>
            <w:tcW w:type="dxa" w:w="2520"/>
            <w:vAlign w:val="center"/>
          </w:tcPr>
          <w:p>
            <w:r>
              <w:t>Transaction volume and activity level.</w:t>
            </w:r>
          </w:p>
        </w:tc>
      </w:tr>
      <w:tr>
        <w:tc>
          <w:tcPr>
            <w:tcW w:type="dxa" w:w="2088"/>
            <w:vAlign w:val="center"/>
          </w:tcPr>
          <w:p>
            <w:r>
              <w:t>Total Customers</w:t>
            </w:r>
          </w:p>
        </w:tc>
        <w:tc>
          <w:tcPr>
            <w:tcW w:type="dxa" w:w="3672"/>
            <w:vAlign w:val="center"/>
          </w:tcPr>
          <w:p>
            <w:r>
              <w:t>Count of customers represented in the customer/transaction analysis.</w:t>
            </w:r>
          </w:p>
        </w:tc>
        <w:tc>
          <w:tcPr>
            <w:tcW w:type="dxa" w:w="3024"/>
            <w:vAlign w:val="center"/>
          </w:tcPr>
          <w:p>
            <w:r>
              <w:t>COUNT/COUNT DISTINCT of Customer_ID, depending on the model context.</w:t>
            </w:r>
          </w:p>
        </w:tc>
        <w:tc>
          <w:tcPr>
            <w:tcW w:type="dxa" w:w="2520"/>
            <w:vAlign w:val="center"/>
          </w:tcPr>
          <w:p>
            <w:r>
              <w:t>Customer base represented in the analysis.</w:t>
            </w:r>
          </w:p>
        </w:tc>
      </w:tr>
      <w:tr>
        <w:tc>
          <w:tcPr>
            <w:tcW w:type="dxa" w:w="2088"/>
            <w:vAlign w:val="center"/>
          </w:tcPr>
          <w:p>
            <w:r>
              <w:t>Total Transaction Value</w:t>
            </w:r>
          </w:p>
        </w:tc>
        <w:tc>
          <w:tcPr>
            <w:tcW w:type="dxa" w:w="3672"/>
            <w:vAlign w:val="center"/>
          </w:tcPr>
          <w:p>
            <w:r>
              <w:t>Sum of transaction amounts represented in the analysis.</w:t>
            </w:r>
          </w:p>
        </w:tc>
        <w:tc>
          <w:tcPr>
            <w:tcW w:type="dxa" w:w="3024"/>
            <w:vAlign w:val="center"/>
          </w:tcPr>
          <w:p>
            <w:r>
              <w:t>SUM(Amount_NGN)</w:t>
            </w:r>
          </w:p>
        </w:tc>
        <w:tc>
          <w:tcPr>
            <w:tcW w:type="dxa" w:w="2520"/>
            <w:vAlign w:val="center"/>
          </w:tcPr>
          <w:p>
            <w:r>
              <w:t>Overall monetary value processed.</w:t>
            </w:r>
          </w:p>
        </w:tc>
      </w:tr>
      <w:tr>
        <w:tc>
          <w:tcPr>
            <w:tcW w:type="dxa" w:w="2088"/>
            <w:vAlign w:val="center"/>
          </w:tcPr>
          <w:p>
            <w:r>
              <w:t>Average Transaction Value</w:t>
            </w:r>
          </w:p>
        </w:tc>
        <w:tc>
          <w:tcPr>
            <w:tcW w:type="dxa" w:w="3672"/>
            <w:vAlign w:val="center"/>
          </w:tcPr>
          <w:p>
            <w:r>
              <w:t>Average monetary value per transaction.</w:t>
            </w:r>
          </w:p>
        </w:tc>
        <w:tc>
          <w:tcPr>
            <w:tcW w:type="dxa" w:w="3024"/>
            <w:vAlign w:val="center"/>
          </w:tcPr>
          <w:p>
            <w:r>
              <w:t>Total Transaction Value ÷ Total Transactions</w:t>
            </w:r>
          </w:p>
        </w:tc>
        <w:tc>
          <w:tcPr>
            <w:tcW w:type="dxa" w:w="2520"/>
            <w:vAlign w:val="center"/>
          </w:tcPr>
          <w:p>
            <w:r>
              <w:t>Typical transaction size.</w:t>
            </w:r>
          </w:p>
        </w:tc>
      </w:tr>
      <w:tr>
        <w:tc>
          <w:tcPr>
            <w:tcW w:type="dxa" w:w="2088"/>
            <w:vAlign w:val="center"/>
          </w:tcPr>
          <w:p>
            <w:r>
              <w:t>Transaction Success Rate</w:t>
            </w:r>
          </w:p>
        </w:tc>
        <w:tc>
          <w:tcPr>
            <w:tcW w:type="dxa" w:w="3672"/>
            <w:vAlign w:val="center"/>
          </w:tcPr>
          <w:p>
            <w:r>
              <w:t>Percentage of transactions recorded with a successful status.</w:t>
            </w:r>
          </w:p>
        </w:tc>
        <w:tc>
          <w:tcPr>
            <w:tcW w:type="dxa" w:w="3024"/>
            <w:vAlign w:val="center"/>
          </w:tcPr>
          <w:p>
            <w:r>
              <w:t>Successful Transactions ÷ Total Transactions × 100</w:t>
            </w:r>
          </w:p>
        </w:tc>
        <w:tc>
          <w:tcPr>
            <w:tcW w:type="dxa" w:w="2520"/>
            <w:vAlign w:val="center"/>
          </w:tcPr>
          <w:p>
            <w:r>
              <w:t>Overall transaction completion performance.</w:t>
            </w:r>
          </w:p>
        </w:tc>
      </w:tr>
      <w:tr>
        <w:tc>
          <w:tcPr>
            <w:tcW w:type="dxa" w:w="2088"/>
            <w:vAlign w:val="center"/>
          </w:tcPr>
          <w:p>
            <w:r>
              <w:t>Risk Review Rate</w:t>
            </w:r>
          </w:p>
        </w:tc>
        <w:tc>
          <w:tcPr>
            <w:tcW w:type="dxa" w:w="3672"/>
            <w:vAlign w:val="center"/>
          </w:tcPr>
          <w:p>
            <w:r>
              <w:t>Percentage of transactions carrying the risk-review indicator.</w:t>
            </w:r>
          </w:p>
        </w:tc>
        <w:tc>
          <w:tcPr>
            <w:tcW w:type="dxa" w:w="3024"/>
            <w:vAlign w:val="center"/>
          </w:tcPr>
          <w:p>
            <w:r>
              <w:t>Risk-Reviewed Transactions ÷ Total Transactions × 100</w:t>
            </w:r>
          </w:p>
        </w:tc>
        <w:tc>
          <w:tcPr>
            <w:tcW w:type="dxa" w:w="2520"/>
            <w:vAlign w:val="center"/>
          </w:tcPr>
          <w:p>
            <w:r>
              <w:t>Concentration of transactions requiring risk review.</w:t>
            </w:r>
          </w:p>
        </w:tc>
      </w:tr>
    </w:tbl>
    <w:p>
      <w:pPr>
        <w:pStyle w:val="Heading1"/>
      </w:pPr>
      <w:r>
        <w:t>2. Dashboard KPI Snapshot</w:t>
      </w:r>
    </w:p>
    <w:p>
      <w:r>
        <w:t>The final Power BI Executive Transaction Overview displays approximately 12K total transactions, 1.5K customers, ₦560.35M total transaction value, ₦46.72K average transaction value and a 90.47% transaction success rate. Values are shown using the dashboard's display-unit formatting.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E8DFE8"/>
            <w:vAlign w:val="center"/>
          </w:tcPr>
          <w:p>
            <w:r>
              <w:rPr>
                <w:b/>
              </w:rPr>
              <w:t>Dashboard KPI</w:t>
            </w:r>
          </w:p>
        </w:tc>
        <w:tc>
          <w:tcPr>
            <w:tcW w:type="dxa" w:w="2160"/>
            <w:shd w:fill="E8DFE8"/>
            <w:vAlign w:val="center"/>
          </w:tcPr>
          <w:p>
            <w:r>
              <w:rPr>
                <w:b/>
              </w:rPr>
              <w:t>Displayed Value</w:t>
            </w:r>
          </w:p>
        </w:tc>
        <w:tc>
          <w:tcPr>
            <w:tcW w:type="dxa" w:w="6192"/>
            <w:shd w:fill="E8DFE8"/>
            <w:vAlign w:val="center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880"/>
            <w:vAlign w:val="center"/>
          </w:tcPr>
          <w:p>
            <w:r>
              <w:t>Total Transactions</w:t>
            </w:r>
          </w:p>
        </w:tc>
        <w:tc>
          <w:tcPr>
            <w:tcW w:type="dxa" w:w="2160"/>
            <w:vAlign w:val="center"/>
          </w:tcPr>
          <w:p>
            <w:r>
              <w:t>12K</w:t>
            </w:r>
          </w:p>
        </w:tc>
        <w:tc>
          <w:tcPr>
            <w:tcW w:type="dxa" w:w="6192"/>
            <w:vAlign w:val="center"/>
          </w:tcPr>
          <w:p>
            <w:r>
              <w:t>Approximately 12,000 transactions.</w:t>
            </w:r>
          </w:p>
        </w:tc>
      </w:tr>
      <w:tr>
        <w:tc>
          <w:tcPr>
            <w:tcW w:type="dxa" w:w="2880"/>
            <w:vAlign w:val="center"/>
          </w:tcPr>
          <w:p>
            <w:r>
              <w:t>Total Customers</w:t>
            </w:r>
          </w:p>
        </w:tc>
        <w:tc>
          <w:tcPr>
            <w:tcW w:type="dxa" w:w="2160"/>
            <w:vAlign w:val="center"/>
          </w:tcPr>
          <w:p>
            <w:r>
              <w:t>1.5K</w:t>
            </w:r>
          </w:p>
        </w:tc>
        <w:tc>
          <w:tcPr>
            <w:tcW w:type="dxa" w:w="6192"/>
            <w:vAlign w:val="center"/>
          </w:tcPr>
          <w:p>
            <w:r>
              <w:t>Approximately 1,500 customers.</w:t>
            </w:r>
          </w:p>
        </w:tc>
      </w:tr>
      <w:tr>
        <w:tc>
          <w:tcPr>
            <w:tcW w:type="dxa" w:w="2880"/>
            <w:vAlign w:val="center"/>
          </w:tcPr>
          <w:p>
            <w:r>
              <w:t>Total Transaction Value</w:t>
            </w:r>
          </w:p>
        </w:tc>
        <w:tc>
          <w:tcPr>
            <w:tcW w:type="dxa" w:w="2160"/>
            <w:vAlign w:val="center"/>
          </w:tcPr>
          <w:p>
            <w:r>
              <w:t>₦560.35M</w:t>
            </w:r>
          </w:p>
        </w:tc>
        <w:tc>
          <w:tcPr>
            <w:tcW w:type="dxa" w:w="6192"/>
            <w:vAlign w:val="center"/>
          </w:tcPr>
          <w:p>
            <w:r>
              <w:t>Approximately ₦560.35 million in transaction value.</w:t>
            </w:r>
          </w:p>
        </w:tc>
      </w:tr>
      <w:tr>
        <w:tc>
          <w:tcPr>
            <w:tcW w:type="dxa" w:w="2880"/>
            <w:vAlign w:val="center"/>
          </w:tcPr>
          <w:p>
            <w:r>
              <w:t>Average Transaction Value</w:t>
            </w:r>
          </w:p>
        </w:tc>
        <w:tc>
          <w:tcPr>
            <w:tcW w:type="dxa" w:w="2160"/>
            <w:vAlign w:val="center"/>
          </w:tcPr>
          <w:p>
            <w:r>
              <w:t>₦46.72K</w:t>
            </w:r>
          </w:p>
        </w:tc>
        <w:tc>
          <w:tcPr>
            <w:tcW w:type="dxa" w:w="6192"/>
            <w:vAlign w:val="center"/>
          </w:tcPr>
          <w:p>
            <w:r>
              <w:t>Approximately ₦46,720 per transaction.</w:t>
            </w:r>
          </w:p>
        </w:tc>
      </w:tr>
      <w:tr>
        <w:tc>
          <w:tcPr>
            <w:tcW w:type="dxa" w:w="2880"/>
            <w:vAlign w:val="center"/>
          </w:tcPr>
          <w:p>
            <w:r>
              <w:t>Transaction Success Rate</w:t>
            </w:r>
          </w:p>
        </w:tc>
        <w:tc>
          <w:tcPr>
            <w:tcW w:type="dxa" w:w="2160"/>
            <w:vAlign w:val="center"/>
          </w:tcPr>
          <w:p>
            <w:r>
              <w:t>90.47%</w:t>
            </w:r>
          </w:p>
        </w:tc>
        <w:tc>
          <w:tcPr>
            <w:tcW w:type="dxa" w:w="6192"/>
            <w:vAlign w:val="center"/>
          </w:tcPr>
          <w:p>
            <w:r>
              <w:t>Most transactions were recorded as successful.</w:t>
            </w:r>
          </w:p>
        </w:tc>
      </w:tr>
    </w:tbl>
    <w:p>
      <w:pPr>
        <w:pStyle w:val="Heading1"/>
      </w:pPr>
      <w:r>
        <w:t>3. KPI Consistency Controls</w:t>
      </w:r>
    </w:p>
    <w:p>
      <w:pPr>
        <w:pStyle w:val="ListBullet"/>
      </w:pPr>
      <w:r>
        <w:t>The same business concepts should retain the same names and meanings across Power BI, SQL and Python.</w:t>
      </w:r>
    </w:p>
    <w:p>
      <w:pPr>
        <w:pStyle w:val="ListBullet"/>
      </w:pPr>
      <w:r>
        <w:t>Average Transaction Value must reconcile with Total Transaction Value divided by Total Transactions, subject to rounding.</w:t>
      </w:r>
    </w:p>
    <w:p>
      <w:pPr>
        <w:pStyle w:val="ListBullet"/>
      </w:pPr>
      <w:r>
        <w:t>Transaction Success Rate must use the same transaction-status definition throughout the final analysis.</w:t>
      </w:r>
    </w:p>
    <w:p>
      <w:pPr>
        <w:pStyle w:val="ListBullet"/>
      </w:pPr>
      <w:r>
        <w:t>Risk Review Rate must use the same Risk_Review_Flag definition throughout the final analysis.</w:t>
      </w:r>
    </w:p>
    <w:p>
      <w:pPr>
        <w:pStyle w:val="ListBullet"/>
      </w:pPr>
      <w:r>
        <w:t>Customer counts must respect the intended customer grain and avoid double-counting customers across transaction rows.</w:t>
      </w:r>
    </w:p>
    <w:p>
      <w:pPr>
        <w:pStyle w:val="ListBullet"/>
      </w:pPr>
      <w:r>
        <w:t>Displayed Power BI values may be rounded (for example, 12K or 560.35M); validation should use the underlying values rather than the rounded display.</w:t>
      </w:r>
    </w:p>
    <w:p>
      <w:pPr>
        <w:pStyle w:val="Heading1"/>
      </w:pPr>
      <w:r>
        <w:t>4. Analytical Corrections Applied During Final Review</w:t>
      </w:r>
    </w:p>
    <w:p>
      <w:r>
        <w:t>The Week 4 review identified a calculation-consistency issue in the SQL customer-frequency analysis. The field labelled Transactions_Per_Customer should represent total transactions divided by total customers, rather than a percentage-style calculation. The final formula is:</w:t>
      </w:r>
    </w:p>
    <w:p>
      <w:r>
        <w:rPr>
          <w:b/>
        </w:rPr>
        <w:t>ROUND(Total_Transactions * 1.0 / NULLIF(Total_Customers, 0), 2)</w:t>
      </w:r>
    </w:p>
    <w:p>
      <w:r>
        <w:t>The Python customer activity segmentation was also aligned to the business-defined transaction thresholds used for the final analysis: Low Activity = fewer than 8 transactions; Medium Activity = 8–14; High Activity = 15 or more.</w:t>
      </w:r>
    </w:p>
    <w:p>
      <w:pPr>
        <w:pStyle w:val="Heading1"/>
      </w:pPr>
      <w:r>
        <w:t>5. KPI Limitations</w:t>
      </w:r>
    </w:p>
    <w:p>
      <w:pPr>
        <w:pStyle w:val="ListBullet"/>
      </w:pPr>
      <w:r>
        <w:t>The KPIs describe observed transaction and customer activity in the supplied dataset; they do not establish causation.</w:t>
      </w:r>
    </w:p>
    <w:p>
      <w:pPr>
        <w:pStyle w:val="ListBullet"/>
      </w:pPr>
      <w:r>
        <w:t>Rounded dashboard display values should not be used for precise reconciliation calculations.</w:t>
      </w:r>
    </w:p>
    <w:p>
      <w:pPr>
        <w:pStyle w:val="ListBullet"/>
      </w:pPr>
      <w:r>
        <w:t>Risk Review Rate indicates the presence of a review flag; it does not by itself establish that a transaction is fraudulent or problematic.</w:t>
      </w:r>
    </w:p>
    <w:p>
      <w:pPr>
        <w:pStyle w:val="ListBullet"/>
      </w:pPr>
      <w:r>
        <w:t>Transaction Success Rate measures recorded status and should not be interpreted as a complete measure of customer satisfaction or operational quality.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