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FINTRUST DIGITAL BANK EXPERIENCE LAB</w:t>
      </w:r>
    </w:p>
    <w:p>
      <w:pPr>
        <w:jc w:val="center"/>
      </w:pPr>
      <w:r>
        <w:rPr>
          <w:b/>
          <w:sz w:val="28"/>
        </w:rPr>
        <w:t>WEEK 4 — VALIDATION EVIDENCE</w:t>
      </w:r>
    </w:p>
    <w:p>
      <w:pPr>
        <w:jc w:val="center"/>
      </w:pPr>
      <w:r>
        <w:rPr>
          <w:i/>
          <w:sz w:val="22"/>
        </w:rPr>
        <w:t>Data Analytics Track | Final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FE8"/>
          </w:tcPr>
          <w:p>
            <w:r/>
            <w:r>
              <w:rPr>
                <w:rFonts w:ascii="Aptos" w:hAnsi="Aptos"/>
                <w:b/>
                <w:sz w:val="19"/>
              </w:rPr>
              <w:t>Project</w:t>
            </w:r>
          </w:p>
        </w:tc>
        <w:tc>
          <w:tcPr>
            <w:tcW w:type="dxa" w:w="5112"/>
            <w:vAlign w:val="center"/>
          </w:tcPr>
          <w:p>
            <w:r/>
            <w:r>
              <w:rPr>
                <w:rFonts w:ascii="Aptos" w:hAnsi="Aptos"/>
                <w:b w:val="0"/>
                <w:sz w:val="19"/>
              </w:rPr>
              <w:t>FinTrust Financial Intelligence &amp; Digital Banking Support Solution</w:t>
            </w:r>
          </w:p>
        </w:tc>
      </w:tr>
      <w:tr>
        <w:tc>
          <w:tcPr>
            <w:tcW w:type="dxa" w:w="5112"/>
            <w:vAlign w:val="center"/>
            <w:shd w:fill="E8DFE8"/>
          </w:tcPr>
          <w:p>
            <w:r/>
            <w:r>
              <w:rPr>
                <w:rFonts w:ascii="Aptos" w:hAnsi="Aptos"/>
                <w:b/>
                <w:sz w:val="19"/>
              </w:rPr>
              <w:t>Participant</w:t>
            </w:r>
          </w:p>
        </w:tc>
        <w:tc>
          <w:tcPr>
            <w:tcW w:type="dxa" w:w="5112"/>
            <w:vAlign w:val="center"/>
          </w:tcPr>
          <w:p>
            <w:r/>
            <w:r>
              <w:rPr>
                <w:rFonts w:ascii="Aptos" w:hAnsi="Aptos"/>
                <w:b w:val="0"/>
                <w:sz w:val="19"/>
              </w:rPr>
              <w:t>Ezeh Faith Chinonso</w:t>
            </w:r>
          </w:p>
        </w:tc>
      </w:tr>
      <w:tr>
        <w:tc>
          <w:tcPr>
            <w:tcW w:type="dxa" w:w="5112"/>
            <w:vAlign w:val="center"/>
            <w:shd w:fill="E8DFE8"/>
          </w:tcPr>
          <w:p>
            <w:r/>
            <w:r>
              <w:rPr>
                <w:rFonts w:ascii="Aptos" w:hAnsi="Aptos"/>
                <w:b/>
                <w:sz w:val="19"/>
              </w:rPr>
              <w:t>Track</w:t>
            </w:r>
          </w:p>
        </w:tc>
        <w:tc>
          <w:tcPr>
            <w:tcW w:type="dxa" w:w="5112"/>
            <w:vAlign w:val="center"/>
          </w:tcPr>
          <w:p>
            <w:r/>
            <w:r>
              <w:rPr>
                <w:rFonts w:ascii="Aptos" w:hAnsi="Aptos"/>
                <w:b w:val="0"/>
                <w:sz w:val="19"/>
              </w:rPr>
              <w:t>Data Analytics</w:t>
            </w:r>
          </w:p>
        </w:tc>
      </w:tr>
      <w:tr>
        <w:tc>
          <w:tcPr>
            <w:tcW w:type="dxa" w:w="5112"/>
            <w:vAlign w:val="center"/>
            <w:shd w:fill="E8DFE8"/>
          </w:tcPr>
          <w:p>
            <w:r/>
            <w:r>
              <w:rPr>
                <w:rFonts w:ascii="Aptos" w:hAnsi="Aptos"/>
                <w:b/>
                <w:sz w:val="19"/>
              </w:rPr>
              <w:t>Week</w:t>
            </w:r>
          </w:p>
        </w:tc>
        <w:tc>
          <w:tcPr>
            <w:tcW w:type="dxa" w:w="5112"/>
            <w:vAlign w:val="center"/>
          </w:tcPr>
          <w:p>
            <w:r/>
            <w:r>
              <w:rPr>
                <w:rFonts w:ascii="Aptos" w:hAnsi="Aptos"/>
                <w:b w:val="0"/>
                <w:sz w:val="19"/>
              </w:rPr>
              <w:t>Week 4</w:t>
            </w:r>
          </w:p>
        </w:tc>
      </w:tr>
    </w:tbl>
    <w:p/>
    <w:p>
      <w:pPr>
        <w:pStyle w:val="Heading1"/>
      </w:pPr>
      <w:r>
        <w:t>1. Purpose of Validation</w:t>
      </w:r>
    </w:p>
    <w:p>
      <w:r>
        <w:t>Week 4 validation was conducted to independently test important findings from the FinTrust Data Analytics solution. The objective was to determine whether key findings reported through the SQL analysis and Power BI dashboard could be reproduced using independent Python calculations.</w:t>
      </w:r>
    </w:p>
    <w:p>
      <w:r>
        <w:t>The validation follows the required structure: Finding → Validation Method → Result → Conclusion.</w:t>
      </w:r>
    </w:p>
    <w:p>
      <w:pPr>
        <w:pStyle w:val="Heading1"/>
      </w:pPr>
      <w:r>
        <w:t>2. Validation Approach</w:t>
      </w:r>
    </w:p>
    <w:p>
      <w:pPr>
        <w:pStyle w:val="ListBullet"/>
      </w:pPr>
      <w:r>
        <w:t>The cleaned FinTrust transaction data was used for the Python validation calculations.</w:t>
      </w:r>
    </w:p>
    <w:p>
      <w:pPr>
        <w:pStyle w:val="ListBullet"/>
      </w:pPr>
      <w:r>
        <w:t>Independent group-by and aggregation calculations were performed for customer segments, channels, risk-review patterns, international status, and monthly transaction activity.</w:t>
      </w:r>
    </w:p>
    <w:p>
      <w:pPr>
        <w:pStyle w:val="ListBullet"/>
      </w:pPr>
      <w:r>
        <w:t>Results were compared with the corresponding findings presented in the analytical outputs and dashboard.</w:t>
      </w:r>
    </w:p>
    <w:p>
      <w:pPr>
        <w:pStyle w:val="ListBullet"/>
      </w:pPr>
      <w:r>
        <w:t>The validation focused on reproducibility of the reported findings rather than introducing new business conclusions.</w:t>
      </w:r>
    </w:p>
    <w:p>
      <w:pPr>
        <w:pStyle w:val="Heading1"/>
      </w:pPr>
      <w:r>
        <w:t>3. Validation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4B254C"/>
          </w:tcPr>
          <w:p>
            <w:r/>
            <w:r>
              <w:rPr>
                <w:rFonts w:ascii="Aptos" w:hAnsi="Aptos"/>
                <w:b/>
                <w:sz w:val="19"/>
              </w:rPr>
              <w:t>#</w:t>
            </w:r>
          </w:p>
        </w:tc>
        <w:tc>
          <w:tcPr>
            <w:tcW w:type="dxa" w:w="2556"/>
            <w:vAlign w:val="center"/>
            <w:shd w:fill="4B254C"/>
          </w:tcPr>
          <w:p>
            <w:r/>
            <w:r>
              <w:rPr>
                <w:rFonts w:ascii="Aptos" w:hAnsi="Aptos"/>
                <w:b/>
                <w:sz w:val="19"/>
              </w:rPr>
              <w:t>Finding</w:t>
            </w:r>
          </w:p>
        </w:tc>
        <w:tc>
          <w:tcPr>
            <w:tcW w:type="dxa" w:w="2556"/>
            <w:vAlign w:val="center"/>
            <w:shd w:fill="4B254C"/>
          </w:tcPr>
          <w:p>
            <w:r/>
            <w:r>
              <w:rPr>
                <w:rFonts w:ascii="Aptos" w:hAnsi="Aptos"/>
                <w:b/>
                <w:sz w:val="19"/>
              </w:rPr>
              <w:t>Validation Result</w:t>
            </w:r>
          </w:p>
        </w:tc>
        <w:tc>
          <w:tcPr>
            <w:tcW w:type="dxa" w:w="2556"/>
            <w:vAlign w:val="center"/>
            <w:shd w:fill="4B254C"/>
          </w:tcPr>
          <w:p>
            <w:r/>
            <w:r>
              <w:rPr>
                <w:rFonts w:ascii="Aptos" w:hAnsi="Aptos"/>
                <w:b/>
                <w:sz w:val="19"/>
              </w:rPr>
              <w:t>Conclusion</w:t>
            </w:r>
          </w:p>
        </w:tc>
      </w:tr>
      <w:tr>
        <w:tc>
          <w:tcPr>
            <w:tcW w:type="dxa" w:w="2556"/>
            <w:vAlign w:val="center"/>
          </w:tcPr>
          <w:p>
            <w:r/>
            <w:r>
              <w:rPr>
                <w:rFonts w:ascii="Aptos" w:hAnsi="Aptos"/>
                <w:b w:val="0"/>
                <w:sz w:val="19"/>
              </w:rPr>
              <w:t>1</w:t>
            </w:r>
          </w:p>
        </w:tc>
        <w:tc>
          <w:tcPr>
            <w:tcW w:type="dxa" w:w="2556"/>
            <w:vAlign w:val="center"/>
          </w:tcPr>
          <w:p>
            <w:r/>
            <w:r>
              <w:rPr>
                <w:rFonts w:ascii="Aptos" w:hAnsi="Aptos"/>
                <w:b w:val="0"/>
                <w:sz w:val="19"/>
              </w:rPr>
              <w:t>Customer Segment Performance</w:t>
            </w:r>
          </w:p>
        </w:tc>
        <w:tc>
          <w:tcPr>
            <w:tcW w:type="dxa" w:w="2556"/>
            <w:vAlign w:val="center"/>
          </w:tcPr>
          <w:p>
            <w:r/>
            <w:r>
              <w:rPr>
                <w:rFonts w:ascii="Aptos" w:hAnsi="Aptos"/>
                <w:b w:val="0"/>
                <w:sz w:val="19"/>
              </w:rPr>
              <w:t>Everyday customers remained the highest transaction-value segment.</w:t>
            </w:r>
          </w:p>
        </w:tc>
        <w:tc>
          <w:tcPr>
            <w:tcW w:type="dxa" w:w="2556"/>
            <w:vAlign w:val="center"/>
          </w:tcPr>
          <w:p>
            <w:r/>
            <w:r>
              <w:rPr>
                <w:rFonts w:ascii="Aptos" w:hAnsi="Aptos"/>
                <w:b w:val="0"/>
                <w:sz w:val="19"/>
              </w:rPr>
              <w:t>Supported</w:t>
            </w:r>
          </w:p>
        </w:tc>
      </w:tr>
      <w:tr>
        <w:tc>
          <w:tcPr>
            <w:tcW w:type="dxa" w:w="2556"/>
            <w:vAlign w:val="center"/>
          </w:tcPr>
          <w:p>
            <w:r/>
            <w:r>
              <w:rPr>
                <w:rFonts w:ascii="Aptos" w:hAnsi="Aptos"/>
                <w:b w:val="0"/>
                <w:sz w:val="19"/>
              </w:rPr>
              <w:t>2</w:t>
            </w:r>
          </w:p>
        </w:tc>
        <w:tc>
          <w:tcPr>
            <w:tcW w:type="dxa" w:w="2556"/>
            <w:vAlign w:val="center"/>
          </w:tcPr>
          <w:p>
            <w:r/>
            <w:r>
              <w:rPr>
                <w:rFonts w:ascii="Aptos" w:hAnsi="Aptos"/>
                <w:b w:val="0"/>
                <w:sz w:val="19"/>
              </w:rPr>
              <w:t>Channel Performance</w:t>
            </w:r>
          </w:p>
        </w:tc>
        <w:tc>
          <w:tcPr>
            <w:tcW w:type="dxa" w:w="2556"/>
            <w:vAlign w:val="center"/>
          </w:tcPr>
          <w:p>
            <w:r/>
            <w:r>
              <w:rPr>
                <w:rFonts w:ascii="Aptos" w:hAnsi="Aptos"/>
                <w:b w:val="0"/>
                <w:sz w:val="19"/>
              </w:rPr>
              <w:t>Mobile App remained the most-used transaction channel.</w:t>
            </w:r>
          </w:p>
        </w:tc>
        <w:tc>
          <w:tcPr>
            <w:tcW w:type="dxa" w:w="2556"/>
            <w:vAlign w:val="center"/>
          </w:tcPr>
          <w:p>
            <w:r/>
            <w:r>
              <w:rPr>
                <w:rFonts w:ascii="Aptos" w:hAnsi="Aptos"/>
                <w:b w:val="0"/>
                <w:sz w:val="19"/>
              </w:rPr>
              <w:t>Supported</w:t>
            </w:r>
          </w:p>
        </w:tc>
      </w:tr>
      <w:tr>
        <w:tc>
          <w:tcPr>
            <w:tcW w:type="dxa" w:w="2556"/>
            <w:vAlign w:val="center"/>
          </w:tcPr>
          <w:p>
            <w:r/>
            <w:r>
              <w:rPr>
                <w:rFonts w:ascii="Aptos" w:hAnsi="Aptos"/>
                <w:b w:val="0"/>
                <w:sz w:val="19"/>
              </w:rPr>
              <w:t>3</w:t>
            </w:r>
          </w:p>
        </w:tc>
        <w:tc>
          <w:tcPr>
            <w:tcW w:type="dxa" w:w="2556"/>
            <w:vAlign w:val="center"/>
          </w:tcPr>
          <w:p>
            <w:r/>
            <w:r>
              <w:rPr>
                <w:rFonts w:ascii="Aptos" w:hAnsi="Aptos"/>
                <w:b w:val="0"/>
                <w:sz w:val="19"/>
              </w:rPr>
              <w:t>Risk Review by Customer Segment</w:t>
            </w:r>
          </w:p>
        </w:tc>
        <w:tc>
          <w:tcPr>
            <w:tcW w:type="dxa" w:w="2556"/>
            <w:vAlign w:val="center"/>
          </w:tcPr>
          <w:p>
            <w:r/>
            <w:r>
              <w:rPr>
                <w:rFonts w:ascii="Aptos" w:hAnsi="Aptos"/>
                <w:b w:val="0"/>
                <w:sz w:val="19"/>
              </w:rPr>
              <w:t>Independent Python recalculation reproduced the segment-level risk-review pattern.</w:t>
            </w:r>
          </w:p>
        </w:tc>
        <w:tc>
          <w:tcPr>
            <w:tcW w:type="dxa" w:w="2556"/>
            <w:vAlign w:val="center"/>
          </w:tcPr>
          <w:p>
            <w:r/>
            <w:r>
              <w:rPr>
                <w:rFonts w:ascii="Aptos" w:hAnsi="Aptos"/>
                <w:b w:val="0"/>
                <w:sz w:val="19"/>
              </w:rPr>
              <w:t>Supported</w:t>
            </w:r>
          </w:p>
        </w:tc>
      </w:tr>
      <w:tr>
        <w:tc>
          <w:tcPr>
            <w:tcW w:type="dxa" w:w="2556"/>
            <w:vAlign w:val="center"/>
          </w:tcPr>
          <w:p>
            <w:r/>
            <w:r>
              <w:rPr>
                <w:rFonts w:ascii="Aptos" w:hAnsi="Aptos"/>
                <w:b w:val="0"/>
                <w:sz w:val="19"/>
              </w:rPr>
              <w:t>4</w:t>
            </w:r>
          </w:p>
        </w:tc>
        <w:tc>
          <w:tcPr>
            <w:tcW w:type="dxa" w:w="2556"/>
            <w:vAlign w:val="center"/>
          </w:tcPr>
          <w:p>
            <w:r/>
            <w:r>
              <w:rPr>
                <w:rFonts w:ascii="Aptos" w:hAnsi="Aptos"/>
                <w:b w:val="0"/>
                <w:sz w:val="19"/>
              </w:rPr>
              <w:t>International vs Domestic Risk</w:t>
            </w:r>
          </w:p>
        </w:tc>
        <w:tc>
          <w:tcPr>
            <w:tcW w:type="dxa" w:w="2556"/>
            <w:vAlign w:val="center"/>
          </w:tcPr>
          <w:p>
            <w:r/>
            <w:r>
              <w:rPr>
                <w:rFonts w:ascii="Aptos" w:hAnsi="Aptos"/>
                <w:b w:val="0"/>
                <w:sz w:val="19"/>
              </w:rPr>
              <w:t>International transactions showed a higher risk-review rate than domestic transactions.</w:t>
            </w:r>
          </w:p>
        </w:tc>
        <w:tc>
          <w:tcPr>
            <w:tcW w:type="dxa" w:w="2556"/>
            <w:vAlign w:val="center"/>
          </w:tcPr>
          <w:p>
            <w:r/>
            <w:r>
              <w:rPr>
                <w:rFonts w:ascii="Aptos" w:hAnsi="Aptos"/>
                <w:b w:val="0"/>
                <w:sz w:val="19"/>
              </w:rPr>
              <w:t>Supported</w:t>
            </w:r>
          </w:p>
        </w:tc>
      </w:tr>
      <w:tr>
        <w:tc>
          <w:tcPr>
            <w:tcW w:type="dxa" w:w="2556"/>
            <w:vAlign w:val="center"/>
          </w:tcPr>
          <w:p>
            <w:r/>
            <w:r>
              <w:rPr>
                <w:rFonts w:ascii="Aptos" w:hAnsi="Aptos"/>
                <w:b w:val="0"/>
                <w:sz w:val="19"/>
              </w:rPr>
              <w:t>5</w:t>
            </w:r>
          </w:p>
        </w:tc>
        <w:tc>
          <w:tcPr>
            <w:tcW w:type="dxa" w:w="2556"/>
            <w:vAlign w:val="center"/>
          </w:tcPr>
          <w:p>
            <w:r/>
            <w:r>
              <w:rPr>
                <w:rFonts w:ascii="Aptos" w:hAnsi="Aptos"/>
                <w:b w:val="0"/>
                <w:sz w:val="19"/>
              </w:rPr>
              <w:t>Monthly Transaction Trend</w:t>
            </w:r>
          </w:p>
        </w:tc>
        <w:tc>
          <w:tcPr>
            <w:tcW w:type="dxa" w:w="2556"/>
            <w:vAlign w:val="center"/>
          </w:tcPr>
          <w:p>
            <w:r/>
            <w:r>
              <w:rPr>
                <w:rFonts w:ascii="Aptos" w:hAnsi="Aptos"/>
                <w:b w:val="0"/>
                <w:sz w:val="19"/>
              </w:rPr>
              <w:t>Monthly transaction counts were reproduced for January–March 2026.</w:t>
            </w:r>
          </w:p>
        </w:tc>
        <w:tc>
          <w:tcPr>
            <w:tcW w:type="dxa" w:w="2556"/>
            <w:vAlign w:val="center"/>
          </w:tcPr>
          <w:p>
            <w:r/>
            <w:r>
              <w:rPr>
                <w:rFonts w:ascii="Aptos" w:hAnsi="Aptos"/>
                <w:b w:val="0"/>
                <w:sz w:val="19"/>
              </w:rPr>
              <w:t>Supported</w:t>
            </w:r>
          </w:p>
        </w:tc>
      </w:tr>
    </w:tbl>
    <w:p>
      <w:pPr>
        <w:pStyle w:val="Heading1"/>
      </w:pPr>
      <w:r>
        <w:t>4. Detailed Validation Evidence</w:t>
      </w:r>
    </w:p>
    <w:p>
      <w:pPr>
        <w:pStyle w:val="Heading2"/>
      </w:pPr>
      <w:r>
        <w:t>4.1 Customer Segment Performance</w:t>
      </w:r>
    </w:p>
    <w:p>
      <w:r>
        <w:rPr>
          <w:b/>
        </w:rPr>
        <w:t xml:space="preserve">Finding: </w:t>
      </w:r>
      <w:r>
        <w:t>Everyday customers generate the highest transaction value.</w:t>
      </w:r>
    </w:p>
    <w:p>
      <w:r>
        <w:rPr>
          <w:b/>
        </w:rPr>
        <w:t xml:space="preserve">Validation Method: </w:t>
      </w:r>
      <w:r>
        <w:t>An independent Python aggregation grouped transaction records by Customer_Segment and calculated total transaction value and total transaction count.</w:t>
      </w:r>
    </w:p>
    <w:p>
      <w:r>
        <w:rPr>
          <w:b/>
        </w:rPr>
        <w:t xml:space="preserve">Result: </w:t>
      </w:r>
      <w:r>
        <w:t>Everyday remained the highest transaction-value segment, with approximately ₦261.46 million across 5,644 transactions.</w:t>
      </w:r>
    </w:p>
    <w:p>
      <w:r>
        <w:rPr>
          <w:b/>
        </w:rPr>
        <w:t xml:space="preserve">Conclusion: </w:t>
      </w:r>
      <w:r>
        <w:t>The customer-segment performance finding is supported by the independent Python calculation.</w:t>
      </w:r>
    </w:p>
    <w:p>
      <w:pPr>
        <w:pStyle w:val="Heading2"/>
      </w:pPr>
      <w:r>
        <w:t>4.2 Channel Performance</w:t>
      </w:r>
    </w:p>
    <w:p>
      <w:r>
        <w:rPr>
          <w:b/>
        </w:rPr>
        <w:t xml:space="preserve">Finding: </w:t>
      </w:r>
      <w:r>
        <w:t>The Mobile App is the most-used transaction channel.</w:t>
      </w:r>
    </w:p>
    <w:p>
      <w:r>
        <w:rPr>
          <w:b/>
        </w:rPr>
        <w:t xml:space="preserve">Validation Method: </w:t>
      </w:r>
      <w:r>
        <w:t>Transaction records were independently grouped by Channel and transaction counts were compared across channels.</w:t>
      </w:r>
    </w:p>
    <w:p>
      <w:r>
        <w:rPr>
          <w:b/>
        </w:rPr>
        <w:t xml:space="preserve">Result: </w:t>
      </w:r>
      <w:r>
        <w:t>The Mobile App recorded 5,102 transactions, representing approximately 42.5% of the 12,000 transactions in the dataset.</w:t>
      </w:r>
    </w:p>
    <w:p>
      <w:r>
        <w:rPr>
          <w:b/>
        </w:rPr>
        <w:t xml:space="preserve">Conclusion: </w:t>
      </w:r>
      <w:r>
        <w:t>The Mobile App channel-performance finding is supported by the independent analysis.</w:t>
      </w:r>
    </w:p>
    <w:p>
      <w:pPr>
        <w:pStyle w:val="Heading2"/>
      </w:pPr>
      <w:r>
        <w:t>4.3 Risk Review by Customer Segment</w:t>
      </w:r>
    </w:p>
    <w:p>
      <w:r>
        <w:rPr>
          <w:b/>
        </w:rPr>
        <w:t xml:space="preserve">Finding: </w:t>
      </w:r>
      <w:r>
        <w:t>Risk-review rates differ across customer segments, with the dashboard showing segment-level variation around the overall review rate.</w:t>
      </w:r>
    </w:p>
    <w:p>
      <w:r>
        <w:rPr>
          <w:b/>
        </w:rPr>
        <w:t xml:space="preserve">Validation Method: </w:t>
      </w:r>
      <w:r>
        <w:t>An independent Python calculation grouped transactions by Customer_Segment and calculated the proportion carrying Risk_Review_Flag = Yes.</w:t>
      </w:r>
    </w:p>
    <w:p>
      <w:r>
        <w:rPr>
          <w:b/>
        </w:rPr>
        <w:t xml:space="preserve">Result: </w:t>
      </w:r>
      <w:r>
        <w:t>The independent Python calculation reproduced the customer-segment risk-review pattern used in the final dashboard.</w:t>
      </w:r>
    </w:p>
    <w:p>
      <w:r>
        <w:rPr>
          <w:b/>
        </w:rPr>
        <w:t xml:space="preserve">Conclusion: </w:t>
      </w:r>
      <w:r>
        <w:t>The segment-level risk-review finding is supported. Risk_Review_Flag remains a synthetic educational review indicator and is not treated as confirmed fraud.</w:t>
      </w:r>
    </w:p>
    <w:p>
      <w:pPr>
        <w:pStyle w:val="Heading2"/>
      </w:pPr>
      <w:r>
        <w:t>4.4 International vs Domestic Risk</w:t>
      </w:r>
    </w:p>
    <w:p>
      <w:r>
        <w:rPr>
          <w:b/>
        </w:rPr>
        <w:t xml:space="preserve">Finding: </w:t>
      </w:r>
      <w:r>
        <w:t>International transactions have a substantially higher risk-review rate than domestic transactions.</w:t>
      </w:r>
    </w:p>
    <w:p>
      <w:r>
        <w:rPr>
          <w:b/>
        </w:rPr>
        <w:t xml:space="preserve">Validation Method: </w:t>
      </w:r>
      <w:r>
        <w:t>Transactions were grouped by International_Transaction and the risk-review rate was calculated as Risk Reviewed Transactions divided by Total Transactions × 100.</w:t>
      </w:r>
    </w:p>
    <w:p>
      <w:r>
        <w:rPr>
          <w:b/>
        </w:rPr>
        <w:t xml:space="preserve">Result: </w:t>
      </w:r>
      <w:r>
        <w:t>Domestic transactions: 2,175 reviewed out of 11,520, giving 18.88%. International transactions: 177 reviewed out of 480, giving 36.88%.</w:t>
      </w:r>
    </w:p>
    <w:p>
      <w:r>
        <w:rPr>
          <w:b/>
        </w:rPr>
        <w:t xml:space="preserve">Conclusion: </w:t>
      </w:r>
      <w:r>
        <w:t>The international-versus-domestic risk-review finding is supported by the independent Python calculation.</w:t>
      </w:r>
    </w:p>
    <w:p>
      <w:pPr>
        <w:pStyle w:val="Heading2"/>
      </w:pPr>
      <w:r>
        <w:t>4.5 Monthly Transaction Trend</w:t>
      </w:r>
    </w:p>
    <w:p>
      <w:r>
        <w:rPr>
          <w:b/>
        </w:rPr>
        <w:t xml:space="preserve">Finding: </w:t>
      </w:r>
      <w:r>
        <w:t>Monthly transaction activity varies across January, February and March 2026, with February recording lower transaction volume than January and March.</w:t>
      </w:r>
    </w:p>
    <w:p>
      <w:r>
        <w:rPr>
          <w:b/>
        </w:rPr>
        <w:t xml:space="preserve">Validation Method: </w:t>
      </w:r>
      <w:r>
        <w:t>Transaction_DateTime was converted to monthly periods. The data was then grouped by month to calculate transaction count and total transaction value.</w:t>
      </w:r>
    </w:p>
    <w:p>
      <w:r>
        <w:rPr>
          <w:b/>
        </w:rPr>
        <w:t xml:space="preserve">Result: </w:t>
      </w:r>
      <w:r>
        <w:t>January 2026: 4,133 transactions and approximately ₦188.49M. February 2026: 3,734 transactions and approximately ₦175.79M. March 2026: 4,133 transactions and approximately ₦196.20M.</w:t>
      </w:r>
    </w:p>
    <w:p>
      <w:r>
        <w:rPr>
          <w:b/>
        </w:rPr>
        <w:t xml:space="preserve">Conclusion: </w:t>
      </w:r>
      <w:r>
        <w:t>The monthly transaction trend was reproduced independently in Python. The validation supports the reported three-month trend.</w:t>
      </w:r>
    </w:p>
    <w:p>
      <w:pPr>
        <w:pStyle w:val="Heading1"/>
      </w:pPr>
      <w:r>
        <w:t>5. Changed or Refined Findings</w:t>
      </w:r>
    </w:p>
    <w:p>
      <w:r>
        <w:t>No major business finding was overturned by the Week 4 validation calculations. The validation process strengthened confidence in the five selected findings by reproducing them independently in Python.</w:t>
      </w:r>
    </w:p>
    <w:p>
      <w:r>
        <w:t>Minor documentation wording should remain aligned with the final analysis period and validation stage. References to earlier weeks should only be retained where they accurately identify the source of the original finding.</w:t>
      </w:r>
    </w:p>
    <w:p>
      <w:pPr>
        <w:pStyle w:val="Heading1"/>
      </w:pPr>
      <w:r>
        <w:t>6. Validation Limitations</w:t>
      </w:r>
    </w:p>
    <w:p>
      <w:pPr>
        <w:pStyle w:val="ListBullet"/>
      </w:pPr>
      <w:r>
        <w:t>The FinTrust datasets are synthetic and intended for educational purposes; the findings should not be presented as evidence of real-world banking behaviour.</w:t>
      </w:r>
    </w:p>
    <w:p>
      <w:pPr>
        <w:pStyle w:val="ListBullet"/>
      </w:pPr>
      <w:r>
        <w:t>The available transaction period is January–March 2026, so the analysis cannot establish longer-term seasonality or trends.</w:t>
      </w:r>
    </w:p>
    <w:p>
      <w:pPr>
        <w:pStyle w:val="ListBullet"/>
      </w:pPr>
      <w:r>
        <w:t>Risk_Review_Flag is a synthetic educational indicator and must not be interpreted as confirmed fraud or a real fraud-risk assessment.</w:t>
      </w:r>
    </w:p>
    <w:p>
      <w:pPr>
        <w:pStyle w:val="ListBullet"/>
      </w:pPr>
      <w:r>
        <w:t>Validation demonstrates reproducibility of the selected findings within the supplied data; it does not establish causation.</w:t>
      </w:r>
    </w:p>
    <w:p>
      <w:pPr>
        <w:pStyle w:val="Heading1"/>
      </w:pPr>
      <w:r>
        <w:t>7. Final Validation Conclusion</w:t>
      </w:r>
    </w:p>
    <w:p>
      <w:r>
        <w:t>Five important findings were independently tested using Python calculations. The customer-segment, channel, risk-review, international-versus-domestic, and monthly transaction findings were reproduced without a material contradiction. The validation therefore supports the findings carried into the final Power BI dashboard and business-insight narrative.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FinTrust Digital Bank | Week 4 | Data Analytics Track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