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AIRA</w:t>
      </w:r>
    </w:p>
    <w:p>
      <w:pPr>
        <w:pStyle w:val="DocSubtitle"/>
        <w:jc w:val="center"/>
      </w:pPr>
      <w:r>
        <w:t>AI-Native Enterprise Platform</w:t>
      </w:r>
    </w:p>
    <w:p>
      <w:pPr>
        <w:pBdr>
          <w:bottom w:val="single" w:sz="8" w:space="1" w:color="1F4E79"/>
        </w:pBdr>
      </w:pPr>
    </w:p>
    <w:p>
      <w:pPr>
        <w:pStyle w:val="Title"/>
        <w:jc w:val="center"/>
      </w:pPr>
      <w:r>
        <w:t>Data Classification, Retention, and Evidence Register</w:t>
      </w:r>
    </w:p>
    <w:p>
      <w:pPr>
        <w:pStyle w:val="DocSubtitle"/>
        <w:jc w:val="center"/>
      </w:pPr>
      <w:r>
        <w:t>Classification Handling | Retention Governance | Evidence Paths | Model-Routing Eligibility | AVCI-Aligned</w:t>
      </w:r>
    </w:p>
    <w:p>
      <w:pPr>
        <w:pStyle w:val="DocSubtitle"/>
        <w:jc w:val="center"/>
      </w:pPr>
      <w:r>
        <w:t>Version 1.0 - Regenerated Improved Format | April 2026 | CONFIDENTIAL - Internal Use Only</w:t>
      </w:r>
    </w:p>
    <w:p>
      <w:r>
        <w:br/>
      </w:r>
    </w:p>
    <w:tbl>
      <w:tblPr>
        <w:tblW w:type="auto" w:w="0"/>
        <w:jc w:val="center"/>
        <w:tblLook w:firstColumn="1" w:firstRow="1" w:lastColumn="0" w:lastRow="0" w:noHBand="0" w:noVBand="1" w:val="04A0"/>
      </w:tblPr>
      <w:tblGrid>
        <w:gridCol w:w="10656"/>
      </w:tblGrid>
      <w:tr>
        <w:tc>
          <w:tcPr>
            <w:tcW w:type="dxa" w:w="10656"/>
            <w:shd w:fill="EAF2F8"/>
            <w:tcMar>
              <w:top w:w="180" w:type="dxa"/>
              <w:start w:w="180" w:type="dxa"/>
              <w:bottom w:w="180" w:type="dxa"/>
              <w:end w:w="180" w:type="dxa"/>
            </w:tcMar>
          </w:tcPr>
          <w:p>
            <w:pPr>
              <w:jc w:val="center"/>
            </w:pPr>
            <w:r>
              <w:rPr>
                <w:b/>
                <w:color w:val="1F4E79"/>
                <w:sz w:val="20"/>
              </w:rPr>
              <w:t>Mandatory Control Position</w:t>
              <w:br/>
              <w:t>Classification is an executable control in AIRA. It governs storage, encryption, access, logging, masking, retention, prompt eligibility, retrieval eligibility, model routing, approval gates, and disposal evidence.</w:t>
            </w:r>
          </w:p>
        </w:tc>
      </w:tr>
    </w:tbl>
    <w:p>
      <w:r>
        <w:br/>
        <w:br/>
      </w:r>
    </w:p>
    <w:tbl>
      <w:tblPr>
        <w:tblW w:type="auto" w:w="0"/>
        <w:jc w:val="center"/>
        <w:tblLook w:firstColumn="1" w:firstRow="1" w:lastColumn="0" w:lastRow="0" w:noHBand="0" w:noVBand="1" w:val="04A0"/>
      </w:tblPr>
      <w:tblGrid>
        <w:gridCol w:w="5328"/>
        <w:gridCol w:w="5328"/>
      </w:tblGrid>
      <w:tr>
        <w:tc>
          <w:tcPr>
            <w:tcW w:type="dxa" w:w="5328"/>
            <w:tcMar>
              <w:top w:w="80" w:type="dxa"/>
              <w:start w:w="100" w:type="dxa"/>
              <w:bottom w:w="80" w:type="dxa"/>
              <w:end w:w="100" w:type="dxa"/>
            </w:tcMar>
            <w:shd w:fill="1F4E79"/>
          </w:tcPr>
          <w:p>
            <w:r>
              <w:rPr>
                <w:b/>
                <w:color w:val="FFFFFF"/>
                <w:sz w:val="17"/>
              </w:rPr>
              <w:t>Document ID</w:t>
            </w:r>
          </w:p>
        </w:tc>
        <w:tc>
          <w:tcPr>
            <w:tcW w:type="dxa" w:w="5328"/>
            <w:tcMar>
              <w:top w:w="80" w:type="dxa"/>
              <w:start w:w="100" w:type="dxa"/>
              <w:bottom w:w="80" w:type="dxa"/>
              <w:end w:w="100" w:type="dxa"/>
            </w:tcMar>
          </w:tcPr>
          <w:p>
            <w:r>
              <w:rPr>
                <w:b w:val="0"/>
                <w:sz w:val="17"/>
              </w:rPr>
              <w:t>AIRA-DOC-026</w:t>
            </w:r>
          </w:p>
        </w:tc>
      </w:tr>
      <w:tr>
        <w:tc>
          <w:tcPr>
            <w:tcW w:type="dxa" w:w="5328"/>
            <w:tcMar>
              <w:top w:w="80" w:type="dxa"/>
              <w:start w:w="100" w:type="dxa"/>
              <w:bottom w:w="80" w:type="dxa"/>
              <w:end w:w="100" w:type="dxa"/>
            </w:tcMar>
            <w:shd w:fill="1F4E79"/>
          </w:tcPr>
          <w:p>
            <w:r>
              <w:rPr>
                <w:b/>
                <w:color w:val="FFFFFF"/>
                <w:sz w:val="17"/>
              </w:rPr>
              <w:t>Owner</w:t>
            </w:r>
          </w:p>
        </w:tc>
        <w:tc>
          <w:tcPr>
            <w:tcW w:type="dxa" w:w="5328"/>
            <w:tcMar>
              <w:top w:w="80" w:type="dxa"/>
              <w:start w:w="100" w:type="dxa"/>
              <w:bottom w:w="80" w:type="dxa"/>
              <w:end w:w="100" w:type="dxa"/>
            </w:tcMar>
          </w:tcPr>
          <w:p>
            <w:r>
              <w:rPr>
                <w:b w:val="0"/>
                <w:sz w:val="17"/>
              </w:rPr>
              <w:t>Solutions Architecture Office / Data Governance Lead</w:t>
            </w:r>
          </w:p>
        </w:tc>
      </w:tr>
      <w:tr>
        <w:tc>
          <w:tcPr>
            <w:tcW w:type="dxa" w:w="5328"/>
            <w:tcMar>
              <w:top w:w="80" w:type="dxa"/>
              <w:start w:w="100" w:type="dxa"/>
              <w:bottom w:w="80" w:type="dxa"/>
              <w:end w:w="100" w:type="dxa"/>
            </w:tcMar>
            <w:shd w:fill="1F4E79"/>
          </w:tcPr>
          <w:p>
            <w:r>
              <w:rPr>
                <w:b/>
                <w:color w:val="FFFFFF"/>
                <w:sz w:val="17"/>
              </w:rPr>
              <w:t>Status</w:t>
            </w:r>
          </w:p>
        </w:tc>
        <w:tc>
          <w:tcPr>
            <w:tcW w:type="dxa" w:w="5328"/>
            <w:tcMar>
              <w:top w:w="80" w:type="dxa"/>
              <w:start w:w="100" w:type="dxa"/>
              <w:bottom w:w="80" w:type="dxa"/>
              <w:end w:w="100" w:type="dxa"/>
            </w:tcMar>
          </w:tcPr>
          <w:p>
            <w:r>
              <w:rPr>
                <w:b w:val="0"/>
                <w:sz w:val="17"/>
              </w:rPr>
              <w:t>FOR ARCHITECTURE REVIEW BOARD / DATA GOVERNANCE APPROVAL</w:t>
            </w:r>
          </w:p>
        </w:tc>
      </w:tr>
      <w:tr>
        <w:tc>
          <w:tcPr>
            <w:tcW w:type="dxa" w:w="5328"/>
            <w:tcMar>
              <w:top w:w="80" w:type="dxa"/>
              <w:start w:w="100" w:type="dxa"/>
              <w:bottom w:w="80" w:type="dxa"/>
              <w:end w:w="100" w:type="dxa"/>
            </w:tcMar>
            <w:shd w:fill="1F4E79"/>
          </w:tcPr>
          <w:p>
            <w:r>
              <w:rPr>
                <w:b/>
                <w:color w:val="FFFFFF"/>
                <w:sz w:val="17"/>
              </w:rPr>
              <w:t>Evidence Path</w:t>
            </w:r>
          </w:p>
        </w:tc>
        <w:tc>
          <w:tcPr>
            <w:tcW w:type="dxa" w:w="5328"/>
            <w:tcMar>
              <w:top w:w="80" w:type="dxa"/>
              <w:start w:w="100" w:type="dxa"/>
              <w:bottom w:w="80" w:type="dxa"/>
              <w:end w:w="100" w:type="dxa"/>
            </w:tcMar>
          </w:tcPr>
          <w:p>
            <w:r>
              <w:rPr>
                <w:b w:val="0"/>
                <w:sz w:val="17"/>
              </w:rPr>
              <w:t>OpenKM Tier-0 / AIRA / Registers / Data-Classification-Retention-Evidence / v1.0</w:t>
            </w:r>
          </w:p>
        </w:tc>
      </w:tr>
      <w:tr>
        <w:tc>
          <w:tcPr>
            <w:tcW w:type="dxa" w:w="5328"/>
            <w:tcMar>
              <w:top w:w="80" w:type="dxa"/>
              <w:start w:w="100" w:type="dxa"/>
              <w:bottom w:w="80" w:type="dxa"/>
              <w:end w:w="100" w:type="dxa"/>
            </w:tcMar>
            <w:shd w:fill="1F4E79"/>
          </w:tcPr>
          <w:p>
            <w:r>
              <w:rPr>
                <w:b/>
                <w:color w:val="FFFFFF"/>
                <w:sz w:val="17"/>
              </w:rPr>
              <w:t>Operating Philosophy</w:t>
            </w:r>
          </w:p>
        </w:tc>
        <w:tc>
          <w:tcPr>
            <w:tcW w:type="dxa" w:w="5328"/>
            <w:tcMar>
              <w:top w:w="80" w:type="dxa"/>
              <w:start w:w="100" w:type="dxa"/>
              <w:bottom w:w="80" w:type="dxa"/>
              <w:end w:w="100" w:type="dxa"/>
            </w:tcMar>
          </w:tcPr>
          <w:p>
            <w:r>
              <w:rPr>
                <w:b w:val="0"/>
                <w:sz w:val="17"/>
              </w:rPr>
              <w:t>Discipline First - Automation Second - Intelligence Third - AVCI Always</w:t>
            </w:r>
          </w:p>
        </w:tc>
      </w:tr>
    </w:tbl>
    <w:p>
      <w:r>
        <w:br w:type="page"/>
      </w:r>
    </w:p>
    <w:p>
      <w:pPr>
        <w:pStyle w:val="Heading1"/>
      </w:pPr>
      <w:r>
        <w:t>Table of Contents</w:t>
      </w:r>
    </w:p>
    <w:p>
      <w:pPr>
        <w:ind w:left="0"/>
      </w:pPr>
      <w:r>
        <w:rPr>
          <w:b/>
          <w:color w:val="1F4E79"/>
          <w:sz w:val="18"/>
        </w:rPr>
        <w:t>Document Control</w:t>
      </w:r>
    </w:p>
    <w:p>
      <w:pPr>
        <w:ind w:left="259"/>
      </w:pPr>
      <w:r>
        <w:rPr>
          <w:color w:val="505050"/>
          <w:sz w:val="17"/>
        </w:rPr>
        <w:t>Mandatory Practice Statement</w:t>
      </w:r>
    </w:p>
    <w:p>
      <w:pPr>
        <w:ind w:left="0"/>
      </w:pPr>
      <w:r>
        <w:rPr>
          <w:b/>
          <w:color w:val="1F4E79"/>
          <w:sz w:val="18"/>
        </w:rPr>
        <w:t>1. Executive Summary</w:t>
      </w:r>
    </w:p>
    <w:p>
      <w:pPr>
        <w:ind w:left="259"/>
      </w:pPr>
      <w:r>
        <w:rPr>
          <w:color w:val="505050"/>
          <w:sz w:val="17"/>
        </w:rPr>
        <w:t>1.1 Strategic Outcomes</w:t>
      </w:r>
    </w:p>
    <w:p>
      <w:pPr>
        <w:ind w:left="259"/>
      </w:pPr>
      <w:r>
        <w:rPr>
          <w:color w:val="505050"/>
          <w:sz w:val="17"/>
        </w:rPr>
        <w:t>1.2 What This Register Is Not</w:t>
      </w:r>
    </w:p>
    <w:p>
      <w:pPr>
        <w:ind w:left="0"/>
      </w:pPr>
      <w:r>
        <w:rPr>
          <w:b/>
          <w:color w:val="1F4E79"/>
          <w:sz w:val="18"/>
        </w:rPr>
        <w:t>2. Scope, Authority, and Precedence</w:t>
      </w:r>
    </w:p>
    <w:p>
      <w:pPr>
        <w:ind w:left="259"/>
      </w:pPr>
      <w:r>
        <w:rPr>
          <w:color w:val="505050"/>
          <w:sz w:val="17"/>
        </w:rPr>
        <w:t>2.1 In Scope</w:t>
      </w:r>
    </w:p>
    <w:p>
      <w:pPr>
        <w:ind w:left="259"/>
      </w:pPr>
      <w:r>
        <w:rPr>
          <w:color w:val="505050"/>
          <w:sz w:val="17"/>
        </w:rPr>
        <w:t>2.2 Out of Scope</w:t>
      </w:r>
    </w:p>
    <w:p>
      <w:pPr>
        <w:ind w:left="259"/>
      </w:pPr>
      <w:r>
        <w:rPr>
          <w:color w:val="505050"/>
          <w:sz w:val="17"/>
        </w:rPr>
        <w:t>2.3 Authority and Conflict Rule</w:t>
      </w:r>
    </w:p>
    <w:p>
      <w:pPr>
        <w:ind w:left="0"/>
      </w:pPr>
      <w:r>
        <w:rPr>
          <w:b/>
          <w:color w:val="1F4E79"/>
          <w:sz w:val="18"/>
        </w:rPr>
        <w:t>3. Non-Negotiable Register Principles</w:t>
      </w:r>
    </w:p>
    <w:p>
      <w:pPr>
        <w:ind w:left="0"/>
      </w:pPr>
      <w:r>
        <w:rPr>
          <w:b/>
          <w:color w:val="1F4E79"/>
          <w:sz w:val="18"/>
        </w:rPr>
        <w:t>4. Classification Model and Handling Matrix</w:t>
      </w:r>
    </w:p>
    <w:p>
      <w:pPr>
        <w:ind w:left="259"/>
      </w:pPr>
      <w:r>
        <w:rPr>
          <w:color w:val="505050"/>
          <w:sz w:val="17"/>
        </w:rPr>
        <w:t>4.1 Classification Escalation Triggers</w:t>
      </w:r>
    </w:p>
    <w:p>
      <w:pPr>
        <w:ind w:left="259"/>
      </w:pPr>
      <w:r>
        <w:rPr>
          <w:color w:val="505050"/>
          <w:sz w:val="17"/>
        </w:rPr>
        <w:t>4.2 Classification Downgrade Rule</w:t>
      </w:r>
    </w:p>
    <w:p>
      <w:pPr>
        <w:ind w:left="0"/>
      </w:pPr>
      <w:r>
        <w:rPr>
          <w:b/>
          <w:color w:val="1F4E79"/>
          <w:sz w:val="18"/>
        </w:rPr>
        <w:t>5. Information Domains, Source Tiers, and Evidence Classes</w:t>
      </w:r>
    </w:p>
    <w:p>
      <w:pPr>
        <w:ind w:left="259"/>
      </w:pPr>
      <w:r>
        <w:rPr>
          <w:color w:val="505050"/>
          <w:sz w:val="17"/>
        </w:rPr>
        <w:t>5.1 Information Domains</w:t>
      </w:r>
    </w:p>
    <w:p>
      <w:pPr>
        <w:ind w:left="259"/>
      </w:pPr>
      <w:r>
        <w:rPr>
          <w:color w:val="505050"/>
          <w:sz w:val="17"/>
        </w:rPr>
        <w:t>5.2 Source Tier Rules</w:t>
      </w:r>
    </w:p>
    <w:p>
      <w:pPr>
        <w:ind w:left="0"/>
      </w:pPr>
      <w:r>
        <w:rPr>
          <w:b/>
          <w:color w:val="1F4E79"/>
          <w:sz w:val="18"/>
        </w:rPr>
        <w:t>6. Master Data Classification Register</w:t>
      </w:r>
    </w:p>
    <w:p>
      <w:pPr>
        <w:ind w:left="259"/>
      </w:pPr>
      <w:r>
        <w:rPr>
          <w:color w:val="505050"/>
          <w:sz w:val="17"/>
        </w:rPr>
        <w:t>6.1 Required Register Fields</w:t>
      </w:r>
    </w:p>
    <w:p>
      <w:pPr>
        <w:ind w:left="259"/>
      </w:pPr>
      <w:r>
        <w:rPr>
          <w:color w:val="505050"/>
          <w:sz w:val="17"/>
        </w:rPr>
        <w:t>6.2 Example Register Entries</w:t>
      </w:r>
    </w:p>
    <w:p>
      <w:pPr>
        <w:ind w:left="0"/>
      </w:pPr>
      <w:r>
        <w:rPr>
          <w:b/>
          <w:color w:val="1F4E79"/>
          <w:sz w:val="18"/>
        </w:rPr>
        <w:t>7. Retention Schedule Register</w:t>
      </w:r>
    </w:p>
    <w:p>
      <w:pPr>
        <w:ind w:left="259"/>
      </w:pPr>
      <w:r>
        <w:rPr>
          <w:color w:val="505050"/>
          <w:sz w:val="17"/>
        </w:rPr>
        <w:t>7.1 Retention Clock Start</w:t>
      </w:r>
    </w:p>
    <w:p>
      <w:pPr>
        <w:ind w:left="0"/>
      </w:pPr>
      <w:r>
        <w:rPr>
          <w:b/>
          <w:color w:val="1F4E79"/>
          <w:sz w:val="18"/>
        </w:rPr>
        <w:t>8. Evidence Register and Evidence Paths</w:t>
      </w:r>
    </w:p>
    <w:p>
      <w:pPr>
        <w:ind w:left="259"/>
      </w:pPr>
      <w:r>
        <w:rPr>
          <w:color w:val="505050"/>
          <w:sz w:val="17"/>
        </w:rPr>
        <w:t>8.1 Evidence Classes</w:t>
      </w:r>
    </w:p>
    <w:p>
      <w:pPr>
        <w:ind w:left="259"/>
      </w:pPr>
      <w:r>
        <w:rPr>
          <w:color w:val="505050"/>
          <w:sz w:val="17"/>
        </w:rPr>
        <w:t>8.2 Evidence Path Standard</w:t>
      </w:r>
    </w:p>
    <w:p>
      <w:pPr>
        <w:ind w:left="0"/>
      </w:pPr>
      <w:r>
        <w:rPr>
          <w:b/>
          <w:color w:val="1F4E79"/>
          <w:sz w:val="18"/>
        </w:rPr>
        <w:t>9. Prompt Eligibility and Model-Routing Register</w:t>
      </w:r>
    </w:p>
    <w:p>
      <w:pPr>
        <w:ind w:left="259"/>
      </w:pPr>
      <w:r>
        <w:rPr>
          <w:color w:val="505050"/>
          <w:sz w:val="17"/>
        </w:rPr>
        <w:t>9.1 Model-Routing Decision Matrix</w:t>
      </w:r>
    </w:p>
    <w:p>
      <w:pPr>
        <w:ind w:left="259"/>
      </w:pPr>
      <w:r>
        <w:rPr>
          <w:color w:val="505050"/>
          <w:sz w:val="17"/>
        </w:rPr>
        <w:t>9.2 AI Evidence Requirements</w:t>
      </w:r>
    </w:p>
    <w:p>
      <w:pPr>
        <w:ind w:left="0"/>
      </w:pPr>
      <w:r>
        <w:rPr>
          <w:b/>
          <w:color w:val="1F4E79"/>
          <w:sz w:val="18"/>
        </w:rPr>
        <w:t>10. Storage and Derivative Handling Rules</w:t>
      </w:r>
    </w:p>
    <w:p>
      <w:pPr>
        <w:ind w:left="259"/>
      </w:pPr>
      <w:r>
        <w:rPr>
          <w:color w:val="505050"/>
          <w:sz w:val="17"/>
        </w:rPr>
        <w:t>10.1 Storage Destination Matrix</w:t>
      </w:r>
    </w:p>
    <w:p>
      <w:pPr>
        <w:ind w:left="259"/>
      </w:pPr>
      <w:r>
        <w:rPr>
          <w:color w:val="505050"/>
          <w:sz w:val="17"/>
        </w:rPr>
        <w:t>10.2 Derivative Invalidation Rules</w:t>
      </w:r>
    </w:p>
    <w:p>
      <w:pPr>
        <w:ind w:left="0"/>
      </w:pPr>
      <w:r>
        <w:rPr>
          <w:b/>
          <w:color w:val="1F4E79"/>
          <w:sz w:val="18"/>
        </w:rPr>
        <w:t>11. Lifecycle Procedures</w:t>
      </w:r>
    </w:p>
    <w:p>
      <w:pPr>
        <w:ind w:left="259"/>
      </w:pPr>
      <w:r>
        <w:rPr>
          <w:color w:val="505050"/>
          <w:sz w:val="17"/>
        </w:rPr>
        <w:t>11.1 Classification and Registration Procedure</w:t>
      </w:r>
    </w:p>
    <w:p>
      <w:pPr>
        <w:ind w:left="259"/>
      </w:pPr>
      <w:r>
        <w:rPr>
          <w:color w:val="505050"/>
          <w:sz w:val="17"/>
        </w:rPr>
        <w:t>11.2 Evidence Capture and Retention Procedure</w:t>
      </w:r>
    </w:p>
    <w:p>
      <w:pPr>
        <w:ind w:left="259"/>
      </w:pPr>
      <w:r>
        <w:rPr>
          <w:color w:val="505050"/>
          <w:sz w:val="17"/>
        </w:rPr>
        <w:t>11.3 Model Routing Procedure</w:t>
      </w:r>
    </w:p>
    <w:p>
      <w:pPr>
        <w:ind w:left="259"/>
      </w:pPr>
      <w:r>
        <w:rPr>
          <w:color w:val="505050"/>
          <w:sz w:val="17"/>
        </w:rPr>
        <w:t>11.4 Retention, Legal Hold, and Disposal Procedure</w:t>
      </w:r>
    </w:p>
    <w:p>
      <w:pPr>
        <w:ind w:left="0"/>
      </w:pPr>
      <w:r>
        <w:rPr>
          <w:b/>
          <w:color w:val="1F4E79"/>
          <w:sz w:val="18"/>
        </w:rPr>
        <w:t>12. Register Implementation Patterns</w:t>
      </w:r>
    </w:p>
    <w:p>
      <w:pPr>
        <w:ind w:left="259"/>
      </w:pPr>
      <w:r>
        <w:rPr>
          <w:color w:val="505050"/>
          <w:sz w:val="17"/>
        </w:rPr>
        <w:t>12.1 Git-Based Register Layout</w:t>
      </w:r>
    </w:p>
    <w:p>
      <w:pPr>
        <w:ind w:left="259"/>
      </w:pPr>
      <w:r>
        <w:rPr>
          <w:color w:val="505050"/>
          <w:sz w:val="17"/>
        </w:rPr>
        <w:t>12.2 PostgreSQL Register Tables</w:t>
      </w:r>
    </w:p>
    <w:p>
      <w:pPr>
        <w:ind w:left="0"/>
      </w:pPr>
      <w:r>
        <w:rPr>
          <w:b/>
          <w:color w:val="1F4E79"/>
          <w:sz w:val="18"/>
        </w:rPr>
        <w:t>13. Auto-Heal, Auto-Learn, and Auto-Improve Controls</w:t>
      </w:r>
    </w:p>
    <w:p>
      <w:pPr>
        <w:ind w:left="0"/>
      </w:pPr>
      <w:r>
        <w:rPr>
          <w:b/>
          <w:color w:val="1F4E79"/>
          <w:sz w:val="18"/>
        </w:rPr>
        <w:t>14. Architecture Fitness Functions and CI Gates</w:t>
      </w:r>
    </w:p>
    <w:p>
      <w:pPr>
        <w:ind w:left="0"/>
      </w:pPr>
      <w:r>
        <w:rPr>
          <w:b/>
          <w:color w:val="1F4E79"/>
          <w:sz w:val="18"/>
        </w:rPr>
        <w:t>15. RACI</w:t>
      </w:r>
    </w:p>
    <w:p>
      <w:pPr>
        <w:ind w:left="0"/>
      </w:pPr>
      <w:r>
        <w:rPr>
          <w:b/>
          <w:color w:val="1F4E79"/>
          <w:sz w:val="18"/>
        </w:rPr>
        <w:t>16. Implementation Roadmap</w:t>
      </w:r>
    </w:p>
    <w:p>
      <w:pPr>
        <w:ind w:left="0"/>
      </w:pPr>
      <w:r>
        <w:rPr>
          <w:b/>
          <w:color w:val="1F4E79"/>
          <w:sz w:val="18"/>
        </w:rPr>
        <w:t>17. Acceptance Criteria</w:t>
      </w:r>
    </w:p>
    <w:p>
      <w:pPr>
        <w:ind w:left="0"/>
      </w:pPr>
      <w:r>
        <w:rPr>
          <w:b/>
          <w:color w:val="1F4E79"/>
          <w:sz w:val="18"/>
        </w:rPr>
        <w:t>Appendix A. YAML Register Template</w:t>
      </w:r>
    </w:p>
    <w:p>
      <w:pPr>
        <w:ind w:left="0"/>
      </w:pPr>
      <w:r>
        <w:rPr>
          <w:b/>
          <w:color w:val="1F4E79"/>
          <w:sz w:val="18"/>
        </w:rPr>
        <w:t>Appendix B. Evidence Manifest Template</w:t>
      </w:r>
    </w:p>
    <w:p>
      <w:pPr>
        <w:ind w:left="0"/>
      </w:pPr>
      <w:r>
        <w:rPr>
          <w:b/>
          <w:color w:val="1F4E79"/>
          <w:sz w:val="18"/>
        </w:rPr>
        <w:t>Appendix C. Copy-Ready Mermaid References</w:t>
      </w:r>
    </w:p>
    <w:p>
      <w:pPr>
        <w:ind w:left="259"/>
      </w:pPr>
      <w:r>
        <w:rPr>
          <w:color w:val="505050"/>
          <w:sz w:val="17"/>
        </w:rPr>
        <w:t>C.1 Classification and Registration Flow</w:t>
      </w:r>
    </w:p>
    <w:p>
      <w:pPr>
        <w:ind w:left="259"/>
      </w:pPr>
      <w:r>
        <w:rPr>
          <w:color w:val="505050"/>
          <w:sz w:val="17"/>
        </w:rPr>
        <w:t>C.2 Evidence Capture and Retention Flow</w:t>
      </w:r>
    </w:p>
    <w:p>
      <w:pPr>
        <w:ind w:left="259"/>
      </w:pPr>
      <w:r>
        <w:rPr>
          <w:color w:val="505050"/>
          <w:sz w:val="17"/>
        </w:rPr>
        <w:t>C.3 Classification-Aware Prompt and Model Routing</w:t>
      </w:r>
    </w:p>
    <w:p>
      <w:pPr>
        <w:ind w:left="259"/>
      </w:pPr>
      <w:r>
        <w:rPr>
          <w:color w:val="505050"/>
          <w:sz w:val="17"/>
        </w:rPr>
        <w:t>C.4 Retention, Legal Hold, and Disposal Flow</w:t>
      </w:r>
    </w:p>
    <w:p>
      <w:pPr>
        <w:ind w:left="0"/>
      </w:pPr>
      <w:r>
        <w:rPr>
          <w:b/>
          <w:color w:val="1F4E79"/>
          <w:sz w:val="18"/>
        </w:rPr>
        <w:t>Appendix D. AVCI Compliance Summary</w:t>
      </w:r>
    </w:p>
    <w:p>
      <w:r>
        <w:br w:type="page"/>
      </w:r>
    </w:p>
    <w:p>
      <w:pPr>
        <w:pStyle w:val="Heading1"/>
        <w:pBdr>
          <w:bottom w:val="single" w:sz="8" w:space="1" w:color="D9EAF7"/>
        </w:pBdr>
      </w:pPr>
      <w:r>
        <w:t>Document Control</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Property</w:t>
            </w:r>
          </w:p>
        </w:tc>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Value</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Document ID</w:t>
            </w:r>
          </w:p>
        </w:tc>
        <w:tc>
          <w:tcPr>
            <w:tcW w:type="dxa" w:w="5328"/>
            <w:vAlign w:val="center"/>
            <w:tcMar>
              <w:top w:w="50" w:type="dxa"/>
              <w:start w:w="70" w:type="dxa"/>
              <w:bottom w:w="50" w:type="dxa"/>
              <w:end w:w="70" w:type="dxa"/>
            </w:tcMar>
          </w:tcPr>
          <w:p>
            <w:pPr>
              <w:spacing w:after="20"/>
            </w:pPr>
            <w:r>
              <w:rPr>
                <w:rFonts w:ascii="Aptos" w:hAnsi="Aptos" w:eastAsia="Aptos"/>
                <w:sz w:val="16"/>
              </w:rPr>
              <w:t>AIRA-DOC-026</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Document Title</w:t>
            </w:r>
          </w:p>
        </w:tc>
        <w:tc>
          <w:tcPr>
            <w:tcW w:type="dxa" w:w="5328"/>
            <w:vAlign w:val="center"/>
            <w:tcMar>
              <w:top w:w="50" w:type="dxa"/>
              <w:start w:w="70" w:type="dxa"/>
              <w:bottom w:w="50" w:type="dxa"/>
              <w:end w:w="70" w:type="dxa"/>
            </w:tcMar>
          </w:tcPr>
          <w:p>
            <w:pPr>
              <w:spacing w:after="20"/>
            </w:pPr>
            <w:r>
              <w:rPr>
                <w:rFonts w:ascii="Aptos" w:hAnsi="Aptos" w:eastAsia="Aptos"/>
                <w:sz w:val="16"/>
              </w:rPr>
              <w:t>AIRA Data Classification, Retention, and Evidence Register</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Version</w:t>
            </w:r>
          </w:p>
        </w:tc>
        <w:tc>
          <w:tcPr>
            <w:tcW w:type="dxa" w:w="5328"/>
            <w:vAlign w:val="center"/>
            <w:tcMar>
              <w:top w:w="50" w:type="dxa"/>
              <w:start w:w="70" w:type="dxa"/>
              <w:bottom w:w="50" w:type="dxa"/>
              <w:end w:w="70" w:type="dxa"/>
            </w:tcMar>
          </w:tcPr>
          <w:p>
            <w:pPr>
              <w:spacing w:after="20"/>
            </w:pPr>
            <w:r>
              <w:rPr>
                <w:rFonts w:ascii="Aptos" w:hAnsi="Aptos" w:eastAsia="Aptos"/>
                <w:sz w:val="16"/>
              </w:rPr>
              <w:t>v1.0 - Initial Operational Register</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Classification</w:t>
            </w:r>
          </w:p>
        </w:tc>
        <w:tc>
          <w:tcPr>
            <w:tcW w:type="dxa" w:w="5328"/>
            <w:vAlign w:val="center"/>
            <w:tcMar>
              <w:top w:w="50" w:type="dxa"/>
              <w:start w:w="70" w:type="dxa"/>
              <w:bottom w:w="50" w:type="dxa"/>
              <w:end w:w="70" w:type="dxa"/>
            </w:tcMar>
          </w:tcPr>
          <w:p>
            <w:pPr>
              <w:spacing w:after="20"/>
            </w:pPr>
            <w:r>
              <w:rPr>
                <w:rFonts w:ascii="Aptos" w:hAnsi="Aptos" w:eastAsia="Aptos"/>
                <w:sz w:val="16"/>
              </w:rPr>
              <w:t>CONFIDENTIAL - Internal Use Only</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Status</w:t>
            </w:r>
          </w:p>
        </w:tc>
        <w:tc>
          <w:tcPr>
            <w:tcW w:type="dxa" w:w="5328"/>
            <w:vAlign w:val="center"/>
            <w:tcMar>
              <w:top w:w="50" w:type="dxa"/>
              <w:start w:w="70" w:type="dxa"/>
              <w:bottom w:w="50" w:type="dxa"/>
              <w:end w:w="70" w:type="dxa"/>
            </w:tcMar>
          </w:tcPr>
          <w:p>
            <w:pPr>
              <w:spacing w:after="20"/>
            </w:pPr>
            <w:r>
              <w:rPr>
                <w:rFonts w:ascii="Aptos" w:hAnsi="Aptos" w:eastAsia="Aptos"/>
                <w:sz w:val="16"/>
              </w:rPr>
              <w:t>FOR ARCHITECTURE REVIEW BOARD / DATA GOVERNANCE APPROVAL</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Owner</w:t>
            </w:r>
          </w:p>
        </w:tc>
        <w:tc>
          <w:tcPr>
            <w:tcW w:type="dxa" w:w="5328"/>
            <w:vAlign w:val="center"/>
            <w:tcMar>
              <w:top w:w="50" w:type="dxa"/>
              <w:start w:w="70" w:type="dxa"/>
              <w:bottom w:w="50" w:type="dxa"/>
              <w:end w:w="70" w:type="dxa"/>
            </w:tcMar>
          </w:tcPr>
          <w:p>
            <w:pPr>
              <w:spacing w:after="20"/>
            </w:pPr>
            <w:r>
              <w:rPr>
                <w:rFonts w:ascii="Aptos" w:hAnsi="Aptos" w:eastAsia="Aptos"/>
                <w:sz w:val="16"/>
              </w:rPr>
              <w:t>Solutions Architecture Office / Data Governance Lead</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Co-Owners</w:t>
            </w:r>
          </w:p>
        </w:tc>
        <w:tc>
          <w:tcPr>
            <w:tcW w:type="dxa" w:w="5328"/>
            <w:vAlign w:val="center"/>
            <w:tcMar>
              <w:top w:w="50" w:type="dxa"/>
              <w:start w:w="70" w:type="dxa"/>
              <w:bottom w:w="50" w:type="dxa"/>
              <w:end w:w="70" w:type="dxa"/>
            </w:tcMar>
          </w:tcPr>
          <w:p>
            <w:pPr>
              <w:spacing w:after="20"/>
            </w:pPr>
            <w:r>
              <w:rPr>
                <w:rFonts w:ascii="Aptos" w:hAnsi="Aptos" w:eastAsia="Aptos"/>
                <w:sz w:val="16"/>
              </w:rPr>
              <w:t>Security Administrator, Compliance, Internal Audit, Database Administrator, AI Governance Lead</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Effective Date</w:t>
            </w:r>
          </w:p>
        </w:tc>
        <w:tc>
          <w:tcPr>
            <w:tcW w:type="dxa" w:w="5328"/>
            <w:vAlign w:val="center"/>
            <w:tcMar>
              <w:top w:w="50" w:type="dxa"/>
              <w:start w:w="70" w:type="dxa"/>
              <w:bottom w:w="50" w:type="dxa"/>
              <w:end w:w="70" w:type="dxa"/>
            </w:tcMar>
          </w:tcPr>
          <w:p>
            <w:pPr>
              <w:spacing w:after="20"/>
            </w:pPr>
            <w:r>
              <w:rPr>
                <w:rFonts w:ascii="Aptos" w:hAnsi="Aptos" w:eastAsia="Aptos"/>
                <w:sz w:val="16"/>
              </w:rPr>
              <w:t>Upon Architecture Review Board / CAB approval</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Review Cadence</w:t>
            </w:r>
          </w:p>
        </w:tc>
        <w:tc>
          <w:tcPr>
            <w:tcW w:type="dxa" w:w="5328"/>
            <w:vAlign w:val="center"/>
            <w:tcMar>
              <w:top w:w="50" w:type="dxa"/>
              <w:start w:w="70" w:type="dxa"/>
              <w:bottom w:w="50" w:type="dxa"/>
              <w:end w:w="70" w:type="dxa"/>
            </w:tcMar>
          </w:tcPr>
          <w:p>
            <w:pPr>
              <w:spacing w:after="20"/>
            </w:pPr>
            <w:r>
              <w:rPr>
                <w:rFonts w:ascii="Aptos" w:hAnsi="Aptos" w:eastAsia="Aptos"/>
                <w:sz w:val="16"/>
              </w:rPr>
              <w:t>Quarterly; unscheduled on regulatory, data-classification, retention, model-routing, evidence, or storage-control change</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Audience</w:t>
            </w:r>
          </w:p>
        </w:tc>
        <w:tc>
          <w:tcPr>
            <w:tcW w:type="dxa" w:w="5328"/>
            <w:vAlign w:val="center"/>
            <w:tcMar>
              <w:top w:w="50" w:type="dxa"/>
              <w:start w:w="70" w:type="dxa"/>
              <w:bottom w:w="50" w:type="dxa"/>
              <w:end w:w="70" w:type="dxa"/>
            </w:tcMar>
          </w:tcPr>
          <w:p>
            <w:pPr>
              <w:spacing w:after="20"/>
            </w:pPr>
            <w:r>
              <w:rPr>
                <w:rFonts w:ascii="Aptos" w:hAnsi="Aptos" w:eastAsia="Aptos"/>
                <w:sz w:val="16"/>
              </w:rPr>
              <w:t>Solutions Architect / IT Head, Enterprise Architects, Software Developers, DevSecOps, Security Administrator, DBA, QA, SRE, AI Engineers, Compliance, Internal Audit</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Companion Documents</w:t>
            </w:r>
          </w:p>
        </w:tc>
        <w:tc>
          <w:tcPr>
            <w:tcW w:type="dxa" w:w="5328"/>
            <w:vAlign w:val="center"/>
            <w:tcMar>
              <w:top w:w="50" w:type="dxa"/>
              <w:start w:w="70" w:type="dxa"/>
              <w:bottom w:w="50" w:type="dxa"/>
              <w:end w:w="70" w:type="dxa"/>
            </w:tcMar>
          </w:tcPr>
          <w:p>
            <w:pPr>
              <w:spacing w:after="20"/>
            </w:pPr>
            <w:r>
              <w:rPr>
                <w:rFonts w:ascii="Aptos" w:hAnsi="Aptos" w:eastAsia="Aptos"/>
                <w:sz w:val="16"/>
              </w:rPr>
              <w:t>01 AVCI Engineering Standard v3.0; 01A Enterprise Design Principles and SOLID Enforcement Layer v1.0; 02 Engineering Blueprint v5.0; 03 Developer Guide v4.0; 04 Technology Stack v8.0; 05 Information Nervous System v4.0; 06 CLAUDE.md Reference v3.0; 08 Unit Testing Standard v3.0; 11 DevSecOps Standard v3.0; 13 Knowledge Governance Standard v2.0; 15 API Contract Standard v2.0; 16 Database Standard v2.0; 17 Security Standard v2.0; 20 CI/CD and Evidence Pack Guide v1.0; 22 Prompt, Guardrail, Model Alias, and AI Evaluation Registry v1.0</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Compliance Scope</w:t>
            </w:r>
          </w:p>
        </w:tc>
        <w:tc>
          <w:tcPr>
            <w:tcW w:type="dxa" w:w="5328"/>
            <w:vAlign w:val="center"/>
            <w:tcMar>
              <w:top w:w="50" w:type="dxa"/>
              <w:start w:w="70" w:type="dxa"/>
              <w:bottom w:w="50" w:type="dxa"/>
              <w:end w:w="70" w:type="dxa"/>
            </w:tcMar>
          </w:tcPr>
          <w:p>
            <w:pPr>
              <w:spacing w:after="20"/>
            </w:pPr>
            <w:r>
              <w:rPr>
                <w:rFonts w:ascii="Aptos" w:hAnsi="Aptos" w:eastAsia="Aptos"/>
                <w:sz w:val="16"/>
              </w:rPr>
              <w:t>AVCI; ISO/IEC 27001:2022; CIS Controls v8.1; NIST SSDF; NIST AI RMF; SOC 2; BSP IT Risk; privacy, audit, and records-retention obligations applicable to AIRA</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Evidence Path</w:t>
            </w:r>
          </w:p>
        </w:tc>
        <w:tc>
          <w:tcPr>
            <w:tcW w:type="dxa" w:w="5328"/>
            <w:vAlign w:val="center"/>
            <w:tcMar>
              <w:top w:w="50" w:type="dxa"/>
              <w:start w:w="70" w:type="dxa"/>
              <w:bottom w:w="50" w:type="dxa"/>
              <w:end w:w="70" w:type="dxa"/>
            </w:tcMar>
          </w:tcPr>
          <w:p>
            <w:pPr>
              <w:spacing w:after="20"/>
            </w:pPr>
            <w:r>
              <w:rPr>
                <w:rFonts w:ascii="Aptos" w:hAnsi="Aptos" w:eastAsia="Aptos"/>
                <w:sz w:val="16"/>
              </w:rPr>
              <w:t>OpenKM Tier-0 / AIRA / Registers / Data-Classification-Retention-Evidence / v1.0</w:t>
            </w:r>
          </w:p>
        </w:tc>
      </w:tr>
    </w:tbl>
    <w:p>
      <w:pPr/>
    </w:p>
    <w:p>
      <w:pPr>
        <w:pStyle w:val="Heading2"/>
      </w:pPr>
      <w:r>
        <w:t>Mandatory Practice Statement</w:t>
      </w:r>
    </w:p>
    <w:p>
      <w:pPr/>
      <w:r>
        <w:rPr>
          <w:rFonts w:ascii="Aptos" w:hAnsi="Aptos" w:eastAsia="Aptos"/>
        </w:rPr>
        <w:t>No AIRA data set, document, prompt, model output, runtime configuration, evidence artifact, retrieval chunk, embedding, audit record, or knowledge artifact may be used by engineering, AI, runtime services, retrieval systems, or operational workflows unless its classification, owner, source tier, retention rule, storage location, access rule, model-routing eligibility, and evidence reference are registered or derivable from an approved register.</w:t>
      </w:r>
    </w:p>
    <w:p>
      <w:pPr/>
      <w:r>
        <w:rPr>
          <w:rFonts w:ascii="Aptos" w:hAnsi="Aptos" w:eastAsia="Aptos"/>
        </w:rPr>
        <w:t>Classification is not a label for reporting only. In AIRA, classification determines storage, encryption, access, logging, masking, retention, prompt eligibility, retrieval eligibility, model route, approval gates, and disposal procedure.</w:t>
      </w:r>
    </w:p>
    <w:p>
      <w:pPr>
        <w:pStyle w:val="Heading1"/>
        <w:pBdr>
          <w:bottom w:val="single" w:sz="8" w:space="1" w:color="D9EAF7"/>
        </w:pBdr>
      </w:pPr>
      <w:r>
        <w:t>1. Executive Summary</w:t>
      </w:r>
    </w:p>
    <w:p>
      <w:pPr>
        <w:pStyle w:val="Callout"/>
      </w:pPr>
      <w:r>
        <w:rPr>
          <w:rFonts w:ascii="Aptos" w:hAnsi="Aptos" w:eastAsia="Aptos"/>
        </w:rPr>
        <w:t>The AIRA platform is AI-native, evidence-first, and built for regulated mission-critical operation. Its trustworthiness depends on controlling not only code and infrastructure, but also the data, documents, evidence, prompts, model outputs, retrieval indexes, and knowledge artifacts that humans and AI agents use to make decisions.</w:t>
      </w:r>
    </w:p>
    <w:p>
      <w:pPr/>
      <w:r>
        <w:rPr>
          <w:rFonts w:ascii="Aptos" w:hAnsi="Aptos" w:eastAsia="Aptos"/>
        </w:rPr>
        <w:t>This register is the operational bridge between the architecture standards and day-to-day data handling. It defines how AIRA classifies artifacts, assigns retention rules, stores evidence, governs prompt and model-routing eligibility, applies legal hold, disposes of expired records, and proves AVCI compliance.</w:t>
      </w:r>
    </w:p>
    <w:p>
      <w:pPr/>
      <w:r>
        <w:rPr>
          <w:rFonts w:ascii="Aptos" w:hAnsi="Aptos" w:eastAsia="Aptos"/>
        </w:rPr>
        <w:t>This document is not a general data-policy narrative. It is a practical register standard. It defines the minimum fields, decision rules, storage paths, lifecycle states, review cadence, and evidence gates that must be implemented in Git, OpenKM, PostgreSQL, Obsidian, LLM Wiki, pgvector, LightRAG, CI/CD evidence packs, and operational audit repositories.</w:t>
      </w:r>
    </w:p>
    <w:p>
      <w:pPr>
        <w:pStyle w:val="Heading2"/>
      </w:pPr>
      <w:r>
        <w:t>1.1 Strategic Outcomes</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Outcome</w:t>
            </w:r>
          </w:p>
        </w:tc>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Required Result</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Classification-aware engineering</w:t>
            </w:r>
          </w:p>
        </w:tc>
        <w:tc>
          <w:tcPr>
            <w:tcW w:type="dxa" w:w="5328"/>
            <w:vAlign w:val="center"/>
            <w:tcMar>
              <w:top w:w="50" w:type="dxa"/>
              <w:start w:w="70" w:type="dxa"/>
              <w:bottom w:w="50" w:type="dxa"/>
              <w:end w:w="70" w:type="dxa"/>
            </w:tcMar>
          </w:tcPr>
          <w:p>
            <w:pPr>
              <w:spacing w:after="20"/>
            </w:pPr>
            <w:r>
              <w:rPr>
                <w:rFonts w:ascii="Aptos" w:hAnsi="Aptos" w:eastAsia="Aptos"/>
                <w:sz w:val="16"/>
              </w:rPr>
              <w:t>Developers, AI tools, and runtime services can determine how an artifact must be handled before it is stored, logged, cached, indexed, embedded, prompted, or released.</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Evidence defensibility</w:t>
            </w:r>
          </w:p>
        </w:tc>
        <w:tc>
          <w:tcPr>
            <w:tcW w:type="dxa" w:w="5328"/>
            <w:vAlign w:val="center"/>
            <w:tcMar>
              <w:top w:w="50" w:type="dxa"/>
              <w:start w:w="70" w:type="dxa"/>
              <w:bottom w:w="50" w:type="dxa"/>
              <w:end w:w="70" w:type="dxa"/>
            </w:tcMar>
          </w:tcPr>
          <w:p>
            <w:pPr>
              <w:spacing w:after="20"/>
            </w:pPr>
            <w:r>
              <w:rPr>
                <w:rFonts w:ascii="Aptos" w:hAnsi="Aptos" w:eastAsia="Aptos"/>
                <w:sz w:val="16"/>
              </w:rPr>
              <w:t>Every material artifact can be traced to an owner, source, hash, classification, retention rule, approval state, and evidence path.</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Safe AI routing</w:t>
            </w:r>
          </w:p>
        </w:tc>
        <w:tc>
          <w:tcPr>
            <w:tcW w:type="dxa" w:w="5328"/>
            <w:vAlign w:val="center"/>
            <w:tcMar>
              <w:top w:w="50" w:type="dxa"/>
              <w:start w:w="70" w:type="dxa"/>
              <w:bottom w:w="50" w:type="dxa"/>
              <w:end w:w="70" w:type="dxa"/>
            </w:tcMar>
          </w:tcPr>
          <w:p>
            <w:pPr>
              <w:spacing w:after="20"/>
            </w:pPr>
            <w:r>
              <w:rPr>
                <w:rFonts w:ascii="Aptos" w:hAnsi="Aptos" w:eastAsia="Aptos"/>
                <w:sz w:val="16"/>
              </w:rPr>
              <w:t>Prompts, retrieval packs, model calls, generated answers, and tool actions are allowed only when classification and policy permit them.</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Controlled retention</w:t>
            </w:r>
          </w:p>
        </w:tc>
        <w:tc>
          <w:tcPr>
            <w:tcW w:type="dxa" w:w="5328"/>
            <w:vAlign w:val="center"/>
            <w:tcMar>
              <w:top w:w="50" w:type="dxa"/>
              <w:start w:w="70" w:type="dxa"/>
              <w:bottom w:w="50" w:type="dxa"/>
              <w:end w:w="70" w:type="dxa"/>
            </w:tcMar>
          </w:tcPr>
          <w:p>
            <w:pPr>
              <w:spacing w:after="20"/>
            </w:pPr>
            <w:r>
              <w:rPr>
                <w:rFonts w:ascii="Aptos" w:hAnsi="Aptos" w:eastAsia="Aptos"/>
                <w:sz w:val="16"/>
              </w:rPr>
              <w:t>Records are retained, archived, superseded, or purged through rules, approval, legal hold checks, and immutable disposal evidence.</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Reduced audit friction</w:t>
            </w:r>
          </w:p>
        </w:tc>
        <w:tc>
          <w:tcPr>
            <w:tcW w:type="dxa" w:w="5328"/>
            <w:vAlign w:val="center"/>
            <w:tcMar>
              <w:top w:w="50" w:type="dxa"/>
              <w:start w:w="70" w:type="dxa"/>
              <w:bottom w:w="50" w:type="dxa"/>
              <w:end w:w="70" w:type="dxa"/>
            </w:tcMar>
          </w:tcPr>
          <w:p>
            <w:pPr>
              <w:spacing w:after="20"/>
            </w:pPr>
            <w:r>
              <w:rPr>
                <w:rFonts w:ascii="Aptos" w:hAnsi="Aptos" w:eastAsia="Aptos"/>
                <w:sz w:val="16"/>
              </w:rPr>
              <w:t>Compliance and Internal Audit can inspect one operational register rather than reconstructing handling decisions from code, tickets, chats, or individual memory.</w:t>
            </w:r>
          </w:p>
        </w:tc>
      </w:tr>
    </w:tbl>
    <w:p>
      <w:pPr/>
    </w:p>
    <w:p>
      <w:pPr>
        <w:pStyle w:val="Heading2"/>
      </w:pPr>
      <w:r>
        <w:t>1.2 What This Register Is Not</w:t>
      </w:r>
    </w:p>
    <w:p>
      <w:pPr>
        <w:pStyle w:val="Callout"/>
      </w:pPr>
      <w:r>
        <w:rPr>
          <w:rFonts w:ascii="Aptos" w:hAnsi="Aptos" w:eastAsia="Aptos"/>
        </w:rPr>
        <w:t>This register does not replace database schemas, OpenKM folder structures, CI/CD evidence manifests, or the Information Nervous System. It standardizes the fields and rules those systems must implement.</w:t>
      </w:r>
    </w:p>
    <w:p>
      <w:pPr/>
      <w:r>
        <w:rPr>
          <w:rFonts w:ascii="Aptos" w:hAnsi="Aptos" w:eastAsia="Aptos"/>
        </w:rPr>
        <w:t>It is not a permission bypass. An artifact registered as usable must still pass runtime authorization, SBAC, OPA, guardrails, and human approval where required.</w:t>
      </w:r>
    </w:p>
    <w:p>
      <w:pPr/>
      <w:r>
        <w:rPr>
          <w:rFonts w:ascii="Aptos" w:hAnsi="Aptos" w:eastAsia="Aptos"/>
        </w:rPr>
        <w:t>It is not a permanent retention exception. Retention extensions require legal hold, compliance approval, or approved business need with expiry.</w:t>
      </w:r>
    </w:p>
    <w:p>
      <w:pPr>
        <w:pStyle w:val="Heading1"/>
        <w:pBdr>
          <w:bottom w:val="single" w:sz="8" w:space="1" w:color="D9EAF7"/>
        </w:pBdr>
      </w:pPr>
      <w:r>
        <w:t>2. Scope, Authority, and Precedence</w:t>
      </w:r>
    </w:p>
    <w:p>
      <w:pPr>
        <w:pStyle w:val="Heading2"/>
      </w:pPr>
      <w:r>
        <w:t>2.1 In Scope</w:t>
      </w:r>
    </w:p>
    <w:p>
      <w:pPr>
        <w:pStyle w:val="ListBullet"/>
        <w:spacing w:after="40"/>
      </w:pPr>
      <w:r>
        <w:rPr>
          <w:rFonts w:ascii="Aptos" w:hAnsi="Aptos" w:eastAsia="Aptos"/>
          <w:sz w:val="18"/>
        </w:rPr>
        <w:t>Business data, reference data, configuration data, metadata, runtime parameters, audit records, CI/CD evidence, test evidence, security evidence, incident evidence, data lineage, embeddings, retrieval chunks, prompts, guardrails, model aliases, model outputs, evaluation results, agent action evidence, OpenKM documents, Obsidian notes, LLM Wiki artifacts, and MicroFunction configuration records.</w:t>
      </w:r>
    </w:p>
    <w:p>
      <w:pPr>
        <w:pStyle w:val="ListBullet"/>
        <w:spacing w:after="40"/>
      </w:pPr>
      <w:r>
        <w:rPr>
          <w:rFonts w:ascii="Aptos" w:hAnsi="Aptos" w:eastAsia="Aptos"/>
          <w:sz w:val="18"/>
        </w:rPr>
        <w:t>All storage destinations: Git, OpenKM, PostgreSQL, audit store, object storage where approved, Harbor registry metadata, CI/CD evidence store, Obsidian, LLM Wiki, pgvector, LightRAG, Redis/Valkey cache, and observability tools.</w:t>
      </w:r>
    </w:p>
    <w:p>
      <w:pPr>
        <w:pStyle w:val="ListBullet"/>
        <w:spacing w:after="40"/>
      </w:pPr>
      <w:r>
        <w:rPr>
          <w:rFonts w:ascii="Aptos" w:hAnsi="Aptos" w:eastAsia="Aptos"/>
          <w:sz w:val="18"/>
        </w:rPr>
        <w:t>All lifecycle actions: create, classify, review, approve, store, retrieve, cache, index, embed, prompt, generate, publish, retain, archive, supersede, purge, and dispose.</w:t>
      </w:r>
    </w:p>
    <w:p>
      <w:pPr>
        <w:pStyle w:val="Heading2"/>
      </w:pPr>
      <w:r>
        <w:t>2.2 Out of Scope</w:t>
      </w:r>
    </w:p>
    <w:p>
      <w:pPr>
        <w:pStyle w:val="ListBullet"/>
        <w:spacing w:after="40"/>
      </w:pPr>
      <w:r>
        <w:rPr>
          <w:rFonts w:ascii="Aptos" w:hAnsi="Aptos" w:eastAsia="Aptos"/>
          <w:sz w:val="18"/>
        </w:rPr>
        <w:t>HR employee file retention, corporate finance retention, and non-AIRA enterprise records unless they are ingested into or referenced by AIRA.</w:t>
      </w:r>
    </w:p>
    <w:p>
      <w:pPr>
        <w:pStyle w:val="ListBullet"/>
        <w:spacing w:after="40"/>
      </w:pPr>
      <w:r>
        <w:rPr>
          <w:rFonts w:ascii="Aptos" w:hAnsi="Aptos" w:eastAsia="Aptos"/>
          <w:sz w:val="18"/>
        </w:rPr>
        <w:t>Raw production customer records not yet approved for AIRA processing.</w:t>
      </w:r>
    </w:p>
    <w:p>
      <w:pPr>
        <w:pStyle w:val="ListBullet"/>
        <w:spacing w:after="40"/>
      </w:pPr>
      <w:r>
        <w:rPr>
          <w:rFonts w:ascii="Aptos" w:hAnsi="Aptos" w:eastAsia="Aptos"/>
          <w:sz w:val="18"/>
        </w:rPr>
        <w:t>Unmanaged spreadsheets, private notes, unmanaged chat exports, or external documents not promoted into the governed AIRA source structure.</w:t>
      </w:r>
    </w:p>
    <w:p>
      <w:pPr>
        <w:pStyle w:val="Heading2"/>
      </w:pPr>
      <w:r>
        <w:t>2.3 Authority and Conflict Rule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Authority Level</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Source</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Rule</w:t>
            </w:r>
          </w:p>
        </w:tc>
      </w:tr>
      <w:tr>
        <w:tc>
          <w:tcPr>
            <w:tcW w:type="dxa" w:w="3552"/>
            <w:vAlign w:val="center"/>
            <w:tcMar>
              <w:top w:w="50" w:type="dxa"/>
              <w:start w:w="70" w:type="dxa"/>
              <w:bottom w:w="50" w:type="dxa"/>
              <w:end w:w="70" w:type="dxa"/>
            </w:tcMar>
          </w:tcPr>
          <w:p>
            <w:pPr>
              <w:spacing w:after="20"/>
            </w:pPr>
            <w:r>
              <w:rPr>
                <w:rFonts w:ascii="Aptos" w:hAnsi="Aptos" w:eastAsia="Aptos"/>
                <w:sz w:val="16"/>
              </w:rPr>
              <w:t>L0</w:t>
            </w:r>
          </w:p>
        </w:tc>
        <w:tc>
          <w:tcPr>
            <w:tcW w:type="dxa" w:w="3552"/>
            <w:vAlign w:val="center"/>
            <w:tcMar>
              <w:top w:w="50" w:type="dxa"/>
              <w:start w:w="70" w:type="dxa"/>
              <w:bottom w:w="50" w:type="dxa"/>
              <w:end w:w="70" w:type="dxa"/>
            </w:tcMar>
          </w:tcPr>
          <w:p>
            <w:pPr>
              <w:spacing w:after="20"/>
            </w:pPr>
            <w:r>
              <w:rPr>
                <w:rFonts w:ascii="Aptos" w:hAnsi="Aptos" w:eastAsia="Aptos"/>
                <w:sz w:val="16"/>
              </w:rPr>
              <w:t>Regulatory / Legal / Executive Risk Decision</w:t>
            </w:r>
          </w:p>
        </w:tc>
        <w:tc>
          <w:tcPr>
            <w:tcW w:type="dxa" w:w="3552"/>
            <w:vAlign w:val="center"/>
            <w:tcMar>
              <w:top w:w="50" w:type="dxa"/>
              <w:start w:w="70" w:type="dxa"/>
              <w:bottom w:w="50" w:type="dxa"/>
              <w:end w:w="70" w:type="dxa"/>
            </w:tcMar>
          </w:tcPr>
          <w:p>
            <w:pPr>
              <w:spacing w:after="20"/>
            </w:pPr>
            <w:r>
              <w:rPr>
                <w:rFonts w:ascii="Aptos" w:hAnsi="Aptos" w:eastAsia="Aptos"/>
                <w:sz w:val="16"/>
              </w:rPr>
              <w:t>Mandatory legal or regulatory hold overrides normal disposal.</w:t>
            </w:r>
          </w:p>
        </w:tc>
      </w:tr>
      <w:tr>
        <w:tc>
          <w:tcPr>
            <w:tcW w:type="dxa" w:w="3552"/>
            <w:vAlign w:val="center"/>
            <w:tcMar>
              <w:top w:w="50" w:type="dxa"/>
              <w:start w:w="70" w:type="dxa"/>
              <w:bottom w:w="50" w:type="dxa"/>
              <w:end w:w="70" w:type="dxa"/>
            </w:tcMar>
          </w:tcPr>
          <w:p>
            <w:pPr>
              <w:spacing w:after="20"/>
            </w:pPr>
            <w:r>
              <w:rPr>
                <w:rFonts w:ascii="Aptos" w:hAnsi="Aptos" w:eastAsia="Aptos"/>
                <w:sz w:val="16"/>
              </w:rPr>
              <w:t>L1</w:t>
            </w:r>
          </w:p>
        </w:tc>
        <w:tc>
          <w:tcPr>
            <w:tcW w:type="dxa" w:w="3552"/>
            <w:vAlign w:val="center"/>
            <w:tcMar>
              <w:top w:w="50" w:type="dxa"/>
              <w:start w:w="70" w:type="dxa"/>
              <w:bottom w:w="50" w:type="dxa"/>
              <w:end w:w="70" w:type="dxa"/>
            </w:tcMar>
          </w:tcPr>
          <w:p>
            <w:pPr>
              <w:spacing w:after="20"/>
            </w:pPr>
            <w:r>
              <w:rPr>
                <w:rFonts w:ascii="Aptos" w:hAnsi="Aptos" w:eastAsia="Aptos"/>
                <w:sz w:val="16"/>
              </w:rPr>
              <w:t>AIRA Engineering Blueprint and Security Standard</w:t>
            </w:r>
          </w:p>
        </w:tc>
        <w:tc>
          <w:tcPr>
            <w:tcW w:type="dxa" w:w="3552"/>
            <w:vAlign w:val="center"/>
            <w:tcMar>
              <w:top w:w="50" w:type="dxa"/>
              <w:start w:w="70" w:type="dxa"/>
              <w:bottom w:w="50" w:type="dxa"/>
              <w:end w:w="70" w:type="dxa"/>
            </w:tcMar>
          </w:tcPr>
          <w:p>
            <w:pPr>
              <w:spacing w:after="20"/>
            </w:pPr>
            <w:r>
              <w:rPr>
                <w:rFonts w:ascii="Aptos" w:hAnsi="Aptos" w:eastAsia="Aptos"/>
                <w:sz w:val="16"/>
              </w:rPr>
              <w:t>Architecture and security boundaries govern storage, routing, and access.</w:t>
            </w:r>
          </w:p>
        </w:tc>
      </w:tr>
      <w:tr>
        <w:tc>
          <w:tcPr>
            <w:tcW w:type="dxa" w:w="3552"/>
            <w:vAlign w:val="center"/>
            <w:tcMar>
              <w:top w:w="50" w:type="dxa"/>
              <w:start w:w="70" w:type="dxa"/>
              <w:bottom w:w="50" w:type="dxa"/>
              <w:end w:w="70" w:type="dxa"/>
            </w:tcMar>
          </w:tcPr>
          <w:p>
            <w:pPr>
              <w:spacing w:after="20"/>
            </w:pPr>
            <w:r>
              <w:rPr>
                <w:rFonts w:ascii="Aptos" w:hAnsi="Aptos" w:eastAsia="Aptos"/>
                <w:sz w:val="16"/>
              </w:rPr>
              <w:t>L1</w:t>
            </w:r>
          </w:p>
        </w:tc>
        <w:tc>
          <w:tcPr>
            <w:tcW w:type="dxa" w:w="3552"/>
            <w:vAlign w:val="center"/>
            <w:tcMar>
              <w:top w:w="50" w:type="dxa"/>
              <w:start w:w="70" w:type="dxa"/>
              <w:bottom w:w="50" w:type="dxa"/>
              <w:end w:w="70" w:type="dxa"/>
            </w:tcMar>
          </w:tcPr>
          <w:p>
            <w:pPr>
              <w:spacing w:after="20"/>
            </w:pPr>
            <w:r>
              <w:rPr>
                <w:rFonts w:ascii="Aptos" w:hAnsi="Aptos" w:eastAsia="Aptos"/>
                <w:sz w:val="16"/>
              </w:rPr>
              <w:t>AVCI Engineering Standard and 01A Enforcement Layer</w:t>
            </w:r>
          </w:p>
        </w:tc>
        <w:tc>
          <w:tcPr>
            <w:tcW w:type="dxa" w:w="3552"/>
            <w:vAlign w:val="center"/>
            <w:tcMar>
              <w:top w:w="50" w:type="dxa"/>
              <w:start w:w="70" w:type="dxa"/>
              <w:bottom w:w="50" w:type="dxa"/>
              <w:end w:w="70" w:type="dxa"/>
            </w:tcMar>
          </w:tcPr>
          <w:p>
            <w:pPr>
              <w:spacing w:after="20"/>
            </w:pPr>
            <w:r>
              <w:rPr>
                <w:rFonts w:ascii="Aptos" w:hAnsi="Aptos" w:eastAsia="Aptos"/>
                <w:sz w:val="16"/>
              </w:rPr>
              <w:t>Missing AVCI or design-principle evidence blocks production use.</w:t>
            </w:r>
          </w:p>
        </w:tc>
      </w:tr>
      <w:tr>
        <w:tc>
          <w:tcPr>
            <w:tcW w:type="dxa" w:w="3552"/>
            <w:vAlign w:val="center"/>
            <w:tcMar>
              <w:top w:w="50" w:type="dxa"/>
              <w:start w:w="70" w:type="dxa"/>
              <w:bottom w:w="50" w:type="dxa"/>
              <w:end w:w="70" w:type="dxa"/>
            </w:tcMar>
          </w:tcPr>
          <w:p>
            <w:pPr>
              <w:spacing w:after="20"/>
            </w:pPr>
            <w:r>
              <w:rPr>
                <w:rFonts w:ascii="Aptos" w:hAnsi="Aptos" w:eastAsia="Aptos"/>
                <w:sz w:val="16"/>
              </w:rPr>
              <w:t>L2</w:t>
            </w:r>
          </w:p>
        </w:tc>
        <w:tc>
          <w:tcPr>
            <w:tcW w:type="dxa" w:w="3552"/>
            <w:vAlign w:val="center"/>
            <w:tcMar>
              <w:top w:w="50" w:type="dxa"/>
              <w:start w:w="70" w:type="dxa"/>
              <w:bottom w:w="50" w:type="dxa"/>
              <w:end w:w="70" w:type="dxa"/>
            </w:tcMar>
          </w:tcPr>
          <w:p>
            <w:pPr>
              <w:spacing w:after="20"/>
            </w:pPr>
            <w:r>
              <w:rPr>
                <w:rFonts w:ascii="Aptos" w:hAnsi="Aptos" w:eastAsia="Aptos"/>
                <w:sz w:val="16"/>
              </w:rPr>
              <w:t>This Register</w:t>
            </w:r>
          </w:p>
        </w:tc>
        <w:tc>
          <w:tcPr>
            <w:tcW w:type="dxa" w:w="3552"/>
            <w:vAlign w:val="center"/>
            <w:tcMar>
              <w:top w:w="50" w:type="dxa"/>
              <w:start w:w="70" w:type="dxa"/>
              <w:bottom w:w="50" w:type="dxa"/>
              <w:end w:w="70" w:type="dxa"/>
            </w:tcMar>
          </w:tcPr>
          <w:p>
            <w:pPr>
              <w:spacing w:after="20"/>
            </w:pPr>
            <w:r>
              <w:rPr>
                <w:rFonts w:ascii="Aptos" w:hAnsi="Aptos" w:eastAsia="Aptos"/>
                <w:sz w:val="16"/>
              </w:rPr>
              <w:t>Governs classification, retention, evidence paths, prompt eligibility, and handling rules.</w:t>
            </w:r>
          </w:p>
        </w:tc>
      </w:tr>
      <w:tr>
        <w:tc>
          <w:tcPr>
            <w:tcW w:type="dxa" w:w="3552"/>
            <w:vAlign w:val="center"/>
            <w:tcMar>
              <w:top w:w="50" w:type="dxa"/>
              <w:start w:w="70" w:type="dxa"/>
              <w:bottom w:w="50" w:type="dxa"/>
              <w:end w:w="70" w:type="dxa"/>
            </w:tcMar>
          </w:tcPr>
          <w:p>
            <w:pPr>
              <w:spacing w:after="20"/>
            </w:pPr>
            <w:r>
              <w:rPr>
                <w:rFonts w:ascii="Aptos" w:hAnsi="Aptos" w:eastAsia="Aptos"/>
                <w:sz w:val="16"/>
              </w:rPr>
              <w:t>L3</w:t>
            </w:r>
          </w:p>
        </w:tc>
        <w:tc>
          <w:tcPr>
            <w:tcW w:type="dxa" w:w="3552"/>
            <w:vAlign w:val="center"/>
            <w:tcMar>
              <w:top w:w="50" w:type="dxa"/>
              <w:start w:w="70" w:type="dxa"/>
              <w:bottom w:w="50" w:type="dxa"/>
              <w:end w:w="70" w:type="dxa"/>
            </w:tcMar>
          </w:tcPr>
          <w:p>
            <w:pPr>
              <w:spacing w:after="20"/>
            </w:pPr>
            <w:r>
              <w:rPr>
                <w:rFonts w:ascii="Aptos" w:hAnsi="Aptos" w:eastAsia="Aptos"/>
                <w:sz w:val="16"/>
              </w:rPr>
              <w:t>Database, API, Knowledge, DevSecOps, CI/CD, and Prompt Registry Standards</w:t>
            </w:r>
          </w:p>
        </w:tc>
        <w:tc>
          <w:tcPr>
            <w:tcW w:type="dxa" w:w="3552"/>
            <w:vAlign w:val="center"/>
            <w:tcMar>
              <w:top w:w="50" w:type="dxa"/>
              <w:start w:w="70" w:type="dxa"/>
              <w:bottom w:w="50" w:type="dxa"/>
              <w:end w:w="70" w:type="dxa"/>
            </w:tcMar>
          </w:tcPr>
          <w:p>
            <w:pPr>
              <w:spacing w:after="20"/>
            </w:pPr>
            <w:r>
              <w:rPr>
                <w:rFonts w:ascii="Aptos" w:hAnsi="Aptos" w:eastAsia="Aptos"/>
                <w:sz w:val="16"/>
              </w:rPr>
              <w:t>Implement register rules in specialist domains.</w:t>
            </w:r>
          </w:p>
        </w:tc>
      </w:tr>
      <w:tr>
        <w:tc>
          <w:tcPr>
            <w:tcW w:type="dxa" w:w="3552"/>
            <w:vAlign w:val="center"/>
            <w:tcMar>
              <w:top w:w="50" w:type="dxa"/>
              <w:start w:w="70" w:type="dxa"/>
              <w:bottom w:w="50" w:type="dxa"/>
              <w:end w:w="70" w:type="dxa"/>
            </w:tcMar>
          </w:tcPr>
          <w:p>
            <w:pPr>
              <w:spacing w:after="20"/>
            </w:pPr>
            <w:r>
              <w:rPr>
                <w:rFonts w:ascii="Aptos" w:hAnsi="Aptos" w:eastAsia="Aptos"/>
                <w:sz w:val="16"/>
              </w:rPr>
              <w:t>L4</w:t>
            </w:r>
          </w:p>
        </w:tc>
        <w:tc>
          <w:tcPr>
            <w:tcW w:type="dxa" w:w="3552"/>
            <w:vAlign w:val="center"/>
            <w:tcMar>
              <w:top w:w="50" w:type="dxa"/>
              <w:start w:w="70" w:type="dxa"/>
              <w:bottom w:w="50" w:type="dxa"/>
              <w:end w:w="70" w:type="dxa"/>
            </w:tcMar>
          </w:tcPr>
          <w:p>
            <w:pPr>
              <w:spacing w:after="20"/>
            </w:pPr>
            <w:r>
              <w:rPr>
                <w:rFonts w:ascii="Aptos" w:hAnsi="Aptos" w:eastAsia="Aptos"/>
                <w:sz w:val="16"/>
              </w:rPr>
              <w:t>Local repository files and runtime configuration</w:t>
            </w:r>
          </w:p>
        </w:tc>
        <w:tc>
          <w:tcPr>
            <w:tcW w:type="dxa" w:w="3552"/>
            <w:vAlign w:val="center"/>
            <w:tcMar>
              <w:top w:w="50" w:type="dxa"/>
              <w:start w:w="70" w:type="dxa"/>
              <w:bottom w:w="50" w:type="dxa"/>
              <w:end w:w="70" w:type="dxa"/>
            </w:tcMar>
          </w:tcPr>
          <w:p>
            <w:pPr>
              <w:spacing w:after="20"/>
            </w:pPr>
            <w:r>
              <w:rPr>
                <w:rFonts w:ascii="Aptos" w:hAnsi="Aptos" w:eastAsia="Aptos"/>
                <w:sz w:val="16"/>
              </w:rPr>
              <w:t>Must not weaken this register.</w:t>
            </w:r>
          </w:p>
        </w:tc>
      </w:tr>
    </w:tbl>
    <w:p>
      <w:pPr/>
    </w:p>
    <w:p>
      <w:pPr/>
      <w:r>
        <w:rPr>
          <w:rFonts w:ascii="Aptos" w:hAnsi="Aptos" w:eastAsia="Aptos"/>
        </w:rPr>
        <w:t>If this register conflicts with a higher authority, the higher authority controls and this register must be corrected through an ADR or TDL.</w:t>
      </w:r>
    </w:p>
    <w:p>
      <w:pPr>
        <w:pStyle w:val="Heading1"/>
        <w:pBdr>
          <w:bottom w:val="single" w:sz="8" w:space="1" w:color="D9EAF7"/>
        </w:pBdr>
      </w:pPr>
      <w:r>
        <w:t>3. Non-Negotiable Register Principles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ID</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Principle</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Operational Meaning</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DCRE-01</w:t>
            </w:r>
          </w:p>
        </w:tc>
        <w:tc>
          <w:tcPr>
            <w:tcW w:type="dxa" w:w="3552"/>
            <w:vAlign w:val="center"/>
            <w:tcMar>
              <w:top w:w="50" w:type="dxa"/>
              <w:start w:w="70" w:type="dxa"/>
              <w:bottom w:w="50" w:type="dxa"/>
              <w:end w:w="70" w:type="dxa"/>
            </w:tcMar>
          </w:tcPr>
          <w:p>
            <w:pPr>
              <w:spacing w:after="20"/>
            </w:pPr>
            <w:r>
              <w:rPr>
                <w:rFonts w:ascii="Aptos" w:hAnsi="Aptos" w:eastAsia="Aptos"/>
                <w:sz w:val="16"/>
              </w:rPr>
              <w:t>Classify before use</w:t>
            </w:r>
          </w:p>
        </w:tc>
        <w:tc>
          <w:tcPr>
            <w:tcW w:type="dxa" w:w="3552"/>
            <w:vAlign w:val="center"/>
            <w:tcMar>
              <w:top w:w="50" w:type="dxa"/>
              <w:start w:w="70" w:type="dxa"/>
              <w:bottom w:w="50" w:type="dxa"/>
              <w:end w:w="70" w:type="dxa"/>
            </w:tcMar>
          </w:tcPr>
          <w:p>
            <w:pPr>
              <w:spacing w:after="20"/>
            </w:pPr>
            <w:r>
              <w:rPr>
                <w:rFonts w:ascii="Aptos" w:hAnsi="Aptos" w:eastAsia="Aptos"/>
                <w:sz w:val="16"/>
              </w:rPr>
              <w:t>Artifacts must be classified before storage, indexing, prompting, caching, publication, or model routing.</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DCRE-02</w:t>
            </w:r>
          </w:p>
        </w:tc>
        <w:tc>
          <w:tcPr>
            <w:tcW w:type="dxa" w:w="3552"/>
            <w:vAlign w:val="center"/>
            <w:tcMar>
              <w:top w:w="50" w:type="dxa"/>
              <w:start w:w="70" w:type="dxa"/>
              <w:bottom w:w="50" w:type="dxa"/>
              <w:end w:w="70" w:type="dxa"/>
            </w:tcMar>
          </w:tcPr>
          <w:p>
            <w:pPr>
              <w:spacing w:after="20"/>
            </w:pPr>
            <w:r>
              <w:rPr>
                <w:rFonts w:ascii="Aptos" w:hAnsi="Aptos" w:eastAsia="Aptos"/>
                <w:sz w:val="16"/>
              </w:rPr>
              <w:t>Raw source remains authoritative</w:t>
            </w:r>
          </w:p>
        </w:tc>
        <w:tc>
          <w:tcPr>
            <w:tcW w:type="dxa" w:w="3552"/>
            <w:vAlign w:val="center"/>
            <w:tcMar>
              <w:top w:w="50" w:type="dxa"/>
              <w:start w:w="70" w:type="dxa"/>
              <w:bottom w:w="50" w:type="dxa"/>
              <w:end w:w="70" w:type="dxa"/>
            </w:tcMar>
          </w:tcPr>
          <w:p>
            <w:pPr>
              <w:spacing w:after="20"/>
            </w:pPr>
            <w:r>
              <w:rPr>
                <w:rFonts w:ascii="Aptos" w:hAnsi="Aptos" w:eastAsia="Aptos"/>
                <w:sz w:val="16"/>
              </w:rPr>
              <w:t>Git, OpenKM, PostgreSQL, workflow histories, audit stores, and approved evidence repositories remain authoritative. Embeddings, summaries, indexes, and caches are derivative.</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DCRE-03</w:t>
            </w:r>
          </w:p>
        </w:tc>
        <w:tc>
          <w:tcPr>
            <w:tcW w:type="dxa" w:w="3552"/>
            <w:vAlign w:val="center"/>
            <w:tcMar>
              <w:top w:w="50" w:type="dxa"/>
              <w:start w:w="70" w:type="dxa"/>
              <w:bottom w:w="50" w:type="dxa"/>
              <w:end w:w="70" w:type="dxa"/>
            </w:tcMar>
          </w:tcPr>
          <w:p>
            <w:pPr>
              <w:spacing w:after="20"/>
            </w:pPr>
            <w:r>
              <w:rPr>
                <w:rFonts w:ascii="Aptos" w:hAnsi="Aptos" w:eastAsia="Aptos"/>
                <w:sz w:val="16"/>
              </w:rPr>
              <w:t>Classification drives controls</w:t>
            </w:r>
          </w:p>
        </w:tc>
        <w:tc>
          <w:tcPr>
            <w:tcW w:type="dxa" w:w="3552"/>
            <w:vAlign w:val="center"/>
            <w:tcMar>
              <w:top w:w="50" w:type="dxa"/>
              <w:start w:w="70" w:type="dxa"/>
              <w:bottom w:w="50" w:type="dxa"/>
              <w:end w:w="70" w:type="dxa"/>
            </w:tcMar>
          </w:tcPr>
          <w:p>
            <w:pPr>
              <w:spacing w:after="20"/>
            </w:pPr>
            <w:r>
              <w:rPr>
                <w:rFonts w:ascii="Aptos" w:hAnsi="Aptos" w:eastAsia="Aptos"/>
                <w:sz w:val="16"/>
              </w:rPr>
              <w:t>Classification determines ACL, encryption, masking, logging, retention, routing, approval, and disposal.</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DCRE-04</w:t>
            </w:r>
          </w:p>
        </w:tc>
        <w:tc>
          <w:tcPr>
            <w:tcW w:type="dxa" w:w="3552"/>
            <w:vAlign w:val="center"/>
            <w:tcMar>
              <w:top w:w="50" w:type="dxa"/>
              <w:start w:w="70" w:type="dxa"/>
              <w:bottom w:w="50" w:type="dxa"/>
              <w:end w:w="70" w:type="dxa"/>
            </w:tcMar>
          </w:tcPr>
          <w:p>
            <w:pPr>
              <w:spacing w:after="20"/>
            </w:pPr>
            <w:r>
              <w:rPr>
                <w:rFonts w:ascii="Aptos" w:hAnsi="Aptos" w:eastAsia="Aptos"/>
                <w:sz w:val="16"/>
              </w:rPr>
              <w:t>Prompt eligibility is explicit</w:t>
            </w:r>
          </w:p>
        </w:tc>
        <w:tc>
          <w:tcPr>
            <w:tcW w:type="dxa" w:w="3552"/>
            <w:vAlign w:val="center"/>
            <w:tcMar>
              <w:top w:w="50" w:type="dxa"/>
              <w:start w:w="70" w:type="dxa"/>
              <w:bottom w:w="50" w:type="dxa"/>
              <w:end w:w="70" w:type="dxa"/>
            </w:tcMar>
          </w:tcPr>
          <w:p>
            <w:pPr>
              <w:spacing w:after="20"/>
            </w:pPr>
            <w:r>
              <w:rPr>
                <w:rFonts w:ascii="Aptos" w:hAnsi="Aptos" w:eastAsia="Aptos"/>
                <w:sz w:val="16"/>
              </w:rPr>
              <w:t>No data enters an AI prompt unless the register or policy permits it.</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DCRE-05</w:t>
            </w:r>
          </w:p>
        </w:tc>
        <w:tc>
          <w:tcPr>
            <w:tcW w:type="dxa" w:w="3552"/>
            <w:vAlign w:val="center"/>
            <w:tcMar>
              <w:top w:w="50" w:type="dxa"/>
              <w:start w:w="70" w:type="dxa"/>
              <w:bottom w:w="50" w:type="dxa"/>
              <w:end w:w="70" w:type="dxa"/>
            </w:tcMar>
          </w:tcPr>
          <w:p>
            <w:pPr>
              <w:spacing w:after="20"/>
            </w:pPr>
            <w:r>
              <w:rPr>
                <w:rFonts w:ascii="Aptos" w:hAnsi="Aptos" w:eastAsia="Aptos"/>
                <w:sz w:val="16"/>
              </w:rPr>
              <w:t>Evidence is retained by class</w:t>
            </w:r>
          </w:p>
        </w:tc>
        <w:tc>
          <w:tcPr>
            <w:tcW w:type="dxa" w:w="3552"/>
            <w:vAlign w:val="center"/>
            <w:tcMar>
              <w:top w:w="50" w:type="dxa"/>
              <w:start w:w="70" w:type="dxa"/>
              <w:bottom w:w="50" w:type="dxa"/>
              <w:end w:w="70" w:type="dxa"/>
            </w:tcMar>
          </w:tcPr>
          <w:p>
            <w:pPr>
              <w:spacing w:after="20"/>
            </w:pPr>
            <w:r>
              <w:rPr>
                <w:rFonts w:ascii="Aptos" w:hAnsi="Aptos" w:eastAsia="Aptos"/>
                <w:sz w:val="16"/>
              </w:rPr>
              <w:t>Evidence retention follows artifact type, risk, lifecycle state, and compliance need.</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DCRE-06</w:t>
            </w:r>
          </w:p>
        </w:tc>
        <w:tc>
          <w:tcPr>
            <w:tcW w:type="dxa" w:w="3552"/>
            <w:vAlign w:val="center"/>
            <w:tcMar>
              <w:top w:w="50" w:type="dxa"/>
              <w:start w:w="70" w:type="dxa"/>
              <w:bottom w:w="50" w:type="dxa"/>
              <w:end w:w="70" w:type="dxa"/>
            </w:tcMar>
          </w:tcPr>
          <w:p>
            <w:pPr>
              <w:spacing w:after="20"/>
            </w:pPr>
            <w:r>
              <w:rPr>
                <w:rFonts w:ascii="Aptos" w:hAnsi="Aptos" w:eastAsia="Aptos"/>
                <w:sz w:val="16"/>
              </w:rPr>
              <w:t>Legal hold blocks disposal</w:t>
            </w:r>
          </w:p>
        </w:tc>
        <w:tc>
          <w:tcPr>
            <w:tcW w:type="dxa" w:w="3552"/>
            <w:vAlign w:val="center"/>
            <w:tcMar>
              <w:top w:w="50" w:type="dxa"/>
              <w:start w:w="70" w:type="dxa"/>
              <w:bottom w:w="50" w:type="dxa"/>
              <w:end w:w="70" w:type="dxa"/>
            </w:tcMar>
          </w:tcPr>
          <w:p>
            <w:pPr>
              <w:spacing w:after="20"/>
            </w:pPr>
            <w:r>
              <w:rPr>
                <w:rFonts w:ascii="Aptos" w:hAnsi="Aptos" w:eastAsia="Aptos"/>
                <w:sz w:val="16"/>
              </w:rPr>
              <w:t>Any legal, regulatory, audit, incident, or executive hold suspends purge until formally released.</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DCRE-07</w:t>
            </w:r>
          </w:p>
        </w:tc>
        <w:tc>
          <w:tcPr>
            <w:tcW w:type="dxa" w:w="3552"/>
            <w:vAlign w:val="center"/>
            <w:tcMar>
              <w:top w:w="50" w:type="dxa"/>
              <w:start w:w="70" w:type="dxa"/>
              <w:bottom w:w="50" w:type="dxa"/>
              <w:end w:w="70" w:type="dxa"/>
            </w:tcMar>
          </w:tcPr>
          <w:p>
            <w:pPr>
              <w:spacing w:after="20"/>
            </w:pPr>
            <w:r>
              <w:rPr>
                <w:rFonts w:ascii="Aptos" w:hAnsi="Aptos" w:eastAsia="Aptos"/>
                <w:sz w:val="16"/>
              </w:rPr>
              <w:t>Derivatives expire with their sources</w:t>
            </w:r>
          </w:p>
        </w:tc>
        <w:tc>
          <w:tcPr>
            <w:tcW w:type="dxa" w:w="3552"/>
            <w:vAlign w:val="center"/>
            <w:tcMar>
              <w:top w:w="50" w:type="dxa"/>
              <w:start w:w="70" w:type="dxa"/>
              <w:bottom w:w="50" w:type="dxa"/>
              <w:end w:w="70" w:type="dxa"/>
            </w:tcMar>
          </w:tcPr>
          <w:p>
            <w:pPr>
              <w:spacing w:after="20"/>
            </w:pPr>
            <w:r>
              <w:rPr>
                <w:rFonts w:ascii="Aptos" w:hAnsi="Aptos" w:eastAsia="Aptos"/>
                <w:sz w:val="16"/>
              </w:rPr>
              <w:t>Chunks, embeddings, summaries, graph edges, cache entries, and LLM Wiki artifacts must be invalidated or rebuilt when the source is superseded, purged, or reclassified.</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DCRE-08</w:t>
            </w:r>
          </w:p>
        </w:tc>
        <w:tc>
          <w:tcPr>
            <w:tcW w:type="dxa" w:w="3552"/>
            <w:vAlign w:val="center"/>
            <w:tcMar>
              <w:top w:w="50" w:type="dxa"/>
              <w:start w:w="70" w:type="dxa"/>
              <w:bottom w:w="50" w:type="dxa"/>
              <w:end w:w="70" w:type="dxa"/>
            </w:tcMar>
          </w:tcPr>
          <w:p>
            <w:pPr>
              <w:spacing w:after="20"/>
            </w:pPr>
            <w:r>
              <w:rPr>
                <w:rFonts w:ascii="Aptos" w:hAnsi="Aptos" w:eastAsia="Aptos"/>
                <w:sz w:val="16"/>
              </w:rPr>
              <w:t>Disposal is evidenced</w:t>
            </w:r>
          </w:p>
        </w:tc>
        <w:tc>
          <w:tcPr>
            <w:tcW w:type="dxa" w:w="3552"/>
            <w:vAlign w:val="center"/>
            <w:tcMar>
              <w:top w:w="50" w:type="dxa"/>
              <w:start w:w="70" w:type="dxa"/>
              <w:bottom w:w="50" w:type="dxa"/>
              <w:end w:w="70" w:type="dxa"/>
            </w:tcMar>
          </w:tcPr>
          <w:p>
            <w:pPr>
              <w:spacing w:after="20"/>
            </w:pPr>
            <w:r>
              <w:rPr>
                <w:rFonts w:ascii="Aptos" w:hAnsi="Aptos" w:eastAsia="Aptos"/>
                <w:sz w:val="16"/>
              </w:rPr>
              <w:t>Deletion, purge, supersedence, archival, and cache invalidation must produce evidence.</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DCRE-09</w:t>
            </w:r>
          </w:p>
        </w:tc>
        <w:tc>
          <w:tcPr>
            <w:tcW w:type="dxa" w:w="3552"/>
            <w:vAlign w:val="center"/>
            <w:tcMar>
              <w:top w:w="50" w:type="dxa"/>
              <w:start w:w="70" w:type="dxa"/>
              <w:bottom w:w="50" w:type="dxa"/>
              <w:end w:w="70" w:type="dxa"/>
            </w:tcMar>
          </w:tcPr>
          <w:p>
            <w:pPr>
              <w:spacing w:after="20"/>
            </w:pPr>
            <w:r>
              <w:rPr>
                <w:rFonts w:ascii="Aptos" w:hAnsi="Aptos" w:eastAsia="Aptos"/>
                <w:sz w:val="16"/>
              </w:rPr>
              <w:t>AI outputs are data</w:t>
            </w:r>
          </w:p>
        </w:tc>
        <w:tc>
          <w:tcPr>
            <w:tcW w:type="dxa" w:w="3552"/>
            <w:vAlign w:val="center"/>
            <w:tcMar>
              <w:top w:w="50" w:type="dxa"/>
              <w:start w:w="70" w:type="dxa"/>
              <w:bottom w:w="50" w:type="dxa"/>
              <w:end w:w="70" w:type="dxa"/>
            </w:tcMar>
          </w:tcPr>
          <w:p>
            <w:pPr>
              <w:spacing w:after="20"/>
            </w:pPr>
            <w:r>
              <w:rPr>
                <w:rFonts w:ascii="Aptos" w:hAnsi="Aptos" w:eastAsia="Aptos"/>
                <w:sz w:val="16"/>
              </w:rPr>
              <w:t>Model outputs, agent decisions, prompt logs, retrieval packs, and evaluation results are classified artifacts.</w:t>
            </w:r>
          </w:p>
        </w:tc>
      </w:tr>
      <w:tr>
        <w:tc>
          <w:tcPr>
            <w:tcW w:type="dxa" w:w="3552"/>
            <w:vAlign w:val="center"/>
            <w:tcMar>
              <w:top w:w="50" w:type="dxa"/>
              <w:start w:w="70" w:type="dxa"/>
              <w:bottom w:w="50" w:type="dxa"/>
              <w:end w:w="70" w:type="dxa"/>
            </w:tcMar>
          </w:tcPr>
          <w:p>
            <w:pPr>
              <w:spacing w:after="20"/>
            </w:pPr>
            <w:r>
              <w:rPr>
                <w:rFonts w:ascii="Aptos" w:hAnsi="Aptos" w:eastAsia="Aptos"/>
                <w:sz w:val="16"/>
              </w:rPr>
              <w:t>DCRE-10</w:t>
            </w:r>
          </w:p>
        </w:tc>
        <w:tc>
          <w:tcPr>
            <w:tcW w:type="dxa" w:w="3552"/>
            <w:vAlign w:val="center"/>
            <w:tcMar>
              <w:top w:w="50" w:type="dxa"/>
              <w:start w:w="70" w:type="dxa"/>
              <w:bottom w:w="50" w:type="dxa"/>
              <w:end w:w="70" w:type="dxa"/>
            </w:tcMar>
          </w:tcPr>
          <w:p>
            <w:pPr>
              <w:spacing w:after="20"/>
            </w:pPr>
            <w:r>
              <w:rPr>
                <w:rFonts w:ascii="Aptos" w:hAnsi="Aptos" w:eastAsia="Aptos"/>
                <w:sz w:val="16"/>
              </w:rPr>
              <w:t>AVCI is mandatory</w:t>
            </w:r>
          </w:p>
        </w:tc>
        <w:tc>
          <w:tcPr>
            <w:tcW w:type="dxa" w:w="3552"/>
            <w:vAlign w:val="center"/>
            <w:tcMar>
              <w:top w:w="50" w:type="dxa"/>
              <w:start w:w="70" w:type="dxa"/>
              <w:bottom w:w="50" w:type="dxa"/>
              <w:end w:w="70" w:type="dxa"/>
            </w:tcMar>
          </w:tcPr>
          <w:p>
            <w:pPr>
              <w:spacing w:after="20"/>
            </w:pPr>
            <w:r>
              <w:rPr>
                <w:rFonts w:ascii="Aptos" w:hAnsi="Aptos" w:eastAsia="Aptos"/>
                <w:sz w:val="16"/>
              </w:rPr>
              <w:t>Every register entry must have owner, source, verification evidence, classification, and improvement path.</w:t>
            </w:r>
          </w:p>
        </w:tc>
      </w:tr>
    </w:tbl>
    <w:p>
      <w:pPr/>
    </w:p>
    <w:p>
      <w:pPr>
        <w:pStyle w:val="Heading1"/>
        <w:pBdr>
          <w:bottom w:val="single" w:sz="8" w:space="1" w:color="D9EAF7"/>
        </w:pBdr>
      </w:pPr>
      <w:r>
        <w:t>4. Classification Model and Handling Matrix</w:t>
      </w:r>
    </w:p>
    <w:p>
      <w:pPr>
        <w:pStyle w:val="Callout"/>
      </w:pPr>
      <w:r>
        <w:rPr>
          <w:rFonts w:ascii="Aptos" w:hAnsi="Aptos" w:eastAsia="Aptos"/>
        </w:rPr>
        <w:t>AIRA uses four primary classification levels. The default classification for internal engineering artifacts is Internal unless a stricter rule applies. When uncertain, classify upward until reviewed.</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Classification</w:t>
            </w:r>
          </w:p>
        </w:tc>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Description</w:t>
            </w:r>
          </w:p>
        </w:tc>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Typical Examples</w:t>
            </w:r>
          </w:p>
        </w:tc>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AI Prompt Eligibility</w:t>
            </w:r>
          </w:p>
        </w:tc>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Model Route</w:t>
            </w:r>
          </w:p>
        </w:tc>
        <w:tc>
          <w:tcPr>
            <w:tcW w:type="dxa" w:w="1776"/>
            <w:vAlign w:val="center"/>
            <w:tcMar>
              <w:top w:w="50" w:type="dxa"/>
              <w:start w:w="70" w:type="dxa"/>
              <w:bottom w:w="50" w:type="dxa"/>
              <w:end w:w="70" w:type="dxa"/>
            </w:tcMar>
            <w:shd w:fill="1F4E79"/>
          </w:tcPr>
          <w:p>
            <w:pPr>
              <w:spacing w:after="20"/>
            </w:pPr>
            <w:r>
              <w:rPr>
                <w:rFonts w:ascii="Aptos" w:hAnsi="Aptos" w:eastAsia="Aptos"/>
                <w:b/>
                <w:color w:val="FFFFFF"/>
                <w:sz w:val="14"/>
              </w:rPr>
              <w:t>Minimum Handling</w:t>
            </w:r>
          </w:p>
        </w:tc>
      </w:tr>
      <w:tr>
        <w:tc>
          <w:tcPr>
            <w:tcW w:type="dxa" w:w="1776"/>
            <w:vAlign w:val="center"/>
            <w:tcMar>
              <w:top w:w="50" w:type="dxa"/>
              <w:start w:w="70" w:type="dxa"/>
              <w:bottom w:w="50" w:type="dxa"/>
              <w:end w:w="70" w:type="dxa"/>
            </w:tcMar>
          </w:tcPr>
          <w:p>
            <w:pPr>
              <w:spacing w:after="20"/>
            </w:pPr>
            <w:r>
              <w:rPr>
                <w:rFonts w:ascii="Aptos" w:hAnsi="Aptos" w:eastAsia="Aptos"/>
                <w:sz w:val="14"/>
              </w:rPr>
              <w:t>Public</w:t>
            </w:r>
          </w:p>
        </w:tc>
        <w:tc>
          <w:tcPr>
            <w:tcW w:type="dxa" w:w="1776"/>
            <w:vAlign w:val="center"/>
            <w:tcMar>
              <w:top w:w="50" w:type="dxa"/>
              <w:start w:w="70" w:type="dxa"/>
              <w:bottom w:w="50" w:type="dxa"/>
              <w:end w:w="70" w:type="dxa"/>
            </w:tcMar>
          </w:tcPr>
          <w:p>
            <w:pPr>
              <w:spacing w:after="20"/>
            </w:pPr>
            <w:r>
              <w:rPr>
                <w:rFonts w:ascii="Aptos" w:hAnsi="Aptos" w:eastAsia="Aptos"/>
                <w:sz w:val="14"/>
              </w:rPr>
              <w:t>Approved for public disclosure.</w:t>
            </w:r>
          </w:p>
        </w:tc>
        <w:tc>
          <w:tcPr>
            <w:tcW w:type="dxa" w:w="1776"/>
            <w:vAlign w:val="center"/>
            <w:tcMar>
              <w:top w:w="50" w:type="dxa"/>
              <w:start w:w="70" w:type="dxa"/>
              <w:bottom w:w="50" w:type="dxa"/>
              <w:end w:w="70" w:type="dxa"/>
            </w:tcMar>
          </w:tcPr>
          <w:p>
            <w:pPr>
              <w:spacing w:after="20"/>
            </w:pPr>
            <w:r>
              <w:rPr>
                <w:rFonts w:ascii="Aptos" w:hAnsi="Aptos" w:eastAsia="Aptos"/>
                <w:sz w:val="14"/>
              </w:rPr>
              <w:t>Published website text, public open-source documentation, publicly released architecture summaries.</w:t>
            </w:r>
          </w:p>
        </w:tc>
        <w:tc>
          <w:tcPr>
            <w:tcW w:type="dxa" w:w="1776"/>
            <w:vAlign w:val="center"/>
            <w:tcMar>
              <w:top w:w="50" w:type="dxa"/>
              <w:start w:w="70" w:type="dxa"/>
              <w:bottom w:w="50" w:type="dxa"/>
              <w:end w:w="70" w:type="dxa"/>
            </w:tcMar>
          </w:tcPr>
          <w:p>
            <w:pPr>
              <w:spacing w:after="20"/>
            </w:pPr>
            <w:r>
              <w:rPr>
                <w:rFonts w:ascii="Aptos" w:hAnsi="Aptos" w:eastAsia="Aptos"/>
                <w:sz w:val="14"/>
              </w:rPr>
              <w:t>Allowed if citation and source are tracked.</w:t>
            </w:r>
          </w:p>
        </w:tc>
        <w:tc>
          <w:tcPr>
            <w:tcW w:type="dxa" w:w="1776"/>
            <w:vAlign w:val="center"/>
            <w:tcMar>
              <w:top w:w="50" w:type="dxa"/>
              <w:start w:w="70" w:type="dxa"/>
              <w:bottom w:w="50" w:type="dxa"/>
              <w:end w:w="70" w:type="dxa"/>
            </w:tcMar>
          </w:tcPr>
          <w:p>
            <w:pPr>
              <w:spacing w:after="20"/>
            </w:pPr>
            <w:r>
              <w:rPr>
                <w:rFonts w:ascii="Aptos" w:hAnsi="Aptos" w:eastAsia="Aptos"/>
                <w:sz w:val="14"/>
              </w:rPr>
              <w:t>Approved cloud or local route.</w:t>
            </w:r>
          </w:p>
        </w:tc>
        <w:tc>
          <w:tcPr>
            <w:tcW w:type="dxa" w:w="1776"/>
            <w:vAlign w:val="center"/>
            <w:tcMar>
              <w:top w:w="50" w:type="dxa"/>
              <w:start w:w="70" w:type="dxa"/>
              <w:bottom w:w="50" w:type="dxa"/>
              <w:end w:w="70" w:type="dxa"/>
            </w:tcMar>
          </w:tcPr>
          <w:p>
            <w:pPr>
              <w:spacing w:after="20"/>
            </w:pPr>
            <w:r>
              <w:rPr>
                <w:rFonts w:ascii="Aptos" w:hAnsi="Aptos" w:eastAsia="Aptos"/>
                <w:sz w:val="14"/>
              </w:rPr>
              <w:t>Source citation, integrity check, no false attribution.</w:t>
            </w:r>
          </w:p>
        </w:tc>
      </w:tr>
      <w:tr>
        <w:tc>
          <w:tcPr>
            <w:tcW w:type="dxa" w:w="1776"/>
            <w:vAlign w:val="center"/>
            <w:tcMar>
              <w:top w:w="50" w:type="dxa"/>
              <w:start w:w="70" w:type="dxa"/>
              <w:bottom w:w="50" w:type="dxa"/>
              <w:end w:w="70" w:type="dxa"/>
            </w:tcMar>
          </w:tcPr>
          <w:p>
            <w:pPr>
              <w:spacing w:after="20"/>
            </w:pPr>
            <w:r>
              <w:rPr>
                <w:rFonts w:ascii="Aptos" w:hAnsi="Aptos" w:eastAsia="Aptos"/>
                <w:sz w:val="14"/>
              </w:rPr>
              <w:t>Internal</w:t>
            </w:r>
          </w:p>
        </w:tc>
        <w:tc>
          <w:tcPr>
            <w:tcW w:type="dxa" w:w="1776"/>
            <w:vAlign w:val="center"/>
            <w:tcMar>
              <w:top w:w="50" w:type="dxa"/>
              <w:start w:w="70" w:type="dxa"/>
              <w:bottom w:w="50" w:type="dxa"/>
              <w:end w:w="70" w:type="dxa"/>
            </w:tcMar>
          </w:tcPr>
          <w:p>
            <w:pPr>
              <w:spacing w:after="20"/>
            </w:pPr>
            <w:r>
              <w:rPr>
                <w:rFonts w:ascii="Aptos" w:hAnsi="Aptos" w:eastAsia="Aptos"/>
                <w:sz w:val="14"/>
              </w:rPr>
              <w:t>Business or engineering information not intended for public release.</w:t>
            </w:r>
          </w:p>
        </w:tc>
        <w:tc>
          <w:tcPr>
            <w:tcW w:type="dxa" w:w="1776"/>
            <w:vAlign w:val="center"/>
            <w:tcMar>
              <w:top w:w="50" w:type="dxa"/>
              <w:start w:w="70" w:type="dxa"/>
              <w:bottom w:w="50" w:type="dxa"/>
              <w:end w:w="70" w:type="dxa"/>
            </w:tcMar>
          </w:tcPr>
          <w:p>
            <w:pPr>
              <w:spacing w:after="20"/>
            </w:pPr>
            <w:r>
              <w:rPr>
                <w:rFonts w:ascii="Aptos" w:hAnsi="Aptos" w:eastAsia="Aptos"/>
                <w:sz w:val="14"/>
              </w:rPr>
              <w:t>Developer guides, internal standards, sanitized examples, non-sensitive diagrams.</w:t>
            </w:r>
          </w:p>
        </w:tc>
        <w:tc>
          <w:tcPr>
            <w:tcW w:type="dxa" w:w="1776"/>
            <w:vAlign w:val="center"/>
            <w:tcMar>
              <w:top w:w="50" w:type="dxa"/>
              <w:start w:w="70" w:type="dxa"/>
              <w:bottom w:w="50" w:type="dxa"/>
              <w:end w:w="70" w:type="dxa"/>
            </w:tcMar>
          </w:tcPr>
          <w:p>
            <w:pPr>
              <w:spacing w:after="20"/>
            </w:pPr>
            <w:r>
              <w:rPr>
                <w:rFonts w:ascii="Aptos" w:hAnsi="Aptos" w:eastAsia="Aptos"/>
                <w:sz w:val="14"/>
              </w:rPr>
              <w:t>Allowed in approved workspace when policy permits.</w:t>
            </w:r>
          </w:p>
        </w:tc>
        <w:tc>
          <w:tcPr>
            <w:tcW w:type="dxa" w:w="1776"/>
            <w:vAlign w:val="center"/>
            <w:tcMar>
              <w:top w:w="50" w:type="dxa"/>
              <w:start w:w="70" w:type="dxa"/>
              <w:bottom w:w="50" w:type="dxa"/>
              <w:end w:w="70" w:type="dxa"/>
            </w:tcMar>
          </w:tcPr>
          <w:p>
            <w:pPr>
              <w:spacing w:after="20"/>
            </w:pPr>
            <w:r>
              <w:rPr>
                <w:rFonts w:ascii="Aptos" w:hAnsi="Aptos" w:eastAsia="Aptos"/>
                <w:sz w:val="14"/>
              </w:rPr>
              <w:t>Approved cloud or local route.</w:t>
            </w:r>
          </w:p>
        </w:tc>
        <w:tc>
          <w:tcPr>
            <w:tcW w:type="dxa" w:w="1776"/>
            <w:vAlign w:val="center"/>
            <w:tcMar>
              <w:top w:w="50" w:type="dxa"/>
              <w:start w:w="70" w:type="dxa"/>
              <w:bottom w:w="50" w:type="dxa"/>
              <w:end w:w="70" w:type="dxa"/>
            </w:tcMar>
          </w:tcPr>
          <w:p>
            <w:pPr>
              <w:spacing w:after="20"/>
            </w:pPr>
            <w:r>
              <w:rPr>
                <w:rFonts w:ascii="Aptos" w:hAnsi="Aptos" w:eastAsia="Aptos"/>
                <w:sz w:val="14"/>
              </w:rPr>
              <w:t>Named access, repository controls, no personal accounts.</w:t>
            </w:r>
          </w:p>
        </w:tc>
      </w:tr>
      <w:tr>
        <w:tc>
          <w:tcPr>
            <w:tcW w:type="dxa" w:w="1776"/>
            <w:vAlign w:val="center"/>
            <w:tcMar>
              <w:top w:w="50" w:type="dxa"/>
              <w:start w:w="70" w:type="dxa"/>
              <w:bottom w:w="50" w:type="dxa"/>
              <w:end w:w="70" w:type="dxa"/>
            </w:tcMar>
          </w:tcPr>
          <w:p>
            <w:pPr>
              <w:spacing w:after="20"/>
            </w:pPr>
            <w:r>
              <w:rPr>
                <w:rFonts w:ascii="Aptos" w:hAnsi="Aptos" w:eastAsia="Aptos"/>
                <w:sz w:val="14"/>
              </w:rPr>
              <w:t>Confidential</w:t>
            </w:r>
          </w:p>
        </w:tc>
        <w:tc>
          <w:tcPr>
            <w:tcW w:type="dxa" w:w="1776"/>
            <w:vAlign w:val="center"/>
            <w:tcMar>
              <w:top w:w="50" w:type="dxa"/>
              <w:start w:w="70" w:type="dxa"/>
              <w:bottom w:w="50" w:type="dxa"/>
              <w:end w:w="70" w:type="dxa"/>
            </w:tcMar>
          </w:tcPr>
          <w:p>
            <w:pPr>
              <w:spacing w:after="20"/>
            </w:pPr>
            <w:r>
              <w:rPr>
                <w:rFonts w:ascii="Aptos" w:hAnsi="Aptos" w:eastAsia="Aptos"/>
                <w:sz w:val="14"/>
              </w:rPr>
              <w:t>Sensitive business, architecture, security, operational, or regulated information.</w:t>
            </w:r>
          </w:p>
        </w:tc>
        <w:tc>
          <w:tcPr>
            <w:tcW w:type="dxa" w:w="1776"/>
            <w:vAlign w:val="center"/>
            <w:tcMar>
              <w:top w:w="50" w:type="dxa"/>
              <w:start w:w="70" w:type="dxa"/>
              <w:bottom w:w="50" w:type="dxa"/>
              <w:end w:w="70" w:type="dxa"/>
            </w:tcMar>
          </w:tcPr>
          <w:p>
            <w:pPr>
              <w:spacing w:after="20"/>
            </w:pPr>
            <w:r>
              <w:rPr>
                <w:rFonts w:ascii="Aptos" w:hAnsi="Aptos" w:eastAsia="Aptos"/>
                <w:sz w:val="14"/>
              </w:rPr>
              <w:t>Security design, internal architecture, system topology, access-control rules, non-public vendor details.</w:t>
            </w:r>
          </w:p>
        </w:tc>
        <w:tc>
          <w:tcPr>
            <w:tcW w:type="dxa" w:w="1776"/>
            <w:vAlign w:val="center"/>
            <w:tcMar>
              <w:top w:w="50" w:type="dxa"/>
              <w:start w:w="70" w:type="dxa"/>
              <w:bottom w:w="50" w:type="dxa"/>
              <w:end w:w="70" w:type="dxa"/>
            </w:tcMar>
          </w:tcPr>
          <w:p>
            <w:pPr>
              <w:spacing w:after="20"/>
            </w:pPr>
            <w:r>
              <w:rPr>
                <w:rFonts w:ascii="Aptos" w:hAnsi="Aptos" w:eastAsia="Aptos"/>
                <w:sz w:val="14"/>
              </w:rPr>
              <w:t>Restricted; requires redaction or approved workspace and policy check.</w:t>
            </w:r>
          </w:p>
        </w:tc>
        <w:tc>
          <w:tcPr>
            <w:tcW w:type="dxa" w:w="1776"/>
            <w:vAlign w:val="center"/>
            <w:tcMar>
              <w:top w:w="50" w:type="dxa"/>
              <w:start w:w="70" w:type="dxa"/>
              <w:bottom w:w="50" w:type="dxa"/>
              <w:end w:w="70" w:type="dxa"/>
            </w:tcMar>
          </w:tcPr>
          <w:p>
            <w:pPr>
              <w:spacing w:after="20"/>
            </w:pPr>
            <w:r>
              <w:rPr>
                <w:rFonts w:ascii="Aptos" w:hAnsi="Aptos" w:eastAsia="Aptos"/>
                <w:sz w:val="14"/>
              </w:rPr>
              <w:t>Private/on-prem route preferred; cloud route only by waiver and redaction.</w:t>
            </w:r>
          </w:p>
        </w:tc>
        <w:tc>
          <w:tcPr>
            <w:tcW w:type="dxa" w:w="1776"/>
            <w:vAlign w:val="center"/>
            <w:tcMar>
              <w:top w:w="50" w:type="dxa"/>
              <w:start w:w="70" w:type="dxa"/>
              <w:bottom w:w="50" w:type="dxa"/>
              <w:end w:w="70" w:type="dxa"/>
            </w:tcMar>
          </w:tcPr>
          <w:p>
            <w:pPr>
              <w:spacing w:after="20"/>
            </w:pPr>
            <w:r>
              <w:rPr>
                <w:rFonts w:ascii="Aptos" w:hAnsi="Aptos" w:eastAsia="Aptos"/>
                <w:sz w:val="14"/>
              </w:rPr>
              <w:t>MFA, least privilege, redaction, audit, stricter retention.</w:t>
            </w:r>
          </w:p>
        </w:tc>
      </w:tr>
      <w:tr>
        <w:tc>
          <w:tcPr>
            <w:tcW w:type="dxa" w:w="1776"/>
            <w:vAlign w:val="center"/>
            <w:tcMar>
              <w:top w:w="50" w:type="dxa"/>
              <w:start w:w="70" w:type="dxa"/>
              <w:bottom w:w="50" w:type="dxa"/>
              <w:end w:w="70" w:type="dxa"/>
            </w:tcMar>
          </w:tcPr>
          <w:p>
            <w:pPr>
              <w:spacing w:after="20"/>
            </w:pPr>
            <w:r>
              <w:rPr>
                <w:rFonts w:ascii="Aptos" w:hAnsi="Aptos" w:eastAsia="Aptos"/>
                <w:sz w:val="14"/>
              </w:rPr>
              <w:t>Restricted</w:t>
            </w:r>
          </w:p>
        </w:tc>
        <w:tc>
          <w:tcPr>
            <w:tcW w:type="dxa" w:w="1776"/>
            <w:vAlign w:val="center"/>
            <w:tcMar>
              <w:top w:w="50" w:type="dxa"/>
              <w:start w:w="70" w:type="dxa"/>
              <w:bottom w:w="50" w:type="dxa"/>
              <w:end w:w="70" w:type="dxa"/>
            </w:tcMar>
          </w:tcPr>
          <w:p>
            <w:pPr>
              <w:spacing w:after="20"/>
            </w:pPr>
            <w:r>
              <w:rPr>
                <w:rFonts w:ascii="Aptos" w:hAnsi="Aptos" w:eastAsia="Aptos"/>
                <w:sz w:val="14"/>
              </w:rPr>
              <w:t>Highest-risk information, customer PII, secrets, credentials, production data, regulated records, incident-sensitive artifacts.</w:t>
            </w:r>
          </w:p>
        </w:tc>
        <w:tc>
          <w:tcPr>
            <w:tcW w:type="dxa" w:w="1776"/>
            <w:vAlign w:val="center"/>
            <w:tcMar>
              <w:top w:w="50" w:type="dxa"/>
              <w:start w:w="70" w:type="dxa"/>
              <w:bottom w:w="50" w:type="dxa"/>
              <w:end w:w="70" w:type="dxa"/>
            </w:tcMar>
          </w:tcPr>
          <w:p>
            <w:pPr>
              <w:spacing w:after="20"/>
            </w:pPr>
            <w:r>
              <w:rPr>
                <w:rFonts w:ascii="Aptos" w:hAnsi="Aptos" w:eastAsia="Aptos"/>
                <w:sz w:val="14"/>
              </w:rPr>
              <w:t>Secrets, tokens, raw customer records, production logs with PII, security incident details, privileged access evidence.</w:t>
            </w:r>
          </w:p>
        </w:tc>
        <w:tc>
          <w:tcPr>
            <w:tcW w:type="dxa" w:w="1776"/>
            <w:vAlign w:val="center"/>
            <w:tcMar>
              <w:top w:w="50" w:type="dxa"/>
              <w:start w:w="70" w:type="dxa"/>
              <w:bottom w:w="50" w:type="dxa"/>
              <w:end w:w="70" w:type="dxa"/>
            </w:tcMar>
          </w:tcPr>
          <w:p>
            <w:pPr>
              <w:spacing w:after="20"/>
            </w:pPr>
            <w:r>
              <w:rPr>
                <w:rFonts w:ascii="Aptos" w:hAnsi="Aptos" w:eastAsia="Aptos"/>
                <w:sz w:val="14"/>
              </w:rPr>
              <w:t>Not allowed in cloud prompts; only approved private/on-prem route after redaction and human approval where applicable.</w:t>
            </w:r>
          </w:p>
        </w:tc>
        <w:tc>
          <w:tcPr>
            <w:tcW w:type="dxa" w:w="1776"/>
            <w:vAlign w:val="center"/>
            <w:tcMar>
              <w:top w:w="50" w:type="dxa"/>
              <w:start w:w="70" w:type="dxa"/>
              <w:bottom w:w="50" w:type="dxa"/>
              <w:end w:w="70" w:type="dxa"/>
            </w:tcMar>
          </w:tcPr>
          <w:p>
            <w:pPr>
              <w:spacing w:after="20"/>
            </w:pPr>
            <w:r>
              <w:rPr>
                <w:rFonts w:ascii="Aptos" w:hAnsi="Aptos" w:eastAsia="Aptos"/>
                <w:sz w:val="14"/>
              </w:rPr>
              <w:t>Private/on-prem route only unless executive risk waiver exists.</w:t>
            </w:r>
          </w:p>
        </w:tc>
        <w:tc>
          <w:tcPr>
            <w:tcW w:type="dxa" w:w="1776"/>
            <w:vAlign w:val="center"/>
            <w:tcMar>
              <w:top w:w="50" w:type="dxa"/>
              <w:start w:w="70" w:type="dxa"/>
              <w:bottom w:w="50" w:type="dxa"/>
              <w:end w:w="70" w:type="dxa"/>
            </w:tcMar>
          </w:tcPr>
          <w:p>
            <w:pPr>
              <w:spacing w:after="20"/>
            </w:pPr>
            <w:r>
              <w:rPr>
                <w:rFonts w:ascii="Aptos" w:hAnsi="Aptos" w:eastAsia="Aptos"/>
                <w:sz w:val="14"/>
              </w:rPr>
              <w:t>Strong ACL, encryption, no unmanaged copy, legal hold awareness, strict audit.</w:t>
            </w:r>
          </w:p>
        </w:tc>
      </w:tr>
    </w:tbl>
    <w:p>
      <w:pPr/>
    </w:p>
    <w:p>
      <w:pPr>
        <w:pStyle w:val="Heading2"/>
      </w:pPr>
      <w:r>
        <w:t>4.1 Classification Escalation Triggers</w:t>
      </w:r>
    </w:p>
    <w:p>
      <w:pPr>
        <w:pStyle w:val="Callout"/>
      </w:pPr>
      <w:r>
        <w:rPr>
          <w:rFonts w:ascii="Aptos" w:hAnsi="Aptos" w:eastAsia="Aptos"/>
        </w:rPr>
        <w:t>An artifact must be escalated to Confidential or Restricted when it contains or can expose:</w:t>
      </w:r>
    </w:p>
    <w:p>
      <w:pPr>
        <w:pStyle w:val="ListBullet"/>
        <w:spacing w:after="40"/>
      </w:pPr>
      <w:r>
        <w:rPr>
          <w:rFonts w:ascii="Aptos" w:hAnsi="Aptos" w:eastAsia="Aptos"/>
          <w:sz w:val="18"/>
        </w:rPr>
        <w:t>Customer identity, account information, financial data, collateral data, document images, or regulated personal data.</w:t>
      </w:r>
    </w:p>
    <w:p>
      <w:pPr>
        <w:pStyle w:val="ListBullet"/>
        <w:spacing w:after="40"/>
      </w:pPr>
      <w:r>
        <w:rPr>
          <w:rFonts w:ascii="Aptos" w:hAnsi="Aptos" w:eastAsia="Aptos"/>
          <w:sz w:val="18"/>
        </w:rPr>
        <w:t>Credentials, secrets, tokens, key material, internal IPs where sensitive, privileged access details, break-glass procedures, exploit details, or high-risk vulnerabilities.</w:t>
      </w:r>
    </w:p>
    <w:p>
      <w:pPr>
        <w:pStyle w:val="ListBullet"/>
        <w:spacing w:after="40"/>
      </w:pPr>
      <w:r>
        <w:rPr>
          <w:rFonts w:ascii="Aptos" w:hAnsi="Aptos" w:eastAsia="Aptos"/>
          <w:sz w:val="18"/>
        </w:rPr>
        <w:t>Non-public architecture, security topology, AI model-routing controls, guardrail bypass analysis, incident information, audit findings, or legal matters.</w:t>
      </w:r>
    </w:p>
    <w:p>
      <w:pPr>
        <w:pStyle w:val="ListBullet"/>
        <w:spacing w:after="40"/>
      </w:pPr>
      <w:r>
        <w:rPr>
          <w:rFonts w:ascii="Aptos" w:hAnsi="Aptos" w:eastAsia="Aptos"/>
          <w:sz w:val="18"/>
        </w:rPr>
        <w:t>High-impact decision logic that affects customer outcomes, financial results, access rights, retention, or legal obligations.</w:t>
      </w:r>
    </w:p>
    <w:p>
      <w:pPr>
        <w:pStyle w:val="Heading2"/>
      </w:pPr>
      <w:r>
        <w:t>4.2 Classification Downgrade Rule</w:t>
      </w:r>
    </w:p>
    <w:p>
      <w:pPr>
        <w:pStyle w:val="Callout"/>
      </w:pPr>
      <w:r>
        <w:rPr>
          <w:rFonts w:ascii="Aptos" w:hAnsi="Aptos" w:eastAsia="Aptos"/>
        </w:rPr>
        <w:t>Downgrading classification requires:</w:t>
      </w:r>
    </w:p>
    <w:p>
      <w:pPr>
        <w:pStyle w:val="ListBullet"/>
        <w:spacing w:after="40"/>
      </w:pPr>
      <w:r>
        <w:rPr>
          <w:rFonts w:ascii="Aptos" w:hAnsi="Aptos" w:eastAsia="Aptos"/>
          <w:sz w:val="18"/>
        </w:rPr>
        <w:t>Named data owner approval.</w:t>
      </w:r>
    </w:p>
    <w:p>
      <w:pPr>
        <w:pStyle w:val="ListBullet"/>
        <w:spacing w:after="40"/>
      </w:pPr>
      <w:r>
        <w:rPr>
          <w:rFonts w:ascii="Aptos" w:hAnsi="Aptos" w:eastAsia="Aptos"/>
          <w:sz w:val="18"/>
        </w:rPr>
        <w:t>Security review when Confidential or Restricted is involved.</w:t>
      </w:r>
    </w:p>
    <w:p>
      <w:pPr>
        <w:pStyle w:val="ListBullet"/>
        <w:spacing w:after="40"/>
      </w:pPr>
      <w:r>
        <w:rPr>
          <w:rFonts w:ascii="Aptos" w:hAnsi="Aptos" w:eastAsia="Aptos"/>
          <w:sz w:val="18"/>
        </w:rPr>
        <w:t>Evidence of redaction, anonymization, aggregation, or synthetic transformation.</w:t>
      </w:r>
    </w:p>
    <w:p>
      <w:pPr>
        <w:pStyle w:val="ListBullet"/>
        <w:spacing w:after="40"/>
      </w:pPr>
      <w:r>
        <w:rPr>
          <w:rFonts w:ascii="Aptos" w:hAnsi="Aptos" w:eastAsia="Aptos"/>
          <w:sz w:val="18"/>
        </w:rPr>
        <w:t>Updated register entry with reason, approver, date, and expiry if temporary.</w:t>
      </w:r>
    </w:p>
    <w:p>
      <w:pPr>
        <w:pStyle w:val="ListBullet"/>
        <w:spacing w:after="40"/>
      </w:pPr>
      <w:r>
        <w:rPr>
          <w:rFonts w:ascii="Aptos" w:hAnsi="Aptos" w:eastAsia="Aptos"/>
          <w:sz w:val="18"/>
        </w:rPr>
        <w:t>Re-indexing and cache invalidation of prior derivatives.</w:t>
      </w:r>
    </w:p>
    <w:p>
      <w:pPr>
        <w:pStyle w:val="Heading1"/>
        <w:pBdr>
          <w:bottom w:val="single" w:sz="8" w:space="1" w:color="D9EAF7"/>
        </w:pBdr>
      </w:pPr>
      <w:r>
        <w:t>5. Information Domains, Source Tiers, and Evidence Classes</w:t>
      </w:r>
    </w:p>
    <w:p>
      <w:pPr>
        <w:pStyle w:val="Heading2"/>
      </w:pPr>
      <w:r>
        <w:t>5.1 Information Domains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Domain</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Description</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Typical Owners</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Register Concern</w:t>
            </w:r>
          </w:p>
        </w:tc>
      </w:tr>
      <w:tr>
        <w:tc>
          <w:tcPr>
            <w:tcW w:type="dxa" w:w="2664"/>
            <w:vAlign w:val="center"/>
            <w:tcMar>
              <w:top w:w="50" w:type="dxa"/>
              <w:start w:w="70" w:type="dxa"/>
              <w:bottom w:w="50" w:type="dxa"/>
              <w:end w:w="70" w:type="dxa"/>
            </w:tcMar>
          </w:tcPr>
          <w:p>
            <w:pPr>
              <w:spacing w:after="20"/>
            </w:pPr>
            <w:r>
              <w:rPr>
                <w:rFonts w:ascii="Aptos" w:hAnsi="Aptos" w:eastAsia="Aptos"/>
                <w:sz w:val="16"/>
              </w:rPr>
              <w:t>D1 Governance</w:t>
            </w:r>
          </w:p>
        </w:tc>
        <w:tc>
          <w:tcPr>
            <w:tcW w:type="dxa" w:w="2664"/>
            <w:vAlign w:val="center"/>
            <w:tcMar>
              <w:top w:w="50" w:type="dxa"/>
              <w:start w:w="70" w:type="dxa"/>
              <w:bottom w:w="50" w:type="dxa"/>
              <w:end w:w="70" w:type="dxa"/>
            </w:tcMar>
          </w:tcPr>
          <w:p>
            <w:pPr>
              <w:spacing w:after="20"/>
            </w:pPr>
            <w:r>
              <w:rPr>
                <w:rFonts w:ascii="Aptos" w:hAnsi="Aptos" w:eastAsia="Aptos"/>
                <w:sz w:val="16"/>
              </w:rPr>
              <w:t>Policies, standards, ADRs, approvals, risk decisions.</w:t>
            </w:r>
          </w:p>
        </w:tc>
        <w:tc>
          <w:tcPr>
            <w:tcW w:type="dxa" w:w="2664"/>
            <w:vAlign w:val="center"/>
            <w:tcMar>
              <w:top w:w="50" w:type="dxa"/>
              <w:start w:w="70" w:type="dxa"/>
              <w:bottom w:w="50" w:type="dxa"/>
              <w:end w:w="70" w:type="dxa"/>
            </w:tcMar>
          </w:tcPr>
          <w:p>
            <w:pPr>
              <w:spacing w:after="20"/>
            </w:pPr>
            <w:r>
              <w:rPr>
                <w:rFonts w:ascii="Aptos" w:hAnsi="Aptos" w:eastAsia="Aptos"/>
                <w:sz w:val="16"/>
              </w:rPr>
              <w:t>Architecture, Compliance, Internal Audit.</w:t>
            </w:r>
          </w:p>
        </w:tc>
        <w:tc>
          <w:tcPr>
            <w:tcW w:type="dxa" w:w="2664"/>
            <w:vAlign w:val="center"/>
            <w:tcMar>
              <w:top w:w="50" w:type="dxa"/>
              <w:start w:w="70" w:type="dxa"/>
              <w:bottom w:w="50" w:type="dxa"/>
              <w:end w:w="70" w:type="dxa"/>
            </w:tcMar>
          </w:tcPr>
          <w:p>
            <w:pPr>
              <w:spacing w:after="20"/>
            </w:pPr>
            <w:r>
              <w:rPr>
                <w:rFonts w:ascii="Aptos" w:hAnsi="Aptos" w:eastAsia="Aptos"/>
                <w:sz w:val="16"/>
              </w:rPr>
              <w:t>Authority, review cadence, evidence path.</w:t>
            </w:r>
          </w:p>
        </w:tc>
      </w:tr>
      <w:tr>
        <w:tc>
          <w:tcPr>
            <w:tcW w:type="dxa" w:w="2664"/>
            <w:vAlign w:val="center"/>
            <w:tcMar>
              <w:top w:w="50" w:type="dxa"/>
              <w:start w:w="70" w:type="dxa"/>
              <w:bottom w:w="50" w:type="dxa"/>
              <w:end w:w="70" w:type="dxa"/>
            </w:tcMar>
          </w:tcPr>
          <w:p>
            <w:pPr>
              <w:spacing w:after="20"/>
            </w:pPr>
            <w:r>
              <w:rPr>
                <w:rFonts w:ascii="Aptos" w:hAnsi="Aptos" w:eastAsia="Aptos"/>
                <w:sz w:val="16"/>
              </w:rPr>
              <w:t>D2 Requirements</w:t>
            </w:r>
          </w:p>
        </w:tc>
        <w:tc>
          <w:tcPr>
            <w:tcW w:type="dxa" w:w="2664"/>
            <w:vAlign w:val="center"/>
            <w:tcMar>
              <w:top w:w="50" w:type="dxa"/>
              <w:start w:w="70" w:type="dxa"/>
              <w:bottom w:w="50" w:type="dxa"/>
              <w:end w:w="70" w:type="dxa"/>
            </w:tcMar>
          </w:tcPr>
          <w:p>
            <w:pPr>
              <w:spacing w:after="20"/>
            </w:pPr>
            <w:r>
              <w:rPr>
                <w:rFonts w:ascii="Aptos" w:hAnsi="Aptos" w:eastAsia="Aptos"/>
                <w:sz w:val="16"/>
              </w:rPr>
              <w:t>Epics, stories, acceptance criteria, business rules.</w:t>
            </w:r>
          </w:p>
        </w:tc>
        <w:tc>
          <w:tcPr>
            <w:tcW w:type="dxa" w:w="2664"/>
            <w:vAlign w:val="center"/>
            <w:tcMar>
              <w:top w:w="50" w:type="dxa"/>
              <w:start w:w="70" w:type="dxa"/>
              <w:bottom w:w="50" w:type="dxa"/>
              <w:end w:w="70" w:type="dxa"/>
            </w:tcMar>
          </w:tcPr>
          <w:p>
            <w:pPr>
              <w:spacing w:after="20"/>
            </w:pPr>
            <w:r>
              <w:rPr>
                <w:rFonts w:ascii="Aptos" w:hAnsi="Aptos" w:eastAsia="Aptos"/>
                <w:sz w:val="16"/>
              </w:rPr>
              <w:t>Product Owner, Business SME.</w:t>
            </w:r>
          </w:p>
        </w:tc>
        <w:tc>
          <w:tcPr>
            <w:tcW w:type="dxa" w:w="2664"/>
            <w:vAlign w:val="center"/>
            <w:tcMar>
              <w:top w:w="50" w:type="dxa"/>
              <w:start w:w="70" w:type="dxa"/>
              <w:bottom w:w="50" w:type="dxa"/>
              <w:end w:w="70" w:type="dxa"/>
            </w:tcMar>
          </w:tcPr>
          <w:p>
            <w:pPr>
              <w:spacing w:after="20"/>
            </w:pPr>
            <w:r>
              <w:rPr>
                <w:rFonts w:ascii="Aptos" w:hAnsi="Aptos" w:eastAsia="Aptos"/>
                <w:sz w:val="16"/>
              </w:rPr>
              <w:t>Traceability, sign-off, classification.</w:t>
            </w:r>
          </w:p>
        </w:tc>
      </w:tr>
      <w:tr>
        <w:tc>
          <w:tcPr>
            <w:tcW w:type="dxa" w:w="2664"/>
            <w:vAlign w:val="center"/>
            <w:tcMar>
              <w:top w:w="50" w:type="dxa"/>
              <w:start w:w="70" w:type="dxa"/>
              <w:bottom w:w="50" w:type="dxa"/>
              <w:end w:w="70" w:type="dxa"/>
            </w:tcMar>
          </w:tcPr>
          <w:p>
            <w:pPr>
              <w:spacing w:after="20"/>
            </w:pPr>
            <w:r>
              <w:rPr>
                <w:rFonts w:ascii="Aptos" w:hAnsi="Aptos" w:eastAsia="Aptos"/>
                <w:sz w:val="16"/>
              </w:rPr>
              <w:t>D3 Code</w:t>
            </w:r>
          </w:p>
        </w:tc>
        <w:tc>
          <w:tcPr>
            <w:tcW w:type="dxa" w:w="2664"/>
            <w:vAlign w:val="center"/>
            <w:tcMar>
              <w:top w:w="50" w:type="dxa"/>
              <w:start w:w="70" w:type="dxa"/>
              <w:bottom w:w="50" w:type="dxa"/>
              <w:end w:w="70" w:type="dxa"/>
            </w:tcMar>
          </w:tcPr>
          <w:p>
            <w:pPr>
              <w:spacing w:after="20"/>
            </w:pPr>
            <w:r>
              <w:rPr>
                <w:rFonts w:ascii="Aptos" w:hAnsi="Aptos" w:eastAsia="Aptos"/>
                <w:sz w:val="16"/>
              </w:rPr>
              <w:t>Source code, generated code, scripts.</w:t>
            </w:r>
          </w:p>
        </w:tc>
        <w:tc>
          <w:tcPr>
            <w:tcW w:type="dxa" w:w="2664"/>
            <w:vAlign w:val="center"/>
            <w:tcMar>
              <w:top w:w="50" w:type="dxa"/>
              <w:start w:w="70" w:type="dxa"/>
              <w:bottom w:w="50" w:type="dxa"/>
              <w:end w:w="70" w:type="dxa"/>
            </w:tcMar>
          </w:tcPr>
          <w:p>
            <w:pPr>
              <w:spacing w:after="20"/>
            </w:pPr>
            <w:r>
              <w:rPr>
                <w:rFonts w:ascii="Aptos" w:hAnsi="Aptos" w:eastAsia="Aptos"/>
                <w:sz w:val="16"/>
              </w:rPr>
              <w:t>Development Lead.</w:t>
            </w:r>
          </w:p>
        </w:tc>
        <w:tc>
          <w:tcPr>
            <w:tcW w:type="dxa" w:w="2664"/>
            <w:vAlign w:val="center"/>
            <w:tcMar>
              <w:top w:w="50" w:type="dxa"/>
              <w:start w:w="70" w:type="dxa"/>
              <w:bottom w:w="50" w:type="dxa"/>
              <w:end w:w="70" w:type="dxa"/>
            </w:tcMar>
          </w:tcPr>
          <w:p>
            <w:pPr>
              <w:spacing w:after="20"/>
            </w:pPr>
            <w:r>
              <w:rPr>
                <w:rFonts w:ascii="Aptos" w:hAnsi="Aptos" w:eastAsia="Aptos"/>
                <w:sz w:val="16"/>
              </w:rPr>
              <w:t>Repository, commit, tests, scan results.</w:t>
            </w:r>
          </w:p>
        </w:tc>
      </w:tr>
      <w:tr>
        <w:tc>
          <w:tcPr>
            <w:tcW w:type="dxa" w:w="2664"/>
            <w:vAlign w:val="center"/>
            <w:tcMar>
              <w:top w:w="50" w:type="dxa"/>
              <w:start w:w="70" w:type="dxa"/>
              <w:bottom w:w="50" w:type="dxa"/>
              <w:end w:w="70" w:type="dxa"/>
            </w:tcMar>
          </w:tcPr>
          <w:p>
            <w:pPr>
              <w:spacing w:after="20"/>
            </w:pPr>
            <w:r>
              <w:rPr>
                <w:rFonts w:ascii="Aptos" w:hAnsi="Aptos" w:eastAsia="Aptos"/>
                <w:sz w:val="16"/>
              </w:rPr>
              <w:t>D4 Configuration</w:t>
            </w:r>
          </w:p>
        </w:tc>
        <w:tc>
          <w:tcPr>
            <w:tcW w:type="dxa" w:w="2664"/>
            <w:vAlign w:val="center"/>
            <w:tcMar>
              <w:top w:w="50" w:type="dxa"/>
              <w:start w:w="70" w:type="dxa"/>
              <w:bottom w:w="50" w:type="dxa"/>
              <w:end w:w="70" w:type="dxa"/>
            </w:tcMar>
          </w:tcPr>
          <w:p>
            <w:pPr>
              <w:spacing w:after="20"/>
            </w:pPr>
            <w:r>
              <w:rPr>
                <w:rFonts w:ascii="Aptos" w:hAnsi="Aptos" w:eastAsia="Aptos"/>
                <w:sz w:val="16"/>
              </w:rPr>
              <w:t>Feature flags, runtime parameters, model aliases, guardrails.</w:t>
            </w:r>
          </w:p>
        </w:tc>
        <w:tc>
          <w:tcPr>
            <w:tcW w:type="dxa" w:w="2664"/>
            <w:vAlign w:val="center"/>
            <w:tcMar>
              <w:top w:w="50" w:type="dxa"/>
              <w:start w:w="70" w:type="dxa"/>
              <w:bottom w:w="50" w:type="dxa"/>
              <w:end w:w="70" w:type="dxa"/>
            </w:tcMar>
          </w:tcPr>
          <w:p>
            <w:pPr>
              <w:spacing w:after="20"/>
            </w:pPr>
            <w:r>
              <w:rPr>
                <w:rFonts w:ascii="Aptos" w:hAnsi="Aptos" w:eastAsia="Aptos"/>
                <w:sz w:val="16"/>
              </w:rPr>
              <w:t>DevSecOps, AI Governance.</w:t>
            </w:r>
          </w:p>
        </w:tc>
        <w:tc>
          <w:tcPr>
            <w:tcW w:type="dxa" w:w="2664"/>
            <w:vAlign w:val="center"/>
            <w:tcMar>
              <w:top w:w="50" w:type="dxa"/>
              <w:start w:w="70" w:type="dxa"/>
              <w:bottom w:w="50" w:type="dxa"/>
              <w:end w:w="70" w:type="dxa"/>
            </w:tcMar>
          </w:tcPr>
          <w:p>
            <w:pPr>
              <w:spacing w:after="20"/>
            </w:pPr>
            <w:r>
              <w:rPr>
                <w:rFonts w:ascii="Aptos" w:hAnsi="Aptos" w:eastAsia="Aptos"/>
                <w:sz w:val="16"/>
              </w:rPr>
              <w:t>Version, activation, rollback, prompt eligibility.</w:t>
            </w:r>
          </w:p>
        </w:tc>
      </w:tr>
      <w:tr>
        <w:tc>
          <w:tcPr>
            <w:tcW w:type="dxa" w:w="2664"/>
            <w:vAlign w:val="center"/>
            <w:tcMar>
              <w:top w:w="50" w:type="dxa"/>
              <w:start w:w="70" w:type="dxa"/>
              <w:bottom w:w="50" w:type="dxa"/>
              <w:end w:w="70" w:type="dxa"/>
            </w:tcMar>
          </w:tcPr>
          <w:p>
            <w:pPr>
              <w:spacing w:after="20"/>
            </w:pPr>
            <w:r>
              <w:rPr>
                <w:rFonts w:ascii="Aptos" w:hAnsi="Aptos" w:eastAsia="Aptos"/>
                <w:sz w:val="16"/>
              </w:rPr>
              <w:t>D5 Telemetry</w:t>
            </w:r>
          </w:p>
        </w:tc>
        <w:tc>
          <w:tcPr>
            <w:tcW w:type="dxa" w:w="2664"/>
            <w:vAlign w:val="center"/>
            <w:tcMar>
              <w:top w:w="50" w:type="dxa"/>
              <w:start w:w="70" w:type="dxa"/>
              <w:bottom w:w="50" w:type="dxa"/>
              <w:end w:w="70" w:type="dxa"/>
            </w:tcMar>
          </w:tcPr>
          <w:p>
            <w:pPr>
              <w:spacing w:after="20"/>
            </w:pPr>
            <w:r>
              <w:rPr>
                <w:rFonts w:ascii="Aptos" w:hAnsi="Aptos" w:eastAsia="Aptos"/>
                <w:sz w:val="16"/>
              </w:rPr>
              <w:t>Logs, metrics, traces, SLO events.</w:t>
            </w:r>
          </w:p>
        </w:tc>
        <w:tc>
          <w:tcPr>
            <w:tcW w:type="dxa" w:w="2664"/>
            <w:vAlign w:val="center"/>
            <w:tcMar>
              <w:top w:w="50" w:type="dxa"/>
              <w:start w:w="70" w:type="dxa"/>
              <w:bottom w:w="50" w:type="dxa"/>
              <w:end w:w="70" w:type="dxa"/>
            </w:tcMar>
          </w:tcPr>
          <w:p>
            <w:pPr>
              <w:spacing w:after="20"/>
            </w:pPr>
            <w:r>
              <w:rPr>
                <w:rFonts w:ascii="Aptos" w:hAnsi="Aptos" w:eastAsia="Aptos"/>
                <w:sz w:val="16"/>
              </w:rPr>
              <w:t>SRE, DevSecOps.</w:t>
            </w:r>
          </w:p>
        </w:tc>
        <w:tc>
          <w:tcPr>
            <w:tcW w:type="dxa" w:w="2664"/>
            <w:vAlign w:val="center"/>
            <w:tcMar>
              <w:top w:w="50" w:type="dxa"/>
              <w:start w:w="70" w:type="dxa"/>
              <w:bottom w:w="50" w:type="dxa"/>
              <w:end w:w="70" w:type="dxa"/>
            </w:tcMar>
          </w:tcPr>
          <w:p>
            <w:pPr>
              <w:spacing w:after="20"/>
            </w:pPr>
            <w:r>
              <w:rPr>
                <w:rFonts w:ascii="Aptos" w:hAnsi="Aptos" w:eastAsia="Aptos"/>
                <w:sz w:val="16"/>
              </w:rPr>
              <w:t>PII redaction, retention, observability evidence.</w:t>
            </w:r>
          </w:p>
        </w:tc>
      </w:tr>
      <w:tr>
        <w:tc>
          <w:tcPr>
            <w:tcW w:type="dxa" w:w="2664"/>
            <w:vAlign w:val="center"/>
            <w:tcMar>
              <w:top w:w="50" w:type="dxa"/>
              <w:start w:w="70" w:type="dxa"/>
              <w:bottom w:w="50" w:type="dxa"/>
              <w:end w:w="70" w:type="dxa"/>
            </w:tcMar>
          </w:tcPr>
          <w:p>
            <w:pPr>
              <w:spacing w:after="20"/>
            </w:pPr>
            <w:r>
              <w:rPr>
                <w:rFonts w:ascii="Aptos" w:hAnsi="Aptos" w:eastAsia="Aptos"/>
                <w:sz w:val="16"/>
              </w:rPr>
              <w:t>D6 Security</w:t>
            </w:r>
          </w:p>
        </w:tc>
        <w:tc>
          <w:tcPr>
            <w:tcW w:type="dxa" w:w="2664"/>
            <w:vAlign w:val="center"/>
            <w:tcMar>
              <w:top w:w="50" w:type="dxa"/>
              <w:start w:w="70" w:type="dxa"/>
              <w:bottom w:w="50" w:type="dxa"/>
              <w:end w:w="70" w:type="dxa"/>
            </w:tcMar>
          </w:tcPr>
          <w:p>
            <w:pPr>
              <w:spacing w:after="20"/>
            </w:pPr>
            <w:r>
              <w:rPr>
                <w:rFonts w:ascii="Aptos" w:hAnsi="Aptos" w:eastAsia="Aptos"/>
                <w:sz w:val="16"/>
              </w:rPr>
              <w:t>Findings, access logs, secrets metadata, policy results.</w:t>
            </w:r>
          </w:p>
        </w:tc>
        <w:tc>
          <w:tcPr>
            <w:tcW w:type="dxa" w:w="2664"/>
            <w:vAlign w:val="center"/>
            <w:tcMar>
              <w:top w:w="50" w:type="dxa"/>
              <w:start w:w="70" w:type="dxa"/>
              <w:bottom w:w="50" w:type="dxa"/>
              <w:end w:w="70" w:type="dxa"/>
            </w:tcMar>
          </w:tcPr>
          <w:p>
            <w:pPr>
              <w:spacing w:after="20"/>
            </w:pPr>
            <w:r>
              <w:rPr>
                <w:rFonts w:ascii="Aptos" w:hAnsi="Aptos" w:eastAsia="Aptos"/>
                <w:sz w:val="16"/>
              </w:rPr>
              <w:t>Security Administrator.</w:t>
            </w:r>
          </w:p>
        </w:tc>
        <w:tc>
          <w:tcPr>
            <w:tcW w:type="dxa" w:w="2664"/>
            <w:vAlign w:val="center"/>
            <w:tcMar>
              <w:top w:w="50" w:type="dxa"/>
              <w:start w:w="70" w:type="dxa"/>
              <w:bottom w:w="50" w:type="dxa"/>
              <w:end w:w="70" w:type="dxa"/>
            </w:tcMar>
          </w:tcPr>
          <w:p>
            <w:pPr>
              <w:spacing w:after="20"/>
            </w:pPr>
            <w:r>
              <w:rPr>
                <w:rFonts w:ascii="Aptos" w:hAnsi="Aptos" w:eastAsia="Aptos"/>
                <w:sz w:val="16"/>
              </w:rPr>
              <w:t>Strict classification, evidence retention, restricted access.</w:t>
            </w:r>
          </w:p>
        </w:tc>
      </w:tr>
      <w:tr>
        <w:tc>
          <w:tcPr>
            <w:tcW w:type="dxa" w:w="2664"/>
            <w:vAlign w:val="center"/>
            <w:tcMar>
              <w:top w:w="50" w:type="dxa"/>
              <w:start w:w="70" w:type="dxa"/>
              <w:bottom w:w="50" w:type="dxa"/>
              <w:end w:w="70" w:type="dxa"/>
            </w:tcMar>
          </w:tcPr>
          <w:p>
            <w:pPr>
              <w:spacing w:after="20"/>
            </w:pPr>
            <w:r>
              <w:rPr>
                <w:rFonts w:ascii="Aptos" w:hAnsi="Aptos" w:eastAsia="Aptos"/>
                <w:sz w:val="16"/>
              </w:rPr>
              <w:t>D7 Quality</w:t>
            </w:r>
          </w:p>
        </w:tc>
        <w:tc>
          <w:tcPr>
            <w:tcW w:type="dxa" w:w="2664"/>
            <w:vAlign w:val="center"/>
            <w:tcMar>
              <w:top w:w="50" w:type="dxa"/>
              <w:start w:w="70" w:type="dxa"/>
              <w:bottom w:w="50" w:type="dxa"/>
              <w:end w:w="70" w:type="dxa"/>
            </w:tcMar>
          </w:tcPr>
          <w:p>
            <w:pPr>
              <w:spacing w:after="20"/>
            </w:pPr>
            <w:r>
              <w:rPr>
                <w:rFonts w:ascii="Aptos" w:hAnsi="Aptos" w:eastAsia="Aptos"/>
                <w:sz w:val="16"/>
              </w:rPr>
              <w:t>Test results, coverage, mutation, contract checks, evaluation runs.</w:t>
            </w:r>
          </w:p>
        </w:tc>
        <w:tc>
          <w:tcPr>
            <w:tcW w:type="dxa" w:w="2664"/>
            <w:vAlign w:val="center"/>
            <w:tcMar>
              <w:top w:w="50" w:type="dxa"/>
              <w:start w:w="70" w:type="dxa"/>
              <w:bottom w:w="50" w:type="dxa"/>
              <w:end w:w="70" w:type="dxa"/>
            </w:tcMar>
          </w:tcPr>
          <w:p>
            <w:pPr>
              <w:spacing w:after="20"/>
            </w:pPr>
            <w:r>
              <w:rPr>
                <w:rFonts w:ascii="Aptos" w:hAnsi="Aptos" w:eastAsia="Aptos"/>
                <w:sz w:val="16"/>
              </w:rPr>
              <w:t>QA/SDET.</w:t>
            </w:r>
          </w:p>
        </w:tc>
        <w:tc>
          <w:tcPr>
            <w:tcW w:type="dxa" w:w="2664"/>
            <w:vAlign w:val="center"/>
            <w:tcMar>
              <w:top w:w="50" w:type="dxa"/>
              <w:start w:w="70" w:type="dxa"/>
              <w:bottom w:w="50" w:type="dxa"/>
              <w:end w:w="70" w:type="dxa"/>
            </w:tcMar>
          </w:tcPr>
          <w:p>
            <w:pPr>
              <w:spacing w:after="20"/>
            </w:pPr>
            <w:r>
              <w:rPr>
                <w:rFonts w:ascii="Aptos" w:hAnsi="Aptos" w:eastAsia="Aptos"/>
                <w:sz w:val="16"/>
              </w:rPr>
              <w:t>Evidence pack, reproducibility, release gate.</w:t>
            </w:r>
          </w:p>
        </w:tc>
      </w:tr>
      <w:tr>
        <w:tc>
          <w:tcPr>
            <w:tcW w:type="dxa" w:w="2664"/>
            <w:vAlign w:val="center"/>
            <w:tcMar>
              <w:top w:w="50" w:type="dxa"/>
              <w:start w:w="70" w:type="dxa"/>
              <w:bottom w:w="50" w:type="dxa"/>
              <w:end w:w="70" w:type="dxa"/>
            </w:tcMar>
          </w:tcPr>
          <w:p>
            <w:pPr>
              <w:spacing w:after="20"/>
            </w:pPr>
            <w:r>
              <w:rPr>
                <w:rFonts w:ascii="Aptos" w:hAnsi="Aptos" w:eastAsia="Aptos"/>
                <w:sz w:val="16"/>
              </w:rPr>
              <w:t>D8 Data</w:t>
            </w:r>
          </w:p>
        </w:tc>
        <w:tc>
          <w:tcPr>
            <w:tcW w:type="dxa" w:w="2664"/>
            <w:vAlign w:val="center"/>
            <w:tcMar>
              <w:top w:w="50" w:type="dxa"/>
              <w:start w:w="70" w:type="dxa"/>
              <w:bottom w:w="50" w:type="dxa"/>
              <w:end w:w="70" w:type="dxa"/>
            </w:tcMar>
          </w:tcPr>
          <w:p>
            <w:pPr>
              <w:spacing w:after="20"/>
            </w:pPr>
            <w:r>
              <w:rPr>
                <w:rFonts w:ascii="Aptos" w:hAnsi="Aptos" w:eastAsia="Aptos"/>
                <w:sz w:val="16"/>
              </w:rPr>
              <w:t>Schemas, database records, chunks, embeddings, lineage.</w:t>
            </w:r>
          </w:p>
        </w:tc>
        <w:tc>
          <w:tcPr>
            <w:tcW w:type="dxa" w:w="2664"/>
            <w:vAlign w:val="center"/>
            <w:tcMar>
              <w:top w:w="50" w:type="dxa"/>
              <w:start w:w="70" w:type="dxa"/>
              <w:bottom w:w="50" w:type="dxa"/>
              <w:end w:w="70" w:type="dxa"/>
            </w:tcMar>
          </w:tcPr>
          <w:p>
            <w:pPr>
              <w:spacing w:after="20"/>
            </w:pPr>
            <w:r>
              <w:rPr>
                <w:rFonts w:ascii="Aptos" w:hAnsi="Aptos" w:eastAsia="Aptos"/>
                <w:sz w:val="16"/>
              </w:rPr>
              <w:t>DBA, Data Governance.</w:t>
            </w:r>
          </w:p>
        </w:tc>
        <w:tc>
          <w:tcPr>
            <w:tcW w:type="dxa" w:w="2664"/>
            <w:vAlign w:val="center"/>
            <w:tcMar>
              <w:top w:w="50" w:type="dxa"/>
              <w:start w:w="70" w:type="dxa"/>
              <w:bottom w:w="50" w:type="dxa"/>
              <w:end w:w="70" w:type="dxa"/>
            </w:tcMar>
          </w:tcPr>
          <w:p>
            <w:pPr>
              <w:spacing w:after="20"/>
            </w:pPr>
            <w:r>
              <w:rPr>
                <w:rFonts w:ascii="Aptos" w:hAnsi="Aptos" w:eastAsia="Aptos"/>
                <w:sz w:val="16"/>
              </w:rPr>
              <w:t>RLS, retention, model routing, derivative invalidation.</w:t>
            </w:r>
          </w:p>
        </w:tc>
      </w:tr>
      <w:tr>
        <w:tc>
          <w:tcPr>
            <w:tcW w:type="dxa" w:w="2664"/>
            <w:vAlign w:val="center"/>
            <w:tcMar>
              <w:top w:w="50" w:type="dxa"/>
              <w:start w:w="70" w:type="dxa"/>
              <w:bottom w:w="50" w:type="dxa"/>
              <w:end w:w="70" w:type="dxa"/>
            </w:tcMar>
          </w:tcPr>
          <w:p>
            <w:pPr>
              <w:spacing w:after="20"/>
            </w:pPr>
            <w:r>
              <w:rPr>
                <w:rFonts w:ascii="Aptos" w:hAnsi="Aptos" w:eastAsia="Aptos"/>
                <w:sz w:val="16"/>
              </w:rPr>
              <w:t>D9 Enablement</w:t>
            </w:r>
          </w:p>
        </w:tc>
        <w:tc>
          <w:tcPr>
            <w:tcW w:type="dxa" w:w="2664"/>
            <w:vAlign w:val="center"/>
            <w:tcMar>
              <w:top w:w="50" w:type="dxa"/>
              <w:start w:w="70" w:type="dxa"/>
              <w:bottom w:w="50" w:type="dxa"/>
              <w:end w:w="70" w:type="dxa"/>
            </w:tcMar>
          </w:tcPr>
          <w:p>
            <w:pPr>
              <w:spacing w:after="20"/>
            </w:pPr>
            <w:r>
              <w:rPr>
                <w:rFonts w:ascii="Aptos" w:hAnsi="Aptos" w:eastAsia="Aptos"/>
                <w:sz w:val="16"/>
              </w:rPr>
              <w:t>Runbooks, onboarding, SOPs, training materials.</w:t>
            </w:r>
          </w:p>
        </w:tc>
        <w:tc>
          <w:tcPr>
            <w:tcW w:type="dxa" w:w="2664"/>
            <w:vAlign w:val="center"/>
            <w:tcMar>
              <w:top w:w="50" w:type="dxa"/>
              <w:start w:w="70" w:type="dxa"/>
              <w:bottom w:w="50" w:type="dxa"/>
              <w:end w:w="70" w:type="dxa"/>
            </w:tcMar>
          </w:tcPr>
          <w:p>
            <w:pPr>
              <w:spacing w:after="20"/>
            </w:pPr>
            <w:r>
              <w:rPr>
                <w:rFonts w:ascii="Aptos" w:hAnsi="Aptos" w:eastAsia="Aptos"/>
                <w:sz w:val="16"/>
              </w:rPr>
              <w:t>Team Lead, Knowledge Steward.</w:t>
            </w:r>
          </w:p>
        </w:tc>
        <w:tc>
          <w:tcPr>
            <w:tcW w:type="dxa" w:w="2664"/>
            <w:vAlign w:val="center"/>
            <w:tcMar>
              <w:top w:w="50" w:type="dxa"/>
              <w:start w:w="70" w:type="dxa"/>
              <w:bottom w:w="50" w:type="dxa"/>
              <w:end w:w="70" w:type="dxa"/>
            </w:tcMar>
          </w:tcPr>
          <w:p>
            <w:pPr>
              <w:spacing w:after="20"/>
            </w:pPr>
            <w:r>
              <w:rPr>
                <w:rFonts w:ascii="Aptos" w:hAnsi="Aptos" w:eastAsia="Aptos"/>
                <w:sz w:val="16"/>
              </w:rPr>
              <w:t>Current status, supersedence, LLM Wiki eligibility.</w:t>
            </w:r>
          </w:p>
        </w:tc>
      </w:tr>
      <w:tr>
        <w:tc>
          <w:tcPr>
            <w:tcW w:type="dxa" w:w="2664"/>
            <w:vAlign w:val="center"/>
            <w:tcMar>
              <w:top w:w="50" w:type="dxa"/>
              <w:start w:w="70" w:type="dxa"/>
              <w:bottom w:w="50" w:type="dxa"/>
              <w:end w:w="70" w:type="dxa"/>
            </w:tcMar>
          </w:tcPr>
          <w:p>
            <w:pPr>
              <w:spacing w:after="20"/>
            </w:pPr>
            <w:r>
              <w:rPr>
                <w:rFonts w:ascii="Aptos" w:hAnsi="Aptos" w:eastAsia="Aptos"/>
                <w:sz w:val="16"/>
              </w:rPr>
              <w:t>D10 External</w:t>
            </w:r>
          </w:p>
        </w:tc>
        <w:tc>
          <w:tcPr>
            <w:tcW w:type="dxa" w:w="2664"/>
            <w:vAlign w:val="center"/>
            <w:tcMar>
              <w:top w:w="50" w:type="dxa"/>
              <w:start w:w="70" w:type="dxa"/>
              <w:bottom w:w="50" w:type="dxa"/>
              <w:end w:w="70" w:type="dxa"/>
            </w:tcMar>
          </w:tcPr>
          <w:p>
            <w:pPr>
              <w:spacing w:after="20"/>
            </w:pPr>
            <w:r>
              <w:rPr>
                <w:rFonts w:ascii="Aptos" w:hAnsi="Aptos" w:eastAsia="Aptos"/>
                <w:sz w:val="16"/>
              </w:rPr>
              <w:t>Public standards, vendor docs, advisories, threat intelligence.</w:t>
            </w:r>
          </w:p>
        </w:tc>
        <w:tc>
          <w:tcPr>
            <w:tcW w:type="dxa" w:w="2664"/>
            <w:vAlign w:val="center"/>
            <w:tcMar>
              <w:top w:w="50" w:type="dxa"/>
              <w:start w:w="70" w:type="dxa"/>
              <w:bottom w:w="50" w:type="dxa"/>
              <w:end w:w="70" w:type="dxa"/>
            </w:tcMar>
          </w:tcPr>
          <w:p>
            <w:pPr>
              <w:spacing w:after="20"/>
            </w:pPr>
            <w:r>
              <w:rPr>
                <w:rFonts w:ascii="Aptos" w:hAnsi="Aptos" w:eastAsia="Aptos"/>
                <w:sz w:val="16"/>
              </w:rPr>
              <w:t>Architecture, Security.</w:t>
            </w:r>
          </w:p>
        </w:tc>
        <w:tc>
          <w:tcPr>
            <w:tcW w:type="dxa" w:w="2664"/>
            <w:vAlign w:val="center"/>
            <w:tcMar>
              <w:top w:w="50" w:type="dxa"/>
              <w:start w:w="70" w:type="dxa"/>
              <w:bottom w:w="50" w:type="dxa"/>
              <w:end w:w="70" w:type="dxa"/>
            </w:tcMar>
          </w:tcPr>
          <w:p>
            <w:pPr>
              <w:spacing w:after="20"/>
            </w:pPr>
            <w:r>
              <w:rPr>
                <w:rFonts w:ascii="Aptos" w:hAnsi="Aptos" w:eastAsia="Aptos"/>
                <w:sz w:val="16"/>
              </w:rPr>
              <w:t>Citation, freshness, trust rating.</w:t>
            </w:r>
          </w:p>
        </w:tc>
      </w:tr>
      <w:tr>
        <w:tc>
          <w:tcPr>
            <w:tcW w:type="dxa" w:w="2664"/>
            <w:vAlign w:val="center"/>
            <w:tcMar>
              <w:top w:w="50" w:type="dxa"/>
              <w:start w:w="70" w:type="dxa"/>
              <w:bottom w:w="50" w:type="dxa"/>
              <w:end w:w="70" w:type="dxa"/>
            </w:tcMar>
          </w:tcPr>
          <w:p>
            <w:pPr>
              <w:spacing w:after="20"/>
            </w:pPr>
            <w:r>
              <w:rPr>
                <w:rFonts w:ascii="Aptos" w:hAnsi="Aptos" w:eastAsia="Aptos"/>
                <w:sz w:val="16"/>
              </w:rPr>
              <w:t>D11 AI Artifacts</w:t>
            </w:r>
          </w:p>
        </w:tc>
        <w:tc>
          <w:tcPr>
            <w:tcW w:type="dxa" w:w="2664"/>
            <w:vAlign w:val="center"/>
            <w:tcMar>
              <w:top w:w="50" w:type="dxa"/>
              <w:start w:w="70" w:type="dxa"/>
              <w:bottom w:w="50" w:type="dxa"/>
              <w:end w:w="70" w:type="dxa"/>
            </w:tcMar>
          </w:tcPr>
          <w:p>
            <w:pPr>
              <w:spacing w:after="20"/>
            </w:pPr>
            <w:r>
              <w:rPr>
                <w:rFonts w:ascii="Aptos" w:hAnsi="Aptos" w:eastAsia="Aptos"/>
                <w:sz w:val="16"/>
              </w:rPr>
              <w:t>Prompts, guardrails, models, evaluations, outputs.</w:t>
            </w:r>
          </w:p>
        </w:tc>
        <w:tc>
          <w:tcPr>
            <w:tcW w:type="dxa" w:w="2664"/>
            <w:vAlign w:val="center"/>
            <w:tcMar>
              <w:top w:w="50" w:type="dxa"/>
              <w:start w:w="70" w:type="dxa"/>
              <w:bottom w:w="50" w:type="dxa"/>
              <w:end w:w="70" w:type="dxa"/>
            </w:tcMar>
          </w:tcPr>
          <w:p>
            <w:pPr>
              <w:spacing w:after="20"/>
            </w:pPr>
            <w:r>
              <w:rPr>
                <w:rFonts w:ascii="Aptos" w:hAnsi="Aptos" w:eastAsia="Aptos"/>
                <w:sz w:val="16"/>
              </w:rPr>
              <w:t>AI Governance Lead.</w:t>
            </w:r>
          </w:p>
        </w:tc>
        <w:tc>
          <w:tcPr>
            <w:tcW w:type="dxa" w:w="2664"/>
            <w:vAlign w:val="center"/>
            <w:tcMar>
              <w:top w:w="50" w:type="dxa"/>
              <w:start w:w="70" w:type="dxa"/>
              <w:bottom w:w="50" w:type="dxa"/>
              <w:end w:w="70" w:type="dxa"/>
            </w:tcMar>
          </w:tcPr>
          <w:p>
            <w:pPr>
              <w:spacing w:after="20"/>
            </w:pPr>
            <w:r>
              <w:rPr>
                <w:rFonts w:ascii="Aptos" w:hAnsi="Aptos" w:eastAsia="Aptos"/>
                <w:sz w:val="16"/>
              </w:rPr>
              <w:t>Prompt eligibility, guardrails, route, eval evidence.</w:t>
            </w:r>
          </w:p>
        </w:tc>
      </w:tr>
      <w:tr>
        <w:tc>
          <w:tcPr>
            <w:tcW w:type="dxa" w:w="2664"/>
            <w:vAlign w:val="center"/>
            <w:tcMar>
              <w:top w:w="50" w:type="dxa"/>
              <w:start w:w="70" w:type="dxa"/>
              <w:bottom w:w="50" w:type="dxa"/>
              <w:end w:w="70" w:type="dxa"/>
            </w:tcMar>
          </w:tcPr>
          <w:p>
            <w:pPr>
              <w:spacing w:after="20"/>
            </w:pPr>
            <w:r>
              <w:rPr>
                <w:rFonts w:ascii="Aptos" w:hAnsi="Aptos" w:eastAsia="Aptos"/>
                <w:sz w:val="16"/>
              </w:rPr>
              <w:t>D12 Workflow Decisions</w:t>
            </w:r>
          </w:p>
        </w:tc>
        <w:tc>
          <w:tcPr>
            <w:tcW w:type="dxa" w:w="2664"/>
            <w:vAlign w:val="center"/>
            <w:tcMar>
              <w:top w:w="50" w:type="dxa"/>
              <w:start w:w="70" w:type="dxa"/>
              <w:bottom w:w="50" w:type="dxa"/>
              <w:end w:w="70" w:type="dxa"/>
            </w:tcMar>
          </w:tcPr>
          <w:p>
            <w:pPr>
              <w:spacing w:after="20"/>
            </w:pPr>
            <w:r>
              <w:rPr>
                <w:rFonts w:ascii="Aptos" w:hAnsi="Aptos" w:eastAsia="Aptos"/>
                <w:sz w:val="16"/>
              </w:rPr>
              <w:t>Temporal/Flowable histories, approvals, exceptions.</w:t>
            </w:r>
          </w:p>
        </w:tc>
        <w:tc>
          <w:tcPr>
            <w:tcW w:type="dxa" w:w="2664"/>
            <w:vAlign w:val="center"/>
            <w:tcMar>
              <w:top w:w="50" w:type="dxa"/>
              <w:start w:w="70" w:type="dxa"/>
              <w:bottom w:w="50" w:type="dxa"/>
              <w:end w:w="70" w:type="dxa"/>
            </w:tcMar>
          </w:tcPr>
          <w:p>
            <w:pPr>
              <w:spacing w:after="20"/>
            </w:pPr>
            <w:r>
              <w:rPr>
                <w:rFonts w:ascii="Aptos" w:hAnsi="Aptos" w:eastAsia="Aptos"/>
                <w:sz w:val="16"/>
              </w:rPr>
              <w:t>Workflow Owner.</w:t>
            </w:r>
          </w:p>
        </w:tc>
        <w:tc>
          <w:tcPr>
            <w:tcW w:type="dxa" w:w="2664"/>
            <w:vAlign w:val="center"/>
            <w:tcMar>
              <w:top w:w="50" w:type="dxa"/>
              <w:start w:w="70" w:type="dxa"/>
              <w:bottom w:w="50" w:type="dxa"/>
              <w:end w:w="70" w:type="dxa"/>
            </w:tcMar>
          </w:tcPr>
          <w:p>
            <w:pPr>
              <w:spacing w:after="20"/>
            </w:pPr>
            <w:r>
              <w:rPr>
                <w:rFonts w:ascii="Aptos" w:hAnsi="Aptos" w:eastAsia="Aptos"/>
                <w:sz w:val="16"/>
              </w:rPr>
              <w:t>Evidence retention, audit trail, human accountability.</w:t>
            </w:r>
          </w:p>
        </w:tc>
      </w:tr>
    </w:tbl>
    <w:p>
      <w:pPr/>
    </w:p>
    <w:p>
      <w:pPr>
        <w:pStyle w:val="Heading2"/>
      </w:pPr>
      <w:r>
        <w:t>5.2 Source Tier Rules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Tier</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Representative Sources</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Authority</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Register Requirement</w:t>
            </w:r>
          </w:p>
        </w:tc>
      </w:tr>
      <w:tr>
        <w:tc>
          <w:tcPr>
            <w:tcW w:type="dxa" w:w="2664"/>
            <w:vAlign w:val="center"/>
            <w:tcMar>
              <w:top w:w="50" w:type="dxa"/>
              <w:start w:w="70" w:type="dxa"/>
              <w:bottom w:w="50" w:type="dxa"/>
              <w:end w:w="70" w:type="dxa"/>
            </w:tcMar>
          </w:tcPr>
          <w:p>
            <w:pPr>
              <w:spacing w:after="20"/>
            </w:pPr>
            <w:r>
              <w:rPr>
                <w:rFonts w:ascii="Aptos" w:hAnsi="Aptos" w:eastAsia="Aptos"/>
                <w:sz w:val="16"/>
              </w:rPr>
              <w:t>Tier 0</w:t>
            </w:r>
          </w:p>
        </w:tc>
        <w:tc>
          <w:tcPr>
            <w:tcW w:type="dxa" w:w="2664"/>
            <w:vAlign w:val="center"/>
            <w:tcMar>
              <w:top w:w="50" w:type="dxa"/>
              <w:start w:w="70" w:type="dxa"/>
              <w:bottom w:w="50" w:type="dxa"/>
              <w:end w:w="70" w:type="dxa"/>
            </w:tcMar>
          </w:tcPr>
          <w:p>
            <w:pPr>
              <w:spacing w:after="20"/>
            </w:pPr>
            <w:r>
              <w:rPr>
                <w:rFonts w:ascii="Aptos" w:hAnsi="Aptos" w:eastAsia="Aptos"/>
                <w:sz w:val="16"/>
              </w:rPr>
              <w:t>Git, OpenKM, PostgreSQL system of record, Temporal/Flowable histories, audit store, identity/security tools.</w:t>
            </w:r>
          </w:p>
        </w:tc>
        <w:tc>
          <w:tcPr>
            <w:tcW w:type="dxa" w:w="2664"/>
            <w:vAlign w:val="center"/>
            <w:tcMar>
              <w:top w:w="50" w:type="dxa"/>
              <w:start w:w="70" w:type="dxa"/>
              <w:bottom w:w="50" w:type="dxa"/>
              <w:end w:w="70" w:type="dxa"/>
            </w:tcMar>
          </w:tcPr>
          <w:p>
            <w:pPr>
              <w:spacing w:after="20"/>
            </w:pPr>
            <w:r>
              <w:rPr>
                <w:rFonts w:ascii="Aptos" w:hAnsi="Aptos" w:eastAsia="Aptos"/>
                <w:sz w:val="16"/>
              </w:rPr>
              <w:t>Authoritative.</w:t>
            </w:r>
          </w:p>
        </w:tc>
        <w:tc>
          <w:tcPr>
            <w:tcW w:type="dxa" w:w="2664"/>
            <w:vAlign w:val="center"/>
            <w:tcMar>
              <w:top w:w="50" w:type="dxa"/>
              <w:start w:w="70" w:type="dxa"/>
              <w:bottom w:w="50" w:type="dxa"/>
              <w:end w:w="70" w:type="dxa"/>
            </w:tcMar>
          </w:tcPr>
          <w:p>
            <w:pPr>
              <w:spacing w:after="20"/>
            </w:pPr>
            <w:r>
              <w:rPr>
                <w:rFonts w:ascii="Aptos" w:hAnsi="Aptos" w:eastAsia="Aptos"/>
                <w:sz w:val="16"/>
              </w:rPr>
              <w:t>Must have owner, classification, retention, and evidence path.</w:t>
            </w:r>
          </w:p>
        </w:tc>
      </w:tr>
      <w:tr>
        <w:tc>
          <w:tcPr>
            <w:tcW w:type="dxa" w:w="2664"/>
            <w:vAlign w:val="center"/>
            <w:tcMar>
              <w:top w:w="50" w:type="dxa"/>
              <w:start w:w="70" w:type="dxa"/>
              <w:bottom w:w="50" w:type="dxa"/>
              <w:end w:w="70" w:type="dxa"/>
            </w:tcMar>
          </w:tcPr>
          <w:p>
            <w:pPr>
              <w:spacing w:after="20"/>
            </w:pPr>
            <w:r>
              <w:rPr>
                <w:rFonts w:ascii="Aptos" w:hAnsi="Aptos" w:eastAsia="Aptos"/>
                <w:sz w:val="16"/>
              </w:rPr>
              <w:t>Tier 1</w:t>
            </w:r>
          </w:p>
        </w:tc>
        <w:tc>
          <w:tcPr>
            <w:tcW w:type="dxa" w:w="2664"/>
            <w:vAlign w:val="center"/>
            <w:tcMar>
              <w:top w:w="50" w:type="dxa"/>
              <w:start w:w="70" w:type="dxa"/>
              <w:bottom w:w="50" w:type="dxa"/>
              <w:end w:w="70" w:type="dxa"/>
            </w:tcMar>
          </w:tcPr>
          <w:p>
            <w:pPr>
              <w:spacing w:after="20"/>
            </w:pPr>
            <w:r>
              <w:rPr>
                <w:rFonts w:ascii="Aptos" w:hAnsi="Aptos" w:eastAsia="Aptos"/>
                <w:sz w:val="16"/>
              </w:rPr>
              <w:t>Obsidian canonical notes, LLM Wiki approved artifacts, approved runbooks.</w:t>
            </w:r>
          </w:p>
        </w:tc>
        <w:tc>
          <w:tcPr>
            <w:tcW w:type="dxa" w:w="2664"/>
            <w:vAlign w:val="center"/>
            <w:tcMar>
              <w:top w:w="50" w:type="dxa"/>
              <w:start w:w="70" w:type="dxa"/>
              <w:bottom w:w="50" w:type="dxa"/>
              <w:end w:w="70" w:type="dxa"/>
            </w:tcMar>
          </w:tcPr>
          <w:p>
            <w:pPr>
              <w:spacing w:after="20"/>
            </w:pPr>
            <w:r>
              <w:rPr>
                <w:rFonts w:ascii="Aptos" w:hAnsi="Aptos" w:eastAsia="Aptos"/>
                <w:sz w:val="16"/>
              </w:rPr>
              <w:t>Curated authority with source links.</w:t>
            </w:r>
          </w:p>
        </w:tc>
        <w:tc>
          <w:tcPr>
            <w:tcW w:type="dxa" w:w="2664"/>
            <w:vAlign w:val="center"/>
            <w:tcMar>
              <w:top w:w="50" w:type="dxa"/>
              <w:start w:w="70" w:type="dxa"/>
              <w:bottom w:w="50" w:type="dxa"/>
              <w:end w:w="70" w:type="dxa"/>
            </w:tcMar>
          </w:tcPr>
          <w:p>
            <w:pPr>
              <w:spacing w:after="20"/>
            </w:pPr>
            <w:r>
              <w:rPr>
                <w:rFonts w:ascii="Aptos" w:hAnsi="Aptos" w:eastAsia="Aptos"/>
                <w:sz w:val="16"/>
              </w:rPr>
              <w:t>Must cite Tier-0 source and review state.</w:t>
            </w:r>
          </w:p>
        </w:tc>
      </w:tr>
      <w:tr>
        <w:tc>
          <w:tcPr>
            <w:tcW w:type="dxa" w:w="2664"/>
            <w:vAlign w:val="center"/>
            <w:tcMar>
              <w:top w:w="50" w:type="dxa"/>
              <w:start w:w="70" w:type="dxa"/>
              <w:bottom w:w="50" w:type="dxa"/>
              <w:end w:w="70" w:type="dxa"/>
            </w:tcMar>
          </w:tcPr>
          <w:p>
            <w:pPr>
              <w:spacing w:after="20"/>
            </w:pPr>
            <w:r>
              <w:rPr>
                <w:rFonts w:ascii="Aptos" w:hAnsi="Aptos" w:eastAsia="Aptos"/>
                <w:sz w:val="16"/>
              </w:rPr>
              <w:t>Tier 2</w:t>
            </w:r>
          </w:p>
        </w:tc>
        <w:tc>
          <w:tcPr>
            <w:tcW w:type="dxa" w:w="2664"/>
            <w:vAlign w:val="center"/>
            <w:tcMar>
              <w:top w:w="50" w:type="dxa"/>
              <w:start w:w="70" w:type="dxa"/>
              <w:bottom w:w="50" w:type="dxa"/>
              <w:end w:w="70" w:type="dxa"/>
            </w:tcMar>
          </w:tcPr>
          <w:p>
            <w:pPr>
              <w:spacing w:after="20"/>
            </w:pPr>
            <w:r>
              <w:rPr>
                <w:rFonts w:ascii="Aptos" w:hAnsi="Aptos" w:eastAsia="Aptos"/>
                <w:sz w:val="16"/>
              </w:rPr>
              <w:t>pgvector chunks, LightRAG graph, generated summaries, search indexes.</w:t>
            </w:r>
          </w:p>
        </w:tc>
        <w:tc>
          <w:tcPr>
            <w:tcW w:type="dxa" w:w="2664"/>
            <w:vAlign w:val="center"/>
            <w:tcMar>
              <w:top w:w="50" w:type="dxa"/>
              <w:start w:w="70" w:type="dxa"/>
              <w:bottom w:w="50" w:type="dxa"/>
              <w:end w:w="70" w:type="dxa"/>
            </w:tcMar>
          </w:tcPr>
          <w:p>
            <w:pPr>
              <w:spacing w:after="20"/>
            </w:pPr>
            <w:r>
              <w:rPr>
                <w:rFonts w:ascii="Aptos" w:hAnsi="Aptos" w:eastAsia="Aptos"/>
                <w:sz w:val="16"/>
              </w:rPr>
              <w:t>Derivative.</w:t>
            </w:r>
          </w:p>
        </w:tc>
        <w:tc>
          <w:tcPr>
            <w:tcW w:type="dxa" w:w="2664"/>
            <w:vAlign w:val="center"/>
            <w:tcMar>
              <w:top w:w="50" w:type="dxa"/>
              <w:start w:w="70" w:type="dxa"/>
              <w:bottom w:w="50" w:type="dxa"/>
              <w:end w:w="70" w:type="dxa"/>
            </w:tcMar>
          </w:tcPr>
          <w:p>
            <w:pPr>
              <w:spacing w:after="20"/>
            </w:pPr>
            <w:r>
              <w:rPr>
                <w:rFonts w:ascii="Aptos" w:hAnsi="Aptos" w:eastAsia="Aptos"/>
                <w:sz w:val="16"/>
              </w:rPr>
              <w:t>Must record source hash, source version, rebuild trigger.</w:t>
            </w:r>
          </w:p>
        </w:tc>
      </w:tr>
      <w:tr>
        <w:tc>
          <w:tcPr>
            <w:tcW w:type="dxa" w:w="2664"/>
            <w:vAlign w:val="center"/>
            <w:tcMar>
              <w:top w:w="50" w:type="dxa"/>
              <w:start w:w="70" w:type="dxa"/>
              <w:bottom w:w="50" w:type="dxa"/>
              <w:end w:w="70" w:type="dxa"/>
            </w:tcMar>
          </w:tcPr>
          <w:p>
            <w:pPr>
              <w:spacing w:after="20"/>
            </w:pPr>
            <w:r>
              <w:rPr>
                <w:rFonts w:ascii="Aptos" w:hAnsi="Aptos" w:eastAsia="Aptos"/>
                <w:sz w:val="16"/>
              </w:rPr>
              <w:t>Tier 3</w:t>
            </w:r>
          </w:p>
        </w:tc>
        <w:tc>
          <w:tcPr>
            <w:tcW w:type="dxa" w:w="2664"/>
            <w:vAlign w:val="center"/>
            <w:tcMar>
              <w:top w:w="50" w:type="dxa"/>
              <w:start w:w="70" w:type="dxa"/>
              <w:bottom w:w="50" w:type="dxa"/>
              <w:end w:w="70" w:type="dxa"/>
            </w:tcMar>
          </w:tcPr>
          <w:p>
            <w:pPr>
              <w:spacing w:after="20"/>
            </w:pPr>
            <w:r>
              <w:rPr>
                <w:rFonts w:ascii="Aptos" w:hAnsi="Aptos" w:eastAsia="Aptos"/>
                <w:sz w:val="16"/>
              </w:rPr>
              <w:t>Redis/Valkey cache, semantic cache, temporary runtime state.</w:t>
            </w:r>
          </w:p>
        </w:tc>
        <w:tc>
          <w:tcPr>
            <w:tcW w:type="dxa" w:w="2664"/>
            <w:vAlign w:val="center"/>
            <w:tcMar>
              <w:top w:w="50" w:type="dxa"/>
              <w:start w:w="70" w:type="dxa"/>
              <w:bottom w:w="50" w:type="dxa"/>
              <w:end w:w="70" w:type="dxa"/>
            </w:tcMar>
          </w:tcPr>
          <w:p>
            <w:pPr>
              <w:spacing w:after="20"/>
            </w:pPr>
            <w:r>
              <w:rPr>
                <w:rFonts w:ascii="Aptos" w:hAnsi="Aptos" w:eastAsia="Aptos"/>
                <w:sz w:val="16"/>
              </w:rPr>
              <w:t>Ephemeral.</w:t>
            </w:r>
          </w:p>
        </w:tc>
        <w:tc>
          <w:tcPr>
            <w:tcW w:type="dxa" w:w="2664"/>
            <w:vAlign w:val="center"/>
            <w:tcMar>
              <w:top w:w="50" w:type="dxa"/>
              <w:start w:w="70" w:type="dxa"/>
              <w:bottom w:w="50" w:type="dxa"/>
              <w:end w:w="70" w:type="dxa"/>
            </w:tcMar>
          </w:tcPr>
          <w:p>
            <w:pPr>
              <w:spacing w:after="20"/>
            </w:pPr>
            <w:r>
              <w:rPr>
                <w:rFonts w:ascii="Aptos" w:hAnsi="Aptos" w:eastAsia="Aptos"/>
                <w:sz w:val="16"/>
              </w:rPr>
              <w:t>Must not be authoritative; TTL/invalidation required.</w:t>
            </w:r>
          </w:p>
        </w:tc>
      </w:tr>
    </w:tbl>
    <w:p>
      <w:pPr/>
    </w:p>
    <w:p>
      <w:pPr>
        <w:pStyle w:val="Heading1"/>
        <w:pBdr>
          <w:bottom w:val="single" w:sz="8" w:space="1" w:color="D9EAF7"/>
        </w:pBdr>
      </w:pPr>
      <w:r>
        <w:t>6. Master Data Classification Register</w:t>
      </w:r>
    </w:p>
    <w:p>
      <w:pPr>
        <w:pStyle w:val="Callout"/>
      </w:pPr>
      <w:r>
        <w:rPr>
          <w:rFonts w:ascii="Aptos" w:hAnsi="Aptos" w:eastAsia="Aptos"/>
        </w:rPr>
        <w:t>The master register may be implemented as YAML in Git, controlled tables in PostgreSQL, and a curated view in Obsidian/LLM Wiki. The authoritative source for static definitions should be Git. Runtime records may be stored in PostgreSQL with immutable audit references.</w:t>
      </w:r>
    </w:p>
    <w:p>
      <w:pPr>
        <w:pStyle w:val="Heading2"/>
      </w:pPr>
      <w:r>
        <w:t>6.1 Required Register Fields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Field</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Required</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Description</w:t>
            </w:r>
          </w:p>
        </w:tc>
      </w:tr>
      <w:tr>
        <w:tc>
          <w:tcPr>
            <w:tcW w:type="dxa" w:w="3552"/>
            <w:vAlign w:val="center"/>
            <w:tcMar>
              <w:top w:w="50" w:type="dxa"/>
              <w:start w:w="70" w:type="dxa"/>
              <w:bottom w:w="50" w:type="dxa"/>
              <w:end w:w="70" w:type="dxa"/>
            </w:tcMar>
          </w:tcPr>
          <w:p>
            <w:pPr>
              <w:spacing w:after="20"/>
            </w:pPr>
            <w:r>
              <w:rPr>
                <w:rFonts w:ascii="Aptos" w:hAnsi="Aptos" w:eastAsia="Aptos"/>
                <w:sz w:val="16"/>
              </w:rPr>
              <w:t>artifact_id</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Unique identifier for the artifact or data class.</w:t>
            </w:r>
          </w:p>
        </w:tc>
      </w:tr>
      <w:tr>
        <w:tc>
          <w:tcPr>
            <w:tcW w:type="dxa" w:w="3552"/>
            <w:vAlign w:val="center"/>
            <w:tcMar>
              <w:top w:w="50" w:type="dxa"/>
              <w:start w:w="70" w:type="dxa"/>
              <w:bottom w:w="50" w:type="dxa"/>
              <w:end w:w="70" w:type="dxa"/>
            </w:tcMar>
          </w:tcPr>
          <w:p>
            <w:pPr>
              <w:spacing w:after="20"/>
            </w:pPr>
            <w:r>
              <w:rPr>
                <w:rFonts w:ascii="Aptos" w:hAnsi="Aptos" w:eastAsia="Aptos"/>
                <w:sz w:val="16"/>
              </w:rPr>
              <w:t>artifact_name</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Human-readable name.</w:t>
            </w:r>
          </w:p>
        </w:tc>
      </w:tr>
      <w:tr>
        <w:tc>
          <w:tcPr>
            <w:tcW w:type="dxa" w:w="3552"/>
            <w:vAlign w:val="center"/>
            <w:tcMar>
              <w:top w:w="50" w:type="dxa"/>
              <w:start w:w="70" w:type="dxa"/>
              <w:bottom w:w="50" w:type="dxa"/>
              <w:end w:w="70" w:type="dxa"/>
            </w:tcMar>
          </w:tcPr>
          <w:p>
            <w:pPr>
              <w:spacing w:after="20"/>
            </w:pPr>
            <w:r>
              <w:rPr>
                <w:rFonts w:ascii="Aptos" w:hAnsi="Aptos" w:eastAsia="Aptos"/>
                <w:sz w:val="16"/>
              </w:rPr>
              <w:t>artifact_type</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Document, table, column, prompt, evidence, event, model output, cache, embedding, runbook, etc.</w:t>
            </w:r>
          </w:p>
        </w:tc>
      </w:tr>
      <w:tr>
        <w:tc>
          <w:tcPr>
            <w:tcW w:type="dxa" w:w="3552"/>
            <w:vAlign w:val="center"/>
            <w:tcMar>
              <w:top w:w="50" w:type="dxa"/>
              <w:start w:w="70" w:type="dxa"/>
              <w:bottom w:w="50" w:type="dxa"/>
              <w:end w:w="70" w:type="dxa"/>
            </w:tcMar>
          </w:tcPr>
          <w:p>
            <w:pPr>
              <w:spacing w:after="20"/>
            </w:pPr>
            <w:r>
              <w:rPr>
                <w:rFonts w:ascii="Aptos" w:hAnsi="Aptos" w:eastAsia="Aptos"/>
                <w:sz w:val="16"/>
              </w:rPr>
              <w:t>domain</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D1-D12 information domain.</w:t>
            </w:r>
          </w:p>
        </w:tc>
      </w:tr>
      <w:tr>
        <w:tc>
          <w:tcPr>
            <w:tcW w:type="dxa" w:w="3552"/>
            <w:vAlign w:val="center"/>
            <w:tcMar>
              <w:top w:w="50" w:type="dxa"/>
              <w:start w:w="70" w:type="dxa"/>
              <w:bottom w:w="50" w:type="dxa"/>
              <w:end w:w="70" w:type="dxa"/>
            </w:tcMar>
          </w:tcPr>
          <w:p>
            <w:pPr>
              <w:spacing w:after="20"/>
            </w:pPr>
            <w:r>
              <w:rPr>
                <w:rFonts w:ascii="Aptos" w:hAnsi="Aptos" w:eastAsia="Aptos"/>
                <w:sz w:val="16"/>
              </w:rPr>
              <w:t>source_tier</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Tier 0, 1, 2, or 3.</w:t>
            </w:r>
          </w:p>
        </w:tc>
      </w:tr>
      <w:tr>
        <w:tc>
          <w:tcPr>
            <w:tcW w:type="dxa" w:w="3552"/>
            <w:vAlign w:val="center"/>
            <w:tcMar>
              <w:top w:w="50" w:type="dxa"/>
              <w:start w:w="70" w:type="dxa"/>
              <w:bottom w:w="50" w:type="dxa"/>
              <w:end w:w="70" w:type="dxa"/>
            </w:tcMar>
          </w:tcPr>
          <w:p>
            <w:pPr>
              <w:spacing w:after="20"/>
            </w:pPr>
            <w:r>
              <w:rPr>
                <w:rFonts w:ascii="Aptos" w:hAnsi="Aptos" w:eastAsia="Aptos"/>
                <w:sz w:val="16"/>
              </w:rPr>
              <w:t>owner</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Accountable human role or system owner.</w:t>
            </w:r>
          </w:p>
        </w:tc>
      </w:tr>
      <w:tr>
        <w:tc>
          <w:tcPr>
            <w:tcW w:type="dxa" w:w="3552"/>
            <w:vAlign w:val="center"/>
            <w:tcMar>
              <w:top w:w="50" w:type="dxa"/>
              <w:start w:w="70" w:type="dxa"/>
              <w:bottom w:w="50" w:type="dxa"/>
              <w:end w:w="70" w:type="dxa"/>
            </w:tcMar>
          </w:tcPr>
          <w:p>
            <w:pPr>
              <w:spacing w:after="20"/>
            </w:pPr>
            <w:r>
              <w:rPr>
                <w:rFonts w:ascii="Aptos" w:hAnsi="Aptos" w:eastAsia="Aptos"/>
                <w:sz w:val="16"/>
              </w:rPr>
              <w:t>steward</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Operational maintainer.</w:t>
            </w:r>
          </w:p>
        </w:tc>
      </w:tr>
      <w:tr>
        <w:tc>
          <w:tcPr>
            <w:tcW w:type="dxa" w:w="3552"/>
            <w:vAlign w:val="center"/>
            <w:tcMar>
              <w:top w:w="50" w:type="dxa"/>
              <w:start w:w="70" w:type="dxa"/>
              <w:bottom w:w="50" w:type="dxa"/>
              <w:end w:w="70" w:type="dxa"/>
            </w:tcMar>
          </w:tcPr>
          <w:p>
            <w:pPr>
              <w:spacing w:after="20"/>
            </w:pPr>
            <w:r>
              <w:rPr>
                <w:rFonts w:ascii="Aptos" w:hAnsi="Aptos" w:eastAsia="Aptos"/>
                <w:sz w:val="16"/>
              </w:rPr>
              <w:t>classification</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Public, Internal, Confidential, or Restricted.</w:t>
            </w:r>
          </w:p>
        </w:tc>
      </w:tr>
      <w:tr>
        <w:tc>
          <w:tcPr>
            <w:tcW w:type="dxa" w:w="3552"/>
            <w:vAlign w:val="center"/>
            <w:tcMar>
              <w:top w:w="50" w:type="dxa"/>
              <w:start w:w="70" w:type="dxa"/>
              <w:bottom w:w="50" w:type="dxa"/>
              <w:end w:w="70" w:type="dxa"/>
            </w:tcMar>
          </w:tcPr>
          <w:p>
            <w:pPr>
              <w:spacing w:after="20"/>
            </w:pPr>
            <w:r>
              <w:rPr>
                <w:rFonts w:ascii="Aptos" w:hAnsi="Aptos" w:eastAsia="Aptos"/>
                <w:sz w:val="16"/>
              </w:rPr>
              <w:t>reason_for_classification</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Why this classification applies.</w:t>
            </w:r>
          </w:p>
        </w:tc>
      </w:tr>
      <w:tr>
        <w:tc>
          <w:tcPr>
            <w:tcW w:type="dxa" w:w="3552"/>
            <w:vAlign w:val="center"/>
            <w:tcMar>
              <w:top w:w="50" w:type="dxa"/>
              <w:start w:w="70" w:type="dxa"/>
              <w:bottom w:w="50" w:type="dxa"/>
              <w:end w:w="70" w:type="dxa"/>
            </w:tcMar>
          </w:tcPr>
          <w:p>
            <w:pPr>
              <w:spacing w:after="20"/>
            </w:pPr>
            <w:r>
              <w:rPr>
                <w:rFonts w:ascii="Aptos" w:hAnsi="Aptos" w:eastAsia="Aptos"/>
                <w:sz w:val="16"/>
              </w:rPr>
              <w:t>storage_location</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Git path, OpenKM path, PostgreSQL schema/table, evidence store, etc.</w:t>
            </w:r>
          </w:p>
        </w:tc>
      </w:tr>
      <w:tr>
        <w:tc>
          <w:tcPr>
            <w:tcW w:type="dxa" w:w="3552"/>
            <w:vAlign w:val="center"/>
            <w:tcMar>
              <w:top w:w="50" w:type="dxa"/>
              <w:start w:w="70" w:type="dxa"/>
              <w:bottom w:w="50" w:type="dxa"/>
              <w:end w:w="70" w:type="dxa"/>
            </w:tcMar>
          </w:tcPr>
          <w:p>
            <w:pPr>
              <w:spacing w:after="20"/>
            </w:pPr>
            <w:r>
              <w:rPr>
                <w:rFonts w:ascii="Aptos" w:hAnsi="Aptos" w:eastAsia="Aptos"/>
                <w:sz w:val="16"/>
              </w:rPr>
              <w:t>retention_rule_id</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Link to retention schedule.</w:t>
            </w:r>
          </w:p>
        </w:tc>
      </w:tr>
      <w:tr>
        <w:tc>
          <w:tcPr>
            <w:tcW w:type="dxa" w:w="3552"/>
            <w:vAlign w:val="center"/>
            <w:tcMar>
              <w:top w:w="50" w:type="dxa"/>
              <w:start w:w="70" w:type="dxa"/>
              <w:bottom w:w="50" w:type="dxa"/>
              <w:end w:w="70" w:type="dxa"/>
            </w:tcMar>
          </w:tcPr>
          <w:p>
            <w:pPr>
              <w:spacing w:after="20"/>
            </w:pPr>
            <w:r>
              <w:rPr>
                <w:rFonts w:ascii="Aptos" w:hAnsi="Aptos" w:eastAsia="Aptos"/>
                <w:sz w:val="16"/>
              </w:rPr>
              <w:t>access_policy_id</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RBAC/ABAC/SBAC/OPA policy reference.</w:t>
            </w:r>
          </w:p>
        </w:tc>
      </w:tr>
      <w:tr>
        <w:tc>
          <w:tcPr>
            <w:tcW w:type="dxa" w:w="3552"/>
            <w:vAlign w:val="center"/>
            <w:tcMar>
              <w:top w:w="50" w:type="dxa"/>
              <w:start w:w="70" w:type="dxa"/>
              <w:bottom w:w="50" w:type="dxa"/>
              <w:end w:w="70" w:type="dxa"/>
            </w:tcMar>
          </w:tcPr>
          <w:p>
            <w:pPr>
              <w:spacing w:after="20"/>
            </w:pPr>
            <w:r>
              <w:rPr>
                <w:rFonts w:ascii="Aptos" w:hAnsi="Aptos" w:eastAsia="Aptos"/>
                <w:sz w:val="16"/>
              </w:rPr>
              <w:t>prompt_eligibility</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Allowed, redacted-only, private-route-only, prohibited.</w:t>
            </w:r>
          </w:p>
        </w:tc>
      </w:tr>
      <w:tr>
        <w:tc>
          <w:tcPr>
            <w:tcW w:type="dxa" w:w="3552"/>
            <w:vAlign w:val="center"/>
            <w:tcMar>
              <w:top w:w="50" w:type="dxa"/>
              <w:start w:w="70" w:type="dxa"/>
              <w:bottom w:w="50" w:type="dxa"/>
              <w:end w:w="70" w:type="dxa"/>
            </w:tcMar>
          </w:tcPr>
          <w:p>
            <w:pPr>
              <w:spacing w:after="20"/>
            </w:pPr>
            <w:r>
              <w:rPr>
                <w:rFonts w:ascii="Aptos" w:hAnsi="Aptos" w:eastAsia="Aptos"/>
                <w:sz w:val="16"/>
              </w:rPr>
              <w:t>model_route_policy</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LiteLLM alias group or private/on-prem route rule.</w:t>
            </w:r>
          </w:p>
        </w:tc>
      </w:tr>
      <w:tr>
        <w:tc>
          <w:tcPr>
            <w:tcW w:type="dxa" w:w="3552"/>
            <w:vAlign w:val="center"/>
            <w:tcMar>
              <w:top w:w="50" w:type="dxa"/>
              <w:start w:w="70" w:type="dxa"/>
              <w:bottom w:w="50" w:type="dxa"/>
              <w:end w:w="70" w:type="dxa"/>
            </w:tcMar>
          </w:tcPr>
          <w:p>
            <w:pPr>
              <w:spacing w:after="20"/>
            </w:pPr>
            <w:r>
              <w:rPr>
                <w:rFonts w:ascii="Aptos" w:hAnsi="Aptos" w:eastAsia="Aptos"/>
                <w:sz w:val="16"/>
              </w:rPr>
              <w:t>logging_rule</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What may be logged, masked, hashed, or excluded.</w:t>
            </w:r>
          </w:p>
        </w:tc>
      </w:tr>
      <w:tr>
        <w:tc>
          <w:tcPr>
            <w:tcW w:type="dxa" w:w="3552"/>
            <w:vAlign w:val="center"/>
            <w:tcMar>
              <w:top w:w="50" w:type="dxa"/>
              <w:start w:w="70" w:type="dxa"/>
              <w:bottom w:w="50" w:type="dxa"/>
              <w:end w:w="70" w:type="dxa"/>
            </w:tcMar>
          </w:tcPr>
          <w:p>
            <w:pPr>
              <w:spacing w:after="20"/>
            </w:pPr>
            <w:r>
              <w:rPr>
                <w:rFonts w:ascii="Aptos" w:hAnsi="Aptos" w:eastAsia="Aptos"/>
                <w:sz w:val="16"/>
              </w:rPr>
              <w:t>derivative_policy</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Whether chunks, embeddings, summaries, or cache are allowed.</w:t>
            </w:r>
          </w:p>
        </w:tc>
      </w:tr>
      <w:tr>
        <w:tc>
          <w:tcPr>
            <w:tcW w:type="dxa" w:w="3552"/>
            <w:vAlign w:val="center"/>
            <w:tcMar>
              <w:top w:w="50" w:type="dxa"/>
              <w:start w:w="70" w:type="dxa"/>
              <w:bottom w:w="50" w:type="dxa"/>
              <w:end w:w="70" w:type="dxa"/>
            </w:tcMar>
          </w:tcPr>
          <w:p>
            <w:pPr>
              <w:spacing w:after="20"/>
            </w:pPr>
            <w:r>
              <w:rPr>
                <w:rFonts w:ascii="Aptos" w:hAnsi="Aptos" w:eastAsia="Aptos"/>
                <w:sz w:val="16"/>
              </w:rPr>
              <w:t>legal_hold_status</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None, active, pending review, released.</w:t>
            </w:r>
          </w:p>
        </w:tc>
      </w:tr>
      <w:tr>
        <w:tc>
          <w:tcPr>
            <w:tcW w:type="dxa" w:w="3552"/>
            <w:vAlign w:val="center"/>
            <w:tcMar>
              <w:top w:w="50" w:type="dxa"/>
              <w:start w:w="70" w:type="dxa"/>
              <w:bottom w:w="50" w:type="dxa"/>
              <w:end w:w="70" w:type="dxa"/>
            </w:tcMar>
          </w:tcPr>
          <w:p>
            <w:pPr>
              <w:spacing w:after="20"/>
            </w:pPr>
            <w:r>
              <w:rPr>
                <w:rFonts w:ascii="Aptos" w:hAnsi="Aptos" w:eastAsia="Aptos"/>
                <w:sz w:val="16"/>
              </w:rPr>
              <w:t>verification_evidence</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Test, scan, review, approval, hash, or evidence pack reference.</w:t>
            </w:r>
          </w:p>
        </w:tc>
      </w:tr>
      <w:tr>
        <w:tc>
          <w:tcPr>
            <w:tcW w:type="dxa" w:w="3552"/>
            <w:vAlign w:val="center"/>
            <w:tcMar>
              <w:top w:w="50" w:type="dxa"/>
              <w:start w:w="70" w:type="dxa"/>
              <w:bottom w:w="50" w:type="dxa"/>
              <w:end w:w="70" w:type="dxa"/>
            </w:tcMar>
          </w:tcPr>
          <w:p>
            <w:pPr>
              <w:spacing w:after="20"/>
            </w:pPr>
            <w:r>
              <w:rPr>
                <w:rFonts w:ascii="Aptos" w:hAnsi="Aptos" w:eastAsia="Aptos"/>
                <w:sz w:val="16"/>
              </w:rPr>
              <w:t>last_reviewed_at</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Date of last review.</w:t>
            </w:r>
          </w:p>
        </w:tc>
      </w:tr>
      <w:tr>
        <w:tc>
          <w:tcPr>
            <w:tcW w:type="dxa" w:w="3552"/>
            <w:vAlign w:val="center"/>
            <w:tcMar>
              <w:top w:w="50" w:type="dxa"/>
              <w:start w:w="70" w:type="dxa"/>
              <w:bottom w:w="50" w:type="dxa"/>
              <w:end w:w="70" w:type="dxa"/>
            </w:tcMar>
          </w:tcPr>
          <w:p>
            <w:pPr>
              <w:spacing w:after="20"/>
            </w:pPr>
            <w:r>
              <w:rPr>
                <w:rFonts w:ascii="Aptos" w:hAnsi="Aptos" w:eastAsia="Aptos"/>
                <w:sz w:val="16"/>
              </w:rPr>
              <w:t>next_review_due</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Next review date.</w:t>
            </w:r>
          </w:p>
        </w:tc>
      </w:tr>
      <w:tr>
        <w:tc>
          <w:tcPr>
            <w:tcW w:type="dxa" w:w="3552"/>
            <w:vAlign w:val="center"/>
            <w:tcMar>
              <w:top w:w="50" w:type="dxa"/>
              <w:start w:w="70" w:type="dxa"/>
              <w:bottom w:w="50" w:type="dxa"/>
              <w:end w:w="70" w:type="dxa"/>
            </w:tcMar>
          </w:tcPr>
          <w:p>
            <w:pPr>
              <w:spacing w:after="20"/>
            </w:pPr>
            <w:r>
              <w:rPr>
                <w:rFonts w:ascii="Aptos" w:hAnsi="Aptos" w:eastAsia="Aptos"/>
                <w:sz w:val="16"/>
              </w:rPr>
              <w:t>status</w:t>
            </w:r>
          </w:p>
        </w:tc>
        <w:tc>
          <w:tcPr>
            <w:tcW w:type="dxa" w:w="3552"/>
            <w:vAlign w:val="center"/>
            <w:tcMar>
              <w:top w:w="50" w:type="dxa"/>
              <w:start w:w="70" w:type="dxa"/>
              <w:bottom w:w="50" w:type="dxa"/>
              <w:end w:w="70" w:type="dxa"/>
            </w:tcMar>
          </w:tcPr>
          <w:p>
            <w:pPr>
              <w:spacing w:after="20"/>
            </w:pPr>
            <w:r>
              <w:rPr>
                <w:rFonts w:ascii="Aptos" w:hAnsi="Aptos" w:eastAsia="Aptos"/>
                <w:sz w:val="16"/>
              </w:rPr>
              <w:t>Yes</w:t>
            </w:r>
          </w:p>
        </w:tc>
        <w:tc>
          <w:tcPr>
            <w:tcW w:type="dxa" w:w="3552"/>
            <w:vAlign w:val="center"/>
            <w:tcMar>
              <w:top w:w="50" w:type="dxa"/>
              <w:start w:w="70" w:type="dxa"/>
              <w:bottom w:w="50" w:type="dxa"/>
              <w:end w:w="70" w:type="dxa"/>
            </w:tcMar>
          </w:tcPr>
          <w:p>
            <w:pPr>
              <w:spacing w:after="20"/>
            </w:pPr>
            <w:r>
              <w:rPr>
                <w:rFonts w:ascii="Aptos" w:hAnsi="Aptos" w:eastAsia="Aptos"/>
                <w:sz w:val="16"/>
              </w:rPr>
              <w:t>Draft, approved, active, superseded, retired, purged.</w:t>
            </w:r>
          </w:p>
        </w:tc>
      </w:tr>
    </w:tbl>
    <w:p>
      <w:pPr/>
    </w:p>
    <w:p>
      <w:pPr>
        <w:pStyle w:val="Heading2"/>
      </w:pPr>
      <w:r>
        <w:t>6.2 Example Register Entries</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Artifact ID</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Artifact Type</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Classification</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Prompt Eligibility</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Model Route</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Retention Rule</w:t>
            </w:r>
          </w:p>
        </w:tc>
        <w:tc>
          <w:tcPr>
            <w:tcW w:type="dxa" w:w="1522"/>
            <w:vAlign w:val="center"/>
            <w:tcMar>
              <w:top w:w="50" w:type="dxa"/>
              <w:start w:w="70" w:type="dxa"/>
              <w:bottom w:w="50" w:type="dxa"/>
              <w:end w:w="70" w:type="dxa"/>
            </w:tcMar>
            <w:shd w:fill="1F4E79"/>
          </w:tcPr>
          <w:p>
            <w:pPr>
              <w:spacing w:after="20"/>
            </w:pPr>
            <w:r>
              <w:rPr>
                <w:rFonts w:ascii="Aptos" w:hAnsi="Aptos" w:eastAsia="Aptos"/>
                <w:b/>
                <w:color w:val="FFFFFF"/>
                <w:sz w:val="14"/>
              </w:rPr>
              <w:t>Evidence Path</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AIRA-GOV-STANDARD</w:t>
            </w:r>
          </w:p>
        </w:tc>
        <w:tc>
          <w:tcPr>
            <w:tcW w:type="dxa" w:w="1522"/>
            <w:vAlign w:val="center"/>
            <w:tcMar>
              <w:top w:w="50" w:type="dxa"/>
              <w:start w:w="70" w:type="dxa"/>
              <w:bottom w:w="50" w:type="dxa"/>
              <w:end w:w="70" w:type="dxa"/>
            </w:tcMar>
          </w:tcPr>
          <w:p>
            <w:pPr>
              <w:spacing w:after="20"/>
            </w:pPr>
            <w:r>
              <w:rPr>
                <w:rFonts w:ascii="Aptos" w:hAnsi="Aptos" w:eastAsia="Aptos"/>
                <w:sz w:val="14"/>
              </w:rPr>
              <w:t>Approved standards</w:t>
            </w:r>
          </w:p>
        </w:tc>
        <w:tc>
          <w:tcPr>
            <w:tcW w:type="dxa" w:w="1522"/>
            <w:vAlign w:val="center"/>
            <w:tcMar>
              <w:top w:w="50" w:type="dxa"/>
              <w:start w:w="70" w:type="dxa"/>
              <w:bottom w:w="50" w:type="dxa"/>
              <w:end w:w="70" w:type="dxa"/>
            </w:tcMar>
          </w:tcPr>
          <w:p>
            <w:pPr>
              <w:spacing w:after="20"/>
            </w:pPr>
            <w:r>
              <w:rPr>
                <w:rFonts w:ascii="Aptos" w:hAnsi="Aptos" w:eastAsia="Aptos"/>
                <w:sz w:val="14"/>
              </w:rPr>
              <w:t>Confidential</w:t>
            </w:r>
          </w:p>
        </w:tc>
        <w:tc>
          <w:tcPr>
            <w:tcW w:type="dxa" w:w="1522"/>
            <w:vAlign w:val="center"/>
            <w:tcMar>
              <w:top w:w="50" w:type="dxa"/>
              <w:start w:w="70" w:type="dxa"/>
              <w:bottom w:w="50" w:type="dxa"/>
              <w:end w:w="70" w:type="dxa"/>
            </w:tcMar>
          </w:tcPr>
          <w:p>
            <w:pPr>
              <w:spacing w:after="20"/>
            </w:pPr>
            <w:r>
              <w:rPr>
                <w:rFonts w:ascii="Aptos" w:hAnsi="Aptos" w:eastAsia="Aptos"/>
                <w:sz w:val="14"/>
              </w:rPr>
              <w:t>Redacted-only</w:t>
            </w:r>
          </w:p>
        </w:tc>
        <w:tc>
          <w:tcPr>
            <w:tcW w:type="dxa" w:w="1522"/>
            <w:vAlign w:val="center"/>
            <w:tcMar>
              <w:top w:w="50" w:type="dxa"/>
              <w:start w:w="70" w:type="dxa"/>
              <w:bottom w:w="50" w:type="dxa"/>
              <w:end w:w="70" w:type="dxa"/>
            </w:tcMar>
          </w:tcPr>
          <w:p>
            <w:pPr>
              <w:spacing w:after="20"/>
            </w:pPr>
            <w:r>
              <w:rPr>
                <w:rFonts w:ascii="Aptos" w:hAnsi="Aptos" w:eastAsia="Aptos"/>
                <w:sz w:val="14"/>
              </w:rPr>
              <w:t>Approved workspace or private route</w:t>
            </w:r>
          </w:p>
        </w:tc>
        <w:tc>
          <w:tcPr>
            <w:tcW w:type="dxa" w:w="1522"/>
            <w:vAlign w:val="center"/>
            <w:tcMar>
              <w:top w:w="50" w:type="dxa"/>
              <w:start w:w="70" w:type="dxa"/>
              <w:bottom w:w="50" w:type="dxa"/>
              <w:end w:w="70" w:type="dxa"/>
            </w:tcMar>
          </w:tcPr>
          <w:p>
            <w:pPr>
              <w:spacing w:after="20"/>
            </w:pPr>
            <w:r>
              <w:rPr>
                <w:rFonts w:ascii="Aptos" w:hAnsi="Aptos" w:eastAsia="Aptos"/>
                <w:sz w:val="14"/>
              </w:rPr>
              <w:t>RET-GOV-07Y</w:t>
            </w:r>
          </w:p>
        </w:tc>
        <w:tc>
          <w:tcPr>
            <w:tcW w:type="dxa" w:w="1522"/>
            <w:vAlign w:val="center"/>
            <w:tcMar>
              <w:top w:w="50" w:type="dxa"/>
              <w:start w:w="70" w:type="dxa"/>
              <w:bottom w:w="50" w:type="dxa"/>
              <w:end w:w="70" w:type="dxa"/>
            </w:tcMar>
          </w:tcPr>
          <w:p>
            <w:pPr>
              <w:spacing w:after="20"/>
            </w:pPr>
            <w:r>
              <w:rPr>
                <w:rFonts w:ascii="Aptos" w:hAnsi="Aptos" w:eastAsia="Aptos"/>
                <w:sz w:val="14"/>
              </w:rPr>
              <w:t>OpenKM / AIRA / Standards</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AIRA-CI-EVIDENCE</w:t>
            </w:r>
          </w:p>
        </w:tc>
        <w:tc>
          <w:tcPr>
            <w:tcW w:type="dxa" w:w="1522"/>
            <w:vAlign w:val="center"/>
            <w:tcMar>
              <w:top w:w="50" w:type="dxa"/>
              <w:start w:w="70" w:type="dxa"/>
              <w:bottom w:w="50" w:type="dxa"/>
              <w:end w:w="70" w:type="dxa"/>
            </w:tcMar>
          </w:tcPr>
          <w:p>
            <w:pPr>
              <w:spacing w:after="20"/>
            </w:pPr>
            <w:r>
              <w:rPr>
                <w:rFonts w:ascii="Aptos" w:hAnsi="Aptos" w:eastAsia="Aptos"/>
                <w:sz w:val="14"/>
              </w:rPr>
              <w:t>CI/CD evidence pack</w:t>
            </w:r>
          </w:p>
        </w:tc>
        <w:tc>
          <w:tcPr>
            <w:tcW w:type="dxa" w:w="1522"/>
            <w:vAlign w:val="center"/>
            <w:tcMar>
              <w:top w:w="50" w:type="dxa"/>
              <w:start w:w="70" w:type="dxa"/>
              <w:bottom w:w="50" w:type="dxa"/>
              <w:end w:w="70" w:type="dxa"/>
            </w:tcMar>
          </w:tcPr>
          <w:p>
            <w:pPr>
              <w:spacing w:after="20"/>
            </w:pPr>
            <w:r>
              <w:rPr>
                <w:rFonts w:ascii="Aptos" w:hAnsi="Aptos" w:eastAsia="Aptos"/>
                <w:sz w:val="14"/>
              </w:rPr>
              <w:t>Internal to Confidential</w:t>
            </w:r>
          </w:p>
        </w:tc>
        <w:tc>
          <w:tcPr>
            <w:tcW w:type="dxa" w:w="1522"/>
            <w:vAlign w:val="center"/>
            <w:tcMar>
              <w:top w:w="50" w:type="dxa"/>
              <w:start w:w="70" w:type="dxa"/>
              <w:bottom w:w="50" w:type="dxa"/>
              <w:end w:w="70" w:type="dxa"/>
            </w:tcMar>
          </w:tcPr>
          <w:p>
            <w:pPr>
              <w:spacing w:after="20"/>
            </w:pPr>
            <w:r>
              <w:rPr>
                <w:rFonts w:ascii="Aptos" w:hAnsi="Aptos" w:eastAsia="Aptos"/>
                <w:sz w:val="14"/>
              </w:rPr>
              <w:t>Redacted-only</w:t>
            </w:r>
          </w:p>
        </w:tc>
        <w:tc>
          <w:tcPr>
            <w:tcW w:type="dxa" w:w="1522"/>
            <w:vAlign w:val="center"/>
            <w:tcMar>
              <w:top w:w="50" w:type="dxa"/>
              <w:start w:w="70" w:type="dxa"/>
              <w:bottom w:w="50" w:type="dxa"/>
              <w:end w:w="70" w:type="dxa"/>
            </w:tcMar>
          </w:tcPr>
          <w:p>
            <w:pPr>
              <w:spacing w:after="20"/>
            </w:pPr>
            <w:r>
              <w:rPr>
                <w:rFonts w:ascii="Aptos" w:hAnsi="Aptos" w:eastAsia="Aptos"/>
                <w:sz w:val="14"/>
              </w:rPr>
              <w:t>Internal route; Restricted findings private route</w:t>
            </w:r>
          </w:p>
        </w:tc>
        <w:tc>
          <w:tcPr>
            <w:tcW w:type="dxa" w:w="1522"/>
            <w:vAlign w:val="center"/>
            <w:tcMar>
              <w:top w:w="50" w:type="dxa"/>
              <w:start w:w="70" w:type="dxa"/>
              <w:bottom w:w="50" w:type="dxa"/>
              <w:end w:w="70" w:type="dxa"/>
            </w:tcMar>
          </w:tcPr>
          <w:p>
            <w:pPr>
              <w:spacing w:after="20"/>
            </w:pPr>
            <w:r>
              <w:rPr>
                <w:rFonts w:ascii="Aptos" w:hAnsi="Aptos" w:eastAsia="Aptos"/>
                <w:sz w:val="14"/>
              </w:rPr>
              <w:t>RET-REL-07Y</w:t>
            </w:r>
          </w:p>
        </w:tc>
        <w:tc>
          <w:tcPr>
            <w:tcW w:type="dxa" w:w="1522"/>
            <w:vAlign w:val="center"/>
            <w:tcMar>
              <w:top w:w="50" w:type="dxa"/>
              <w:start w:w="70" w:type="dxa"/>
              <w:bottom w:w="50" w:type="dxa"/>
              <w:end w:w="70" w:type="dxa"/>
            </w:tcMar>
          </w:tcPr>
          <w:p>
            <w:pPr>
              <w:spacing w:after="20"/>
            </w:pPr>
            <w:r>
              <w:rPr>
                <w:rFonts w:ascii="Aptos" w:hAnsi="Aptos" w:eastAsia="Aptos"/>
                <w:sz w:val="14"/>
              </w:rPr>
              <w:t>OpenKM / AIRA / Evidence / CI</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AIRA-SEC-FINDING</w:t>
            </w:r>
          </w:p>
        </w:tc>
        <w:tc>
          <w:tcPr>
            <w:tcW w:type="dxa" w:w="1522"/>
            <w:vAlign w:val="center"/>
            <w:tcMar>
              <w:top w:w="50" w:type="dxa"/>
              <w:start w:w="70" w:type="dxa"/>
              <w:bottom w:w="50" w:type="dxa"/>
              <w:end w:w="70" w:type="dxa"/>
            </w:tcMar>
          </w:tcPr>
          <w:p>
            <w:pPr>
              <w:spacing w:after="20"/>
            </w:pPr>
            <w:r>
              <w:rPr>
                <w:rFonts w:ascii="Aptos" w:hAnsi="Aptos" w:eastAsia="Aptos"/>
                <w:sz w:val="14"/>
              </w:rPr>
              <w:t>Security findings</w:t>
            </w:r>
          </w:p>
        </w:tc>
        <w:tc>
          <w:tcPr>
            <w:tcW w:type="dxa" w:w="1522"/>
            <w:vAlign w:val="center"/>
            <w:tcMar>
              <w:top w:w="50" w:type="dxa"/>
              <w:start w:w="70" w:type="dxa"/>
              <w:bottom w:w="50" w:type="dxa"/>
              <w:end w:w="70" w:type="dxa"/>
            </w:tcMar>
          </w:tcPr>
          <w:p>
            <w:pPr>
              <w:spacing w:after="20"/>
            </w:pPr>
            <w:r>
              <w:rPr>
                <w:rFonts w:ascii="Aptos" w:hAnsi="Aptos" w:eastAsia="Aptos"/>
                <w:sz w:val="14"/>
              </w:rPr>
              <w:t>Confidential to Restricted</w:t>
            </w:r>
          </w:p>
        </w:tc>
        <w:tc>
          <w:tcPr>
            <w:tcW w:type="dxa" w:w="1522"/>
            <w:vAlign w:val="center"/>
            <w:tcMar>
              <w:top w:w="50" w:type="dxa"/>
              <w:start w:w="70" w:type="dxa"/>
              <w:bottom w:w="50" w:type="dxa"/>
              <w:end w:w="70" w:type="dxa"/>
            </w:tcMar>
          </w:tcPr>
          <w:p>
            <w:pPr>
              <w:spacing w:after="20"/>
            </w:pPr>
            <w:r>
              <w:rPr>
                <w:rFonts w:ascii="Aptos" w:hAnsi="Aptos" w:eastAsia="Aptos"/>
                <w:sz w:val="14"/>
              </w:rPr>
              <w:t>Private-route-only</w:t>
            </w:r>
          </w:p>
        </w:tc>
        <w:tc>
          <w:tcPr>
            <w:tcW w:type="dxa" w:w="1522"/>
            <w:vAlign w:val="center"/>
            <w:tcMar>
              <w:top w:w="50" w:type="dxa"/>
              <w:start w:w="70" w:type="dxa"/>
              <w:bottom w:w="50" w:type="dxa"/>
              <w:end w:w="70" w:type="dxa"/>
            </w:tcMar>
          </w:tcPr>
          <w:p>
            <w:pPr>
              <w:spacing w:after="20"/>
            </w:pPr>
            <w:r>
              <w:rPr>
                <w:rFonts w:ascii="Aptos" w:hAnsi="Aptos" w:eastAsia="Aptos"/>
                <w:sz w:val="14"/>
              </w:rPr>
              <w:t>Private/on-prem</w:t>
            </w:r>
          </w:p>
        </w:tc>
        <w:tc>
          <w:tcPr>
            <w:tcW w:type="dxa" w:w="1522"/>
            <w:vAlign w:val="center"/>
            <w:tcMar>
              <w:top w:w="50" w:type="dxa"/>
              <w:start w:w="70" w:type="dxa"/>
              <w:bottom w:w="50" w:type="dxa"/>
              <w:end w:w="70" w:type="dxa"/>
            </w:tcMar>
          </w:tcPr>
          <w:p>
            <w:pPr>
              <w:spacing w:after="20"/>
            </w:pPr>
            <w:r>
              <w:rPr>
                <w:rFonts w:ascii="Aptos" w:hAnsi="Aptos" w:eastAsia="Aptos"/>
                <w:sz w:val="14"/>
              </w:rPr>
              <w:t>RET-SEC-07Y</w:t>
            </w:r>
          </w:p>
        </w:tc>
        <w:tc>
          <w:tcPr>
            <w:tcW w:type="dxa" w:w="1522"/>
            <w:vAlign w:val="center"/>
            <w:tcMar>
              <w:top w:w="50" w:type="dxa"/>
              <w:start w:w="70" w:type="dxa"/>
              <w:bottom w:w="50" w:type="dxa"/>
              <w:end w:w="70" w:type="dxa"/>
            </w:tcMar>
          </w:tcPr>
          <w:p>
            <w:pPr>
              <w:spacing w:after="20"/>
            </w:pPr>
            <w:r>
              <w:rPr>
                <w:rFonts w:ascii="Aptos" w:hAnsi="Aptos" w:eastAsia="Aptos"/>
                <w:sz w:val="14"/>
              </w:rPr>
              <w:t>Security evidence store / OpenKM</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AIRA-CUSTOMER-DOC</w:t>
            </w:r>
          </w:p>
        </w:tc>
        <w:tc>
          <w:tcPr>
            <w:tcW w:type="dxa" w:w="1522"/>
            <w:vAlign w:val="center"/>
            <w:tcMar>
              <w:top w:w="50" w:type="dxa"/>
              <w:start w:w="70" w:type="dxa"/>
              <w:bottom w:w="50" w:type="dxa"/>
              <w:end w:w="70" w:type="dxa"/>
            </w:tcMar>
          </w:tcPr>
          <w:p>
            <w:pPr>
              <w:spacing w:after="20"/>
            </w:pPr>
            <w:r>
              <w:rPr>
                <w:rFonts w:ascii="Aptos" w:hAnsi="Aptos" w:eastAsia="Aptos"/>
                <w:sz w:val="14"/>
              </w:rPr>
              <w:t>Customer uploaded document</w:t>
            </w:r>
          </w:p>
        </w:tc>
        <w:tc>
          <w:tcPr>
            <w:tcW w:type="dxa" w:w="1522"/>
            <w:vAlign w:val="center"/>
            <w:tcMar>
              <w:top w:w="50" w:type="dxa"/>
              <w:start w:w="70" w:type="dxa"/>
              <w:bottom w:w="50" w:type="dxa"/>
              <w:end w:w="70" w:type="dxa"/>
            </w:tcMar>
          </w:tcPr>
          <w:p>
            <w:pPr>
              <w:spacing w:after="20"/>
            </w:pPr>
            <w:r>
              <w:rPr>
                <w:rFonts w:ascii="Aptos" w:hAnsi="Aptos" w:eastAsia="Aptos"/>
                <w:sz w:val="14"/>
              </w:rPr>
              <w:t>Restricted</w:t>
            </w:r>
          </w:p>
        </w:tc>
        <w:tc>
          <w:tcPr>
            <w:tcW w:type="dxa" w:w="1522"/>
            <w:vAlign w:val="center"/>
            <w:tcMar>
              <w:top w:w="50" w:type="dxa"/>
              <w:start w:w="70" w:type="dxa"/>
              <w:bottom w:w="50" w:type="dxa"/>
              <w:end w:w="70" w:type="dxa"/>
            </w:tcMar>
          </w:tcPr>
          <w:p>
            <w:pPr>
              <w:spacing w:after="20"/>
            </w:pPr>
            <w:r>
              <w:rPr>
                <w:rFonts w:ascii="Aptos" w:hAnsi="Aptos" w:eastAsia="Aptos"/>
                <w:sz w:val="14"/>
              </w:rPr>
              <w:t>Prohibited unless private route and approved redaction</w:t>
            </w:r>
          </w:p>
        </w:tc>
        <w:tc>
          <w:tcPr>
            <w:tcW w:type="dxa" w:w="1522"/>
            <w:vAlign w:val="center"/>
            <w:tcMar>
              <w:top w:w="50" w:type="dxa"/>
              <w:start w:w="70" w:type="dxa"/>
              <w:bottom w:w="50" w:type="dxa"/>
              <w:end w:w="70" w:type="dxa"/>
            </w:tcMar>
          </w:tcPr>
          <w:p>
            <w:pPr>
              <w:spacing w:after="20"/>
            </w:pPr>
            <w:r>
              <w:rPr>
                <w:rFonts w:ascii="Aptos" w:hAnsi="Aptos" w:eastAsia="Aptos"/>
                <w:sz w:val="14"/>
              </w:rPr>
              <w:t>Private/on-prem only</w:t>
            </w:r>
          </w:p>
        </w:tc>
        <w:tc>
          <w:tcPr>
            <w:tcW w:type="dxa" w:w="1522"/>
            <w:vAlign w:val="center"/>
            <w:tcMar>
              <w:top w:w="50" w:type="dxa"/>
              <w:start w:w="70" w:type="dxa"/>
              <w:bottom w:w="50" w:type="dxa"/>
              <w:end w:w="70" w:type="dxa"/>
            </w:tcMar>
          </w:tcPr>
          <w:p>
            <w:pPr>
              <w:spacing w:after="20"/>
            </w:pPr>
            <w:r>
              <w:rPr>
                <w:rFonts w:ascii="Aptos" w:hAnsi="Aptos" w:eastAsia="Aptos"/>
                <w:sz w:val="14"/>
              </w:rPr>
              <w:t>RET-BUS-POLICY</w:t>
            </w:r>
          </w:p>
        </w:tc>
        <w:tc>
          <w:tcPr>
            <w:tcW w:type="dxa" w:w="1522"/>
            <w:vAlign w:val="center"/>
            <w:tcMar>
              <w:top w:w="50" w:type="dxa"/>
              <w:start w:w="70" w:type="dxa"/>
              <w:bottom w:w="50" w:type="dxa"/>
              <w:end w:w="70" w:type="dxa"/>
            </w:tcMar>
          </w:tcPr>
          <w:p>
            <w:pPr>
              <w:spacing w:after="20"/>
            </w:pPr>
            <w:r>
              <w:rPr>
                <w:rFonts w:ascii="Aptos" w:hAnsi="Aptos" w:eastAsia="Aptos"/>
                <w:sz w:val="14"/>
              </w:rPr>
              <w:t>OpenKM / customer-document vault</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AIRA-PROMPT-TEMPLATE</w:t>
            </w:r>
          </w:p>
        </w:tc>
        <w:tc>
          <w:tcPr>
            <w:tcW w:type="dxa" w:w="1522"/>
            <w:vAlign w:val="center"/>
            <w:tcMar>
              <w:top w:w="50" w:type="dxa"/>
              <w:start w:w="70" w:type="dxa"/>
              <w:bottom w:w="50" w:type="dxa"/>
              <w:end w:w="70" w:type="dxa"/>
            </w:tcMar>
          </w:tcPr>
          <w:p>
            <w:pPr>
              <w:spacing w:after="20"/>
            </w:pPr>
            <w:r>
              <w:rPr>
                <w:rFonts w:ascii="Aptos" w:hAnsi="Aptos" w:eastAsia="Aptos"/>
                <w:sz w:val="14"/>
              </w:rPr>
              <w:t>Approved prompt template</w:t>
            </w:r>
          </w:p>
        </w:tc>
        <w:tc>
          <w:tcPr>
            <w:tcW w:type="dxa" w:w="1522"/>
            <w:vAlign w:val="center"/>
            <w:tcMar>
              <w:top w:w="50" w:type="dxa"/>
              <w:start w:w="70" w:type="dxa"/>
              <w:bottom w:w="50" w:type="dxa"/>
              <w:end w:w="70" w:type="dxa"/>
            </w:tcMar>
          </w:tcPr>
          <w:p>
            <w:pPr>
              <w:spacing w:after="20"/>
            </w:pPr>
            <w:r>
              <w:rPr>
                <w:rFonts w:ascii="Aptos" w:hAnsi="Aptos" w:eastAsia="Aptos"/>
                <w:sz w:val="14"/>
              </w:rPr>
              <w:t>Internal or Confidential</w:t>
            </w:r>
          </w:p>
        </w:tc>
        <w:tc>
          <w:tcPr>
            <w:tcW w:type="dxa" w:w="1522"/>
            <w:vAlign w:val="center"/>
            <w:tcMar>
              <w:top w:w="50" w:type="dxa"/>
              <w:start w:w="70" w:type="dxa"/>
              <w:bottom w:w="50" w:type="dxa"/>
              <w:end w:w="70" w:type="dxa"/>
            </w:tcMar>
          </w:tcPr>
          <w:p>
            <w:pPr>
              <w:spacing w:after="20"/>
            </w:pPr>
            <w:r>
              <w:rPr>
                <w:rFonts w:ascii="Aptos" w:hAnsi="Aptos" w:eastAsia="Aptos"/>
                <w:sz w:val="14"/>
              </w:rPr>
              <w:t>Allowed by policy</w:t>
            </w:r>
          </w:p>
        </w:tc>
        <w:tc>
          <w:tcPr>
            <w:tcW w:type="dxa" w:w="1522"/>
            <w:vAlign w:val="center"/>
            <w:tcMar>
              <w:top w:w="50" w:type="dxa"/>
              <w:start w:w="70" w:type="dxa"/>
              <w:bottom w:w="50" w:type="dxa"/>
              <w:end w:w="70" w:type="dxa"/>
            </w:tcMar>
          </w:tcPr>
          <w:p>
            <w:pPr>
              <w:spacing w:after="20"/>
            </w:pPr>
            <w:r>
              <w:rPr>
                <w:rFonts w:ascii="Aptos" w:hAnsi="Aptos" w:eastAsia="Aptos"/>
                <w:sz w:val="14"/>
              </w:rPr>
              <w:t>LiteLLM approved alias</w:t>
            </w:r>
          </w:p>
        </w:tc>
        <w:tc>
          <w:tcPr>
            <w:tcW w:type="dxa" w:w="1522"/>
            <w:vAlign w:val="center"/>
            <w:tcMar>
              <w:top w:w="50" w:type="dxa"/>
              <w:start w:w="70" w:type="dxa"/>
              <w:bottom w:w="50" w:type="dxa"/>
              <w:end w:w="70" w:type="dxa"/>
            </w:tcMar>
          </w:tcPr>
          <w:p>
            <w:pPr>
              <w:spacing w:after="20"/>
            </w:pPr>
            <w:r>
              <w:rPr>
                <w:rFonts w:ascii="Aptos" w:hAnsi="Aptos" w:eastAsia="Aptos"/>
                <w:sz w:val="14"/>
              </w:rPr>
              <w:t>RET-AI-03Y</w:t>
            </w:r>
          </w:p>
        </w:tc>
        <w:tc>
          <w:tcPr>
            <w:tcW w:type="dxa" w:w="1522"/>
            <w:vAlign w:val="center"/>
            <w:tcMar>
              <w:top w:w="50" w:type="dxa"/>
              <w:start w:w="70" w:type="dxa"/>
              <w:bottom w:w="50" w:type="dxa"/>
              <w:end w:w="70" w:type="dxa"/>
            </w:tcMar>
          </w:tcPr>
          <w:p>
            <w:pPr>
              <w:spacing w:after="20"/>
            </w:pPr>
            <w:r>
              <w:rPr>
                <w:rFonts w:ascii="Aptos" w:hAnsi="Aptos" w:eastAsia="Aptos"/>
                <w:sz w:val="14"/>
              </w:rPr>
              <w:t>Git / ai/prompts</w:t>
            </w:r>
          </w:p>
        </w:tc>
      </w:tr>
      <w:tr>
        <w:tc>
          <w:tcPr>
            <w:tcW w:type="dxa" w:w="1522"/>
            <w:vAlign w:val="center"/>
            <w:tcMar>
              <w:top w:w="50" w:type="dxa"/>
              <w:start w:w="70" w:type="dxa"/>
              <w:bottom w:w="50" w:type="dxa"/>
              <w:end w:w="70" w:type="dxa"/>
            </w:tcMar>
          </w:tcPr>
          <w:p>
            <w:pPr>
              <w:spacing w:after="20"/>
            </w:pPr>
            <w:r>
              <w:rPr>
                <w:rFonts w:ascii="Aptos" w:hAnsi="Aptos" w:eastAsia="Aptos"/>
                <w:sz w:val="14"/>
              </w:rPr>
              <w:t>AIRA-EMBEDDING-CHUNK</w:t>
            </w:r>
          </w:p>
        </w:tc>
        <w:tc>
          <w:tcPr>
            <w:tcW w:type="dxa" w:w="1522"/>
            <w:vAlign w:val="center"/>
            <w:tcMar>
              <w:top w:w="50" w:type="dxa"/>
              <w:start w:w="70" w:type="dxa"/>
              <w:bottom w:w="50" w:type="dxa"/>
              <w:end w:w="70" w:type="dxa"/>
            </w:tcMar>
          </w:tcPr>
          <w:p>
            <w:pPr>
              <w:spacing w:after="20"/>
            </w:pPr>
            <w:r>
              <w:rPr>
                <w:rFonts w:ascii="Aptos" w:hAnsi="Aptos" w:eastAsia="Aptos"/>
                <w:sz w:val="14"/>
              </w:rPr>
              <w:t>Retrieval chunk/embedding</w:t>
            </w:r>
          </w:p>
        </w:tc>
        <w:tc>
          <w:tcPr>
            <w:tcW w:type="dxa" w:w="1522"/>
            <w:vAlign w:val="center"/>
            <w:tcMar>
              <w:top w:w="50" w:type="dxa"/>
              <w:start w:w="70" w:type="dxa"/>
              <w:bottom w:w="50" w:type="dxa"/>
              <w:end w:w="70" w:type="dxa"/>
            </w:tcMar>
          </w:tcPr>
          <w:p>
            <w:pPr>
              <w:spacing w:after="20"/>
            </w:pPr>
            <w:r>
              <w:rPr>
                <w:rFonts w:ascii="Aptos" w:hAnsi="Aptos" w:eastAsia="Aptos"/>
                <w:sz w:val="14"/>
              </w:rPr>
              <w:t>Same as source or stricter</w:t>
            </w:r>
          </w:p>
        </w:tc>
        <w:tc>
          <w:tcPr>
            <w:tcW w:type="dxa" w:w="1522"/>
            <w:vAlign w:val="center"/>
            <w:tcMar>
              <w:top w:w="50" w:type="dxa"/>
              <w:start w:w="70" w:type="dxa"/>
              <w:bottom w:w="50" w:type="dxa"/>
              <w:end w:w="70" w:type="dxa"/>
            </w:tcMar>
          </w:tcPr>
          <w:p>
            <w:pPr>
              <w:spacing w:after="20"/>
            </w:pPr>
            <w:r>
              <w:rPr>
                <w:rFonts w:ascii="Aptos" w:hAnsi="Aptos" w:eastAsia="Aptos"/>
                <w:sz w:val="14"/>
              </w:rPr>
              <w:t>Private-route-only if Confidential/Restricted</w:t>
            </w:r>
          </w:p>
        </w:tc>
        <w:tc>
          <w:tcPr>
            <w:tcW w:type="dxa" w:w="1522"/>
            <w:vAlign w:val="center"/>
            <w:tcMar>
              <w:top w:w="50" w:type="dxa"/>
              <w:start w:w="70" w:type="dxa"/>
              <w:bottom w:w="50" w:type="dxa"/>
              <w:end w:w="70" w:type="dxa"/>
            </w:tcMar>
          </w:tcPr>
          <w:p>
            <w:pPr>
              <w:spacing w:after="20"/>
            </w:pPr>
            <w:r>
              <w:rPr>
                <w:rFonts w:ascii="Aptos" w:hAnsi="Aptos" w:eastAsia="Aptos"/>
                <w:sz w:val="14"/>
              </w:rPr>
              <w:t>Route inherited from source</w:t>
            </w:r>
          </w:p>
        </w:tc>
        <w:tc>
          <w:tcPr>
            <w:tcW w:type="dxa" w:w="1522"/>
            <w:vAlign w:val="center"/>
            <w:tcMar>
              <w:top w:w="50" w:type="dxa"/>
              <w:start w:w="70" w:type="dxa"/>
              <w:bottom w:w="50" w:type="dxa"/>
              <w:end w:w="70" w:type="dxa"/>
            </w:tcMar>
          </w:tcPr>
          <w:p>
            <w:pPr>
              <w:spacing w:after="20"/>
            </w:pPr>
            <w:r>
              <w:rPr>
                <w:rFonts w:ascii="Aptos" w:hAnsi="Aptos" w:eastAsia="Aptos"/>
                <w:sz w:val="14"/>
              </w:rPr>
              <w:t>Same as source or shorter</w:t>
            </w:r>
          </w:p>
        </w:tc>
        <w:tc>
          <w:tcPr>
            <w:tcW w:type="dxa" w:w="1522"/>
            <w:vAlign w:val="center"/>
            <w:tcMar>
              <w:top w:w="50" w:type="dxa"/>
              <w:start w:w="70" w:type="dxa"/>
              <w:bottom w:w="50" w:type="dxa"/>
              <w:end w:w="70" w:type="dxa"/>
            </w:tcMar>
          </w:tcPr>
          <w:p>
            <w:pPr>
              <w:spacing w:after="20"/>
            </w:pPr>
            <w:r>
              <w:rPr>
                <w:rFonts w:ascii="Aptos" w:hAnsi="Aptos" w:eastAsia="Aptos"/>
                <w:sz w:val="14"/>
              </w:rPr>
              <w:t>PostgreSQL / pgvector lineage</w:t>
            </w:r>
          </w:p>
        </w:tc>
      </w:tr>
    </w:tbl>
    <w:p>
      <w:pPr/>
    </w:p>
    <w:p>
      <w:pPr>
        <w:pStyle w:val="Heading1"/>
        <w:pBdr>
          <w:bottom w:val="single" w:sz="8" w:space="1" w:color="D9EAF7"/>
        </w:pBdr>
      </w:pPr>
      <w:r>
        <w:t>7. Retention Schedule Register</w:t>
      </w:r>
    </w:p>
    <w:p>
      <w:pPr>
        <w:pStyle w:val="Callout"/>
      </w:pPr>
      <w:r>
        <w:rPr>
          <w:rFonts w:ascii="Aptos" w:hAnsi="Aptos" w:eastAsia="Aptos"/>
        </w:rPr>
        <w:t>Retention rules must be approved by Data Governance, Compliance, Security, and the business owner where applicable. The periods below are engineering baselines and must be adjusted when legal, regulatory, contractual, or corporate retention rules require stricter retention.</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Retention Rule ID</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Artifact Class</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Minimum Retention</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Disposition</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Notes</w:t>
            </w:r>
          </w:p>
        </w:tc>
      </w:tr>
      <w:tr>
        <w:tc>
          <w:tcPr>
            <w:tcW w:type="dxa" w:w="2131"/>
            <w:vAlign w:val="center"/>
            <w:tcMar>
              <w:top w:w="50" w:type="dxa"/>
              <w:start w:w="70" w:type="dxa"/>
              <w:bottom w:w="50" w:type="dxa"/>
              <w:end w:w="70" w:type="dxa"/>
            </w:tcMar>
          </w:tcPr>
          <w:p>
            <w:pPr>
              <w:spacing w:after="20"/>
            </w:pPr>
            <w:r>
              <w:rPr>
                <w:rFonts w:ascii="Aptos" w:hAnsi="Aptos" w:eastAsia="Aptos"/>
                <w:sz w:val="14"/>
              </w:rPr>
              <w:t>RET-GOV-07Y</w:t>
            </w:r>
          </w:p>
        </w:tc>
        <w:tc>
          <w:tcPr>
            <w:tcW w:type="dxa" w:w="2131"/>
            <w:vAlign w:val="center"/>
            <w:tcMar>
              <w:top w:w="50" w:type="dxa"/>
              <w:start w:w="70" w:type="dxa"/>
              <w:bottom w:w="50" w:type="dxa"/>
              <w:end w:w="70" w:type="dxa"/>
            </w:tcMar>
          </w:tcPr>
          <w:p>
            <w:pPr>
              <w:spacing w:after="20"/>
            </w:pPr>
            <w:r>
              <w:rPr>
                <w:rFonts w:ascii="Aptos" w:hAnsi="Aptos" w:eastAsia="Aptos"/>
                <w:sz w:val="14"/>
              </w:rPr>
              <w:t>Approved standards, policies, ADRs, waivers, architecture decisions</w:t>
            </w:r>
          </w:p>
        </w:tc>
        <w:tc>
          <w:tcPr>
            <w:tcW w:type="dxa" w:w="2131"/>
            <w:vAlign w:val="center"/>
            <w:tcMar>
              <w:top w:w="50" w:type="dxa"/>
              <w:start w:w="70" w:type="dxa"/>
              <w:bottom w:w="50" w:type="dxa"/>
              <w:end w:w="70" w:type="dxa"/>
            </w:tcMar>
          </w:tcPr>
          <w:p>
            <w:pPr>
              <w:spacing w:after="20"/>
            </w:pPr>
            <w:r>
              <w:rPr>
                <w:rFonts w:ascii="Aptos" w:hAnsi="Aptos" w:eastAsia="Aptos"/>
                <w:sz w:val="14"/>
              </w:rPr>
              <w:t>7 years after supersedence or longer if required</w:t>
            </w:r>
          </w:p>
        </w:tc>
        <w:tc>
          <w:tcPr>
            <w:tcW w:type="dxa" w:w="2131"/>
            <w:vAlign w:val="center"/>
            <w:tcMar>
              <w:top w:w="50" w:type="dxa"/>
              <w:start w:w="70" w:type="dxa"/>
              <w:bottom w:w="50" w:type="dxa"/>
              <w:end w:w="70" w:type="dxa"/>
            </w:tcMar>
          </w:tcPr>
          <w:p>
            <w:pPr>
              <w:spacing w:after="20"/>
            </w:pPr>
            <w:r>
              <w:rPr>
                <w:rFonts w:ascii="Aptos" w:hAnsi="Aptos" w:eastAsia="Aptos"/>
                <w:sz w:val="14"/>
              </w:rPr>
              <w:t>Archive then controlled purge</w:t>
            </w:r>
          </w:p>
        </w:tc>
        <w:tc>
          <w:tcPr>
            <w:tcW w:type="dxa" w:w="2131"/>
            <w:vAlign w:val="center"/>
            <w:tcMar>
              <w:top w:w="50" w:type="dxa"/>
              <w:start w:w="70" w:type="dxa"/>
              <w:bottom w:w="50" w:type="dxa"/>
              <w:end w:w="70" w:type="dxa"/>
            </w:tcMar>
          </w:tcPr>
          <w:p>
            <w:pPr>
              <w:spacing w:after="20"/>
            </w:pPr>
            <w:r>
              <w:rPr>
                <w:rFonts w:ascii="Aptos" w:hAnsi="Aptos" w:eastAsia="Aptos"/>
                <w:sz w:val="14"/>
              </w:rPr>
              <w:t>Keep supersedence chain and approval evidence.</w:t>
            </w:r>
          </w:p>
        </w:tc>
      </w:tr>
      <w:tr>
        <w:tc>
          <w:tcPr>
            <w:tcW w:type="dxa" w:w="2131"/>
            <w:vAlign w:val="center"/>
            <w:tcMar>
              <w:top w:w="50" w:type="dxa"/>
              <w:start w:w="70" w:type="dxa"/>
              <w:bottom w:w="50" w:type="dxa"/>
              <w:end w:w="70" w:type="dxa"/>
            </w:tcMar>
          </w:tcPr>
          <w:p>
            <w:pPr>
              <w:spacing w:after="20"/>
            </w:pPr>
            <w:r>
              <w:rPr>
                <w:rFonts w:ascii="Aptos" w:hAnsi="Aptos" w:eastAsia="Aptos"/>
                <w:sz w:val="14"/>
              </w:rPr>
              <w:t>RET-REQ-07Y</w:t>
            </w:r>
          </w:p>
        </w:tc>
        <w:tc>
          <w:tcPr>
            <w:tcW w:type="dxa" w:w="2131"/>
            <w:vAlign w:val="center"/>
            <w:tcMar>
              <w:top w:w="50" w:type="dxa"/>
              <w:start w:w="70" w:type="dxa"/>
              <w:bottom w:w="50" w:type="dxa"/>
              <w:end w:w="70" w:type="dxa"/>
            </w:tcMar>
          </w:tcPr>
          <w:p>
            <w:pPr>
              <w:spacing w:after="20"/>
            </w:pPr>
            <w:r>
              <w:rPr>
                <w:rFonts w:ascii="Aptos" w:hAnsi="Aptos" w:eastAsia="Aptos"/>
                <w:sz w:val="14"/>
              </w:rPr>
              <w:t>Requirements, acceptance criteria, UAT sign-off, business approvals</w:t>
            </w:r>
          </w:p>
        </w:tc>
        <w:tc>
          <w:tcPr>
            <w:tcW w:type="dxa" w:w="2131"/>
            <w:vAlign w:val="center"/>
            <w:tcMar>
              <w:top w:w="50" w:type="dxa"/>
              <w:start w:w="70" w:type="dxa"/>
              <w:bottom w:w="50" w:type="dxa"/>
              <w:end w:w="70" w:type="dxa"/>
            </w:tcMar>
          </w:tcPr>
          <w:p>
            <w:pPr>
              <w:spacing w:after="20"/>
            </w:pPr>
            <w:r>
              <w:rPr>
                <w:rFonts w:ascii="Aptos" w:hAnsi="Aptos" w:eastAsia="Aptos"/>
                <w:sz w:val="14"/>
              </w:rPr>
              <w:t>7 years after system retirement or regulatory rule</w:t>
            </w:r>
          </w:p>
        </w:tc>
        <w:tc>
          <w:tcPr>
            <w:tcW w:type="dxa" w:w="2131"/>
            <w:vAlign w:val="center"/>
            <w:tcMar>
              <w:top w:w="50" w:type="dxa"/>
              <w:start w:w="70" w:type="dxa"/>
              <w:bottom w:w="50" w:type="dxa"/>
              <w:end w:w="70" w:type="dxa"/>
            </w:tcMar>
          </w:tcPr>
          <w:p>
            <w:pPr>
              <w:spacing w:after="20"/>
            </w:pPr>
            <w:r>
              <w:rPr>
                <w:rFonts w:ascii="Aptos" w:hAnsi="Aptos" w:eastAsia="Aptos"/>
                <w:sz w:val="14"/>
              </w:rPr>
              <w:t>Archive</w:t>
            </w:r>
          </w:p>
        </w:tc>
        <w:tc>
          <w:tcPr>
            <w:tcW w:type="dxa" w:w="2131"/>
            <w:vAlign w:val="center"/>
            <w:tcMar>
              <w:top w:w="50" w:type="dxa"/>
              <w:start w:w="70" w:type="dxa"/>
              <w:bottom w:w="50" w:type="dxa"/>
              <w:end w:w="70" w:type="dxa"/>
            </w:tcMar>
          </w:tcPr>
          <w:p>
            <w:pPr>
              <w:spacing w:after="20"/>
            </w:pPr>
            <w:r>
              <w:rPr>
                <w:rFonts w:ascii="Aptos" w:hAnsi="Aptos" w:eastAsia="Aptos"/>
                <w:sz w:val="14"/>
              </w:rPr>
              <w:t>Link to release and evidence pack.</w:t>
            </w:r>
          </w:p>
        </w:tc>
      </w:tr>
      <w:tr>
        <w:tc>
          <w:tcPr>
            <w:tcW w:type="dxa" w:w="2131"/>
            <w:vAlign w:val="center"/>
            <w:tcMar>
              <w:top w:w="50" w:type="dxa"/>
              <w:start w:w="70" w:type="dxa"/>
              <w:bottom w:w="50" w:type="dxa"/>
              <w:end w:w="70" w:type="dxa"/>
            </w:tcMar>
          </w:tcPr>
          <w:p>
            <w:pPr>
              <w:spacing w:after="20"/>
            </w:pPr>
            <w:r>
              <w:rPr>
                <w:rFonts w:ascii="Aptos" w:hAnsi="Aptos" w:eastAsia="Aptos"/>
                <w:sz w:val="14"/>
              </w:rPr>
              <w:t>RET-CODE-LIFE</w:t>
            </w:r>
          </w:p>
        </w:tc>
        <w:tc>
          <w:tcPr>
            <w:tcW w:type="dxa" w:w="2131"/>
            <w:vAlign w:val="center"/>
            <w:tcMar>
              <w:top w:w="50" w:type="dxa"/>
              <w:start w:w="70" w:type="dxa"/>
              <w:bottom w:w="50" w:type="dxa"/>
              <w:end w:w="70" w:type="dxa"/>
            </w:tcMar>
          </w:tcPr>
          <w:p>
            <w:pPr>
              <w:spacing w:after="20"/>
            </w:pPr>
            <w:r>
              <w:rPr>
                <w:rFonts w:ascii="Aptos" w:hAnsi="Aptos" w:eastAsia="Aptos"/>
                <w:sz w:val="14"/>
              </w:rPr>
              <w:t>Source code, build scripts, IaC, configuration history</w:t>
            </w:r>
          </w:p>
        </w:tc>
        <w:tc>
          <w:tcPr>
            <w:tcW w:type="dxa" w:w="2131"/>
            <w:vAlign w:val="center"/>
            <w:tcMar>
              <w:top w:w="50" w:type="dxa"/>
              <w:start w:w="70" w:type="dxa"/>
              <w:bottom w:w="50" w:type="dxa"/>
              <w:end w:w="70" w:type="dxa"/>
            </w:tcMar>
          </w:tcPr>
          <w:p>
            <w:pPr>
              <w:spacing w:after="20"/>
            </w:pPr>
            <w:r>
              <w:rPr>
                <w:rFonts w:ascii="Aptos" w:hAnsi="Aptos" w:eastAsia="Aptos"/>
                <w:sz w:val="14"/>
              </w:rPr>
              <w:t>Life of system plus 7 years</w:t>
            </w:r>
          </w:p>
        </w:tc>
        <w:tc>
          <w:tcPr>
            <w:tcW w:type="dxa" w:w="2131"/>
            <w:vAlign w:val="center"/>
            <w:tcMar>
              <w:top w:w="50" w:type="dxa"/>
              <w:start w:w="70" w:type="dxa"/>
              <w:bottom w:w="50" w:type="dxa"/>
              <w:end w:w="70" w:type="dxa"/>
            </w:tcMar>
          </w:tcPr>
          <w:p>
            <w:pPr>
              <w:spacing w:after="20"/>
            </w:pPr>
            <w:r>
              <w:rPr>
                <w:rFonts w:ascii="Aptos" w:hAnsi="Aptos" w:eastAsia="Aptos"/>
                <w:sz w:val="14"/>
              </w:rPr>
              <w:t>Archive repository</w:t>
            </w:r>
          </w:p>
        </w:tc>
        <w:tc>
          <w:tcPr>
            <w:tcW w:type="dxa" w:w="2131"/>
            <w:vAlign w:val="center"/>
            <w:tcMar>
              <w:top w:w="50" w:type="dxa"/>
              <w:start w:w="70" w:type="dxa"/>
              <w:bottom w:w="50" w:type="dxa"/>
              <w:end w:w="70" w:type="dxa"/>
            </w:tcMar>
          </w:tcPr>
          <w:p>
            <w:pPr>
              <w:spacing w:after="20"/>
            </w:pPr>
            <w:r>
              <w:rPr>
                <w:rFonts w:ascii="Aptos" w:hAnsi="Aptos" w:eastAsia="Aptos"/>
                <w:sz w:val="14"/>
              </w:rPr>
              <w:t>Preserve tags, commits, signed provenance.</w:t>
            </w:r>
          </w:p>
        </w:tc>
      </w:tr>
      <w:tr>
        <w:tc>
          <w:tcPr>
            <w:tcW w:type="dxa" w:w="2131"/>
            <w:vAlign w:val="center"/>
            <w:tcMar>
              <w:top w:w="50" w:type="dxa"/>
              <w:start w:w="70" w:type="dxa"/>
              <w:bottom w:w="50" w:type="dxa"/>
              <w:end w:w="70" w:type="dxa"/>
            </w:tcMar>
          </w:tcPr>
          <w:p>
            <w:pPr>
              <w:spacing w:after="20"/>
            </w:pPr>
            <w:r>
              <w:rPr>
                <w:rFonts w:ascii="Aptos" w:hAnsi="Aptos" w:eastAsia="Aptos"/>
                <w:sz w:val="14"/>
              </w:rPr>
              <w:t>RET-REL-07Y</w:t>
            </w:r>
          </w:p>
        </w:tc>
        <w:tc>
          <w:tcPr>
            <w:tcW w:type="dxa" w:w="2131"/>
            <w:vAlign w:val="center"/>
            <w:tcMar>
              <w:top w:w="50" w:type="dxa"/>
              <w:start w:w="70" w:type="dxa"/>
              <w:bottom w:w="50" w:type="dxa"/>
              <w:end w:w="70" w:type="dxa"/>
            </w:tcMar>
          </w:tcPr>
          <w:p>
            <w:pPr>
              <w:spacing w:after="20"/>
            </w:pPr>
            <w:r>
              <w:rPr>
                <w:rFonts w:ascii="Aptos" w:hAnsi="Aptos" w:eastAsia="Aptos"/>
                <w:sz w:val="14"/>
              </w:rPr>
              <w:t>CI/CD evidence, SBOM, signed provenance, release approvals</w:t>
            </w:r>
          </w:p>
        </w:tc>
        <w:tc>
          <w:tcPr>
            <w:tcW w:type="dxa" w:w="2131"/>
            <w:vAlign w:val="center"/>
            <w:tcMar>
              <w:top w:w="50" w:type="dxa"/>
              <w:start w:w="70" w:type="dxa"/>
              <w:bottom w:w="50" w:type="dxa"/>
              <w:end w:w="70" w:type="dxa"/>
            </w:tcMar>
          </w:tcPr>
          <w:p>
            <w:pPr>
              <w:spacing w:after="20"/>
            </w:pPr>
            <w:r>
              <w:rPr>
                <w:rFonts w:ascii="Aptos" w:hAnsi="Aptos" w:eastAsia="Aptos"/>
                <w:sz w:val="14"/>
              </w:rPr>
              <w:t>7 years after release retirement</w:t>
            </w:r>
          </w:p>
        </w:tc>
        <w:tc>
          <w:tcPr>
            <w:tcW w:type="dxa" w:w="2131"/>
            <w:vAlign w:val="center"/>
            <w:tcMar>
              <w:top w:w="50" w:type="dxa"/>
              <w:start w:w="70" w:type="dxa"/>
              <w:bottom w:w="50" w:type="dxa"/>
              <w:end w:w="70" w:type="dxa"/>
            </w:tcMar>
          </w:tcPr>
          <w:p>
            <w:pPr>
              <w:spacing w:after="20"/>
            </w:pPr>
            <w:r>
              <w:rPr>
                <w:rFonts w:ascii="Aptos" w:hAnsi="Aptos" w:eastAsia="Aptos"/>
                <w:sz w:val="14"/>
              </w:rPr>
              <w:t>Archive</w:t>
            </w:r>
          </w:p>
        </w:tc>
        <w:tc>
          <w:tcPr>
            <w:tcW w:type="dxa" w:w="2131"/>
            <w:vAlign w:val="center"/>
            <w:tcMar>
              <w:top w:w="50" w:type="dxa"/>
              <w:start w:w="70" w:type="dxa"/>
              <w:bottom w:w="50" w:type="dxa"/>
              <w:end w:w="70" w:type="dxa"/>
            </w:tcMar>
          </w:tcPr>
          <w:p>
            <w:pPr>
              <w:spacing w:after="20"/>
            </w:pPr>
            <w:r>
              <w:rPr>
                <w:rFonts w:ascii="Aptos" w:hAnsi="Aptos" w:eastAsia="Aptos"/>
                <w:sz w:val="14"/>
              </w:rPr>
              <w:t>Required for audit and incident reconstruction.</w:t>
            </w:r>
          </w:p>
        </w:tc>
      </w:tr>
      <w:tr>
        <w:tc>
          <w:tcPr>
            <w:tcW w:type="dxa" w:w="2131"/>
            <w:vAlign w:val="center"/>
            <w:tcMar>
              <w:top w:w="50" w:type="dxa"/>
              <w:start w:w="70" w:type="dxa"/>
              <w:bottom w:w="50" w:type="dxa"/>
              <w:end w:w="70" w:type="dxa"/>
            </w:tcMar>
          </w:tcPr>
          <w:p>
            <w:pPr>
              <w:spacing w:after="20"/>
            </w:pPr>
            <w:r>
              <w:rPr>
                <w:rFonts w:ascii="Aptos" w:hAnsi="Aptos" w:eastAsia="Aptos"/>
                <w:sz w:val="14"/>
              </w:rPr>
              <w:t>RET-TEST-05Y</w:t>
            </w:r>
          </w:p>
        </w:tc>
        <w:tc>
          <w:tcPr>
            <w:tcW w:type="dxa" w:w="2131"/>
            <w:vAlign w:val="center"/>
            <w:tcMar>
              <w:top w:w="50" w:type="dxa"/>
              <w:start w:w="70" w:type="dxa"/>
              <w:bottom w:w="50" w:type="dxa"/>
              <w:end w:w="70" w:type="dxa"/>
            </w:tcMar>
          </w:tcPr>
          <w:p>
            <w:pPr>
              <w:spacing w:after="20"/>
            </w:pPr>
            <w:r>
              <w:rPr>
                <w:rFonts w:ascii="Aptos" w:hAnsi="Aptos" w:eastAsia="Aptos"/>
                <w:sz w:val="14"/>
              </w:rPr>
              <w:t>Test evidence, coverage, mutation, contract test results</w:t>
            </w:r>
          </w:p>
        </w:tc>
        <w:tc>
          <w:tcPr>
            <w:tcW w:type="dxa" w:w="2131"/>
            <w:vAlign w:val="center"/>
            <w:tcMar>
              <w:top w:w="50" w:type="dxa"/>
              <w:start w:w="70" w:type="dxa"/>
              <w:bottom w:w="50" w:type="dxa"/>
              <w:end w:w="70" w:type="dxa"/>
            </w:tcMar>
          </w:tcPr>
          <w:p>
            <w:pPr>
              <w:spacing w:after="20"/>
            </w:pPr>
            <w:r>
              <w:rPr>
                <w:rFonts w:ascii="Aptos" w:hAnsi="Aptos" w:eastAsia="Aptos"/>
                <w:sz w:val="14"/>
              </w:rPr>
              <w:t>5 years or release life if longer</w:t>
            </w:r>
          </w:p>
        </w:tc>
        <w:tc>
          <w:tcPr>
            <w:tcW w:type="dxa" w:w="2131"/>
            <w:vAlign w:val="center"/>
            <w:tcMar>
              <w:top w:w="50" w:type="dxa"/>
              <w:start w:w="70" w:type="dxa"/>
              <w:bottom w:w="50" w:type="dxa"/>
              <w:end w:w="70" w:type="dxa"/>
            </w:tcMar>
          </w:tcPr>
          <w:p>
            <w:pPr>
              <w:spacing w:after="20"/>
            </w:pPr>
            <w:r>
              <w:rPr>
                <w:rFonts w:ascii="Aptos" w:hAnsi="Aptos" w:eastAsia="Aptos"/>
                <w:sz w:val="14"/>
              </w:rPr>
              <w:t>Archive</w:t>
            </w:r>
          </w:p>
        </w:tc>
        <w:tc>
          <w:tcPr>
            <w:tcW w:type="dxa" w:w="2131"/>
            <w:vAlign w:val="center"/>
            <w:tcMar>
              <w:top w:w="50" w:type="dxa"/>
              <w:start w:w="70" w:type="dxa"/>
              <w:bottom w:w="50" w:type="dxa"/>
              <w:end w:w="70" w:type="dxa"/>
            </w:tcMar>
          </w:tcPr>
          <w:p>
            <w:pPr>
              <w:spacing w:after="20"/>
            </w:pPr>
            <w:r>
              <w:rPr>
                <w:rFonts w:ascii="Aptos" w:hAnsi="Aptos" w:eastAsia="Aptos"/>
                <w:sz w:val="14"/>
              </w:rPr>
              <w:t>High-risk releases inherit release retention.</w:t>
            </w:r>
          </w:p>
        </w:tc>
      </w:tr>
      <w:tr>
        <w:tc>
          <w:tcPr>
            <w:tcW w:type="dxa" w:w="2131"/>
            <w:vAlign w:val="center"/>
            <w:tcMar>
              <w:top w:w="50" w:type="dxa"/>
              <w:start w:w="70" w:type="dxa"/>
              <w:bottom w:w="50" w:type="dxa"/>
              <w:end w:w="70" w:type="dxa"/>
            </w:tcMar>
          </w:tcPr>
          <w:p>
            <w:pPr>
              <w:spacing w:after="20"/>
            </w:pPr>
            <w:r>
              <w:rPr>
                <w:rFonts w:ascii="Aptos" w:hAnsi="Aptos" w:eastAsia="Aptos"/>
                <w:sz w:val="14"/>
              </w:rPr>
              <w:t>RET-SEC-07Y</w:t>
            </w:r>
          </w:p>
        </w:tc>
        <w:tc>
          <w:tcPr>
            <w:tcW w:type="dxa" w:w="2131"/>
            <w:vAlign w:val="center"/>
            <w:tcMar>
              <w:top w:w="50" w:type="dxa"/>
              <w:start w:w="70" w:type="dxa"/>
              <w:bottom w:w="50" w:type="dxa"/>
              <w:end w:w="70" w:type="dxa"/>
            </w:tcMar>
          </w:tcPr>
          <w:p>
            <w:pPr>
              <w:spacing w:after="20"/>
            </w:pPr>
            <w:r>
              <w:rPr>
                <w:rFonts w:ascii="Aptos" w:hAnsi="Aptos" w:eastAsia="Aptos"/>
                <w:sz w:val="14"/>
              </w:rPr>
              <w:t>Security findings, access reviews, incident evidence, policy decisions</w:t>
            </w:r>
          </w:p>
        </w:tc>
        <w:tc>
          <w:tcPr>
            <w:tcW w:type="dxa" w:w="2131"/>
            <w:vAlign w:val="center"/>
            <w:tcMar>
              <w:top w:w="50" w:type="dxa"/>
              <w:start w:w="70" w:type="dxa"/>
              <w:bottom w:w="50" w:type="dxa"/>
              <w:end w:w="70" w:type="dxa"/>
            </w:tcMar>
          </w:tcPr>
          <w:p>
            <w:pPr>
              <w:spacing w:after="20"/>
            </w:pPr>
            <w:r>
              <w:rPr>
                <w:rFonts w:ascii="Aptos" w:hAnsi="Aptos" w:eastAsia="Aptos"/>
                <w:sz w:val="14"/>
              </w:rPr>
              <w:t>7 years after closure</w:t>
            </w:r>
          </w:p>
        </w:tc>
        <w:tc>
          <w:tcPr>
            <w:tcW w:type="dxa" w:w="2131"/>
            <w:vAlign w:val="center"/>
            <w:tcMar>
              <w:top w:w="50" w:type="dxa"/>
              <w:start w:w="70" w:type="dxa"/>
              <w:bottom w:w="50" w:type="dxa"/>
              <w:end w:w="70" w:type="dxa"/>
            </w:tcMar>
          </w:tcPr>
          <w:p>
            <w:pPr>
              <w:spacing w:after="20"/>
            </w:pPr>
            <w:r>
              <w:rPr>
                <w:rFonts w:ascii="Aptos" w:hAnsi="Aptos" w:eastAsia="Aptos"/>
                <w:sz w:val="14"/>
              </w:rPr>
              <w:t>Archive with restricted access</w:t>
            </w:r>
          </w:p>
        </w:tc>
        <w:tc>
          <w:tcPr>
            <w:tcW w:type="dxa" w:w="2131"/>
            <w:vAlign w:val="center"/>
            <w:tcMar>
              <w:top w:w="50" w:type="dxa"/>
              <w:start w:w="70" w:type="dxa"/>
              <w:bottom w:w="50" w:type="dxa"/>
              <w:end w:w="70" w:type="dxa"/>
            </w:tcMar>
          </w:tcPr>
          <w:p>
            <w:pPr>
              <w:spacing w:after="20"/>
            </w:pPr>
            <w:r>
              <w:rPr>
                <w:rFonts w:ascii="Aptos" w:hAnsi="Aptos" w:eastAsia="Aptos"/>
                <w:sz w:val="14"/>
              </w:rPr>
              <w:t>Legal hold may extend retention.</w:t>
            </w:r>
          </w:p>
        </w:tc>
      </w:tr>
      <w:tr>
        <w:tc>
          <w:tcPr>
            <w:tcW w:type="dxa" w:w="2131"/>
            <w:vAlign w:val="center"/>
            <w:tcMar>
              <w:top w:w="50" w:type="dxa"/>
              <w:start w:w="70" w:type="dxa"/>
              <w:bottom w:w="50" w:type="dxa"/>
              <w:end w:w="70" w:type="dxa"/>
            </w:tcMar>
          </w:tcPr>
          <w:p>
            <w:pPr>
              <w:spacing w:after="20"/>
            </w:pPr>
            <w:r>
              <w:rPr>
                <w:rFonts w:ascii="Aptos" w:hAnsi="Aptos" w:eastAsia="Aptos"/>
                <w:sz w:val="14"/>
              </w:rPr>
              <w:t>RET-AUD-07Y</w:t>
            </w:r>
          </w:p>
        </w:tc>
        <w:tc>
          <w:tcPr>
            <w:tcW w:type="dxa" w:w="2131"/>
            <w:vAlign w:val="center"/>
            <w:tcMar>
              <w:top w:w="50" w:type="dxa"/>
              <w:start w:w="70" w:type="dxa"/>
              <w:bottom w:w="50" w:type="dxa"/>
              <w:end w:w="70" w:type="dxa"/>
            </w:tcMar>
          </w:tcPr>
          <w:p>
            <w:pPr>
              <w:spacing w:after="20"/>
            </w:pPr>
            <w:r>
              <w:rPr>
                <w:rFonts w:ascii="Aptos" w:hAnsi="Aptos" w:eastAsia="Aptos"/>
                <w:sz w:val="14"/>
              </w:rPr>
              <w:t>Audit logs and agent action evidence</w:t>
            </w:r>
          </w:p>
        </w:tc>
        <w:tc>
          <w:tcPr>
            <w:tcW w:type="dxa" w:w="2131"/>
            <w:vAlign w:val="center"/>
            <w:tcMar>
              <w:top w:w="50" w:type="dxa"/>
              <w:start w:w="70" w:type="dxa"/>
              <w:bottom w:w="50" w:type="dxa"/>
              <w:end w:w="70" w:type="dxa"/>
            </w:tcMar>
          </w:tcPr>
          <w:p>
            <w:pPr>
              <w:spacing w:after="20"/>
            </w:pPr>
            <w:r>
              <w:rPr>
                <w:rFonts w:ascii="Aptos" w:hAnsi="Aptos" w:eastAsia="Aptos"/>
                <w:sz w:val="14"/>
              </w:rPr>
              <w:t>7 years minimum</w:t>
            </w:r>
          </w:p>
        </w:tc>
        <w:tc>
          <w:tcPr>
            <w:tcW w:type="dxa" w:w="2131"/>
            <w:vAlign w:val="center"/>
            <w:tcMar>
              <w:top w:w="50" w:type="dxa"/>
              <w:start w:w="70" w:type="dxa"/>
              <w:bottom w:w="50" w:type="dxa"/>
              <w:end w:w="70" w:type="dxa"/>
            </w:tcMar>
          </w:tcPr>
          <w:p>
            <w:pPr>
              <w:spacing w:after="20"/>
            </w:pPr>
            <w:r>
              <w:rPr>
                <w:rFonts w:ascii="Aptos" w:hAnsi="Aptos" w:eastAsia="Aptos"/>
                <w:sz w:val="14"/>
              </w:rPr>
              <w:t>Archive</w:t>
            </w:r>
          </w:p>
        </w:tc>
        <w:tc>
          <w:tcPr>
            <w:tcW w:type="dxa" w:w="2131"/>
            <w:vAlign w:val="center"/>
            <w:tcMar>
              <w:top w:w="50" w:type="dxa"/>
              <w:start w:w="70" w:type="dxa"/>
              <w:bottom w:w="50" w:type="dxa"/>
              <w:end w:w="70" w:type="dxa"/>
            </w:tcMar>
          </w:tcPr>
          <w:p>
            <w:pPr>
              <w:spacing w:after="20"/>
            </w:pPr>
            <w:r>
              <w:rPr>
                <w:rFonts w:ascii="Aptos" w:hAnsi="Aptos" w:eastAsia="Aptos"/>
                <w:sz w:val="14"/>
              </w:rPr>
              <w:t>Restricted records require strong access controls.</w:t>
            </w:r>
          </w:p>
        </w:tc>
      </w:tr>
      <w:tr>
        <w:tc>
          <w:tcPr>
            <w:tcW w:type="dxa" w:w="2131"/>
            <w:vAlign w:val="center"/>
            <w:tcMar>
              <w:top w:w="50" w:type="dxa"/>
              <w:start w:w="70" w:type="dxa"/>
              <w:bottom w:w="50" w:type="dxa"/>
              <w:end w:w="70" w:type="dxa"/>
            </w:tcMar>
          </w:tcPr>
          <w:p>
            <w:pPr>
              <w:spacing w:after="20"/>
            </w:pPr>
            <w:r>
              <w:rPr>
                <w:rFonts w:ascii="Aptos" w:hAnsi="Aptos" w:eastAsia="Aptos"/>
                <w:sz w:val="14"/>
              </w:rPr>
              <w:t>RET-AI-03Y</w:t>
            </w:r>
          </w:p>
        </w:tc>
        <w:tc>
          <w:tcPr>
            <w:tcW w:type="dxa" w:w="2131"/>
            <w:vAlign w:val="center"/>
            <w:tcMar>
              <w:top w:w="50" w:type="dxa"/>
              <w:start w:w="70" w:type="dxa"/>
              <w:bottom w:w="50" w:type="dxa"/>
              <w:end w:w="70" w:type="dxa"/>
            </w:tcMar>
          </w:tcPr>
          <w:p>
            <w:pPr>
              <w:spacing w:after="20"/>
            </w:pPr>
            <w:r>
              <w:rPr>
                <w:rFonts w:ascii="Aptos" w:hAnsi="Aptos" w:eastAsia="Aptos"/>
                <w:sz w:val="14"/>
              </w:rPr>
              <w:t>Prompt versions, guardrail versions, model alias history, AI evaluations</w:t>
            </w:r>
          </w:p>
        </w:tc>
        <w:tc>
          <w:tcPr>
            <w:tcW w:type="dxa" w:w="2131"/>
            <w:vAlign w:val="center"/>
            <w:tcMar>
              <w:top w:w="50" w:type="dxa"/>
              <w:start w:w="70" w:type="dxa"/>
              <w:bottom w:w="50" w:type="dxa"/>
              <w:end w:w="70" w:type="dxa"/>
            </w:tcMar>
          </w:tcPr>
          <w:p>
            <w:pPr>
              <w:spacing w:after="20"/>
            </w:pPr>
            <w:r>
              <w:rPr>
                <w:rFonts w:ascii="Aptos" w:hAnsi="Aptos" w:eastAsia="Aptos"/>
                <w:sz w:val="14"/>
              </w:rPr>
              <w:t>3 years after retirement, or release retention if used in production decision</w:t>
            </w:r>
          </w:p>
        </w:tc>
        <w:tc>
          <w:tcPr>
            <w:tcW w:type="dxa" w:w="2131"/>
            <w:vAlign w:val="center"/>
            <w:tcMar>
              <w:top w:w="50" w:type="dxa"/>
              <w:start w:w="70" w:type="dxa"/>
              <w:bottom w:w="50" w:type="dxa"/>
              <w:end w:w="70" w:type="dxa"/>
            </w:tcMar>
          </w:tcPr>
          <w:p>
            <w:pPr>
              <w:spacing w:after="20"/>
            </w:pPr>
            <w:r>
              <w:rPr>
                <w:rFonts w:ascii="Aptos" w:hAnsi="Aptos" w:eastAsia="Aptos"/>
                <w:sz w:val="14"/>
              </w:rPr>
              <w:t>Archive</w:t>
            </w:r>
          </w:p>
        </w:tc>
        <w:tc>
          <w:tcPr>
            <w:tcW w:type="dxa" w:w="2131"/>
            <w:vAlign w:val="center"/>
            <w:tcMar>
              <w:top w:w="50" w:type="dxa"/>
              <w:start w:w="70" w:type="dxa"/>
              <w:bottom w:w="50" w:type="dxa"/>
              <w:end w:w="70" w:type="dxa"/>
            </w:tcMar>
          </w:tcPr>
          <w:p>
            <w:pPr>
              <w:spacing w:after="20"/>
            </w:pPr>
            <w:r>
              <w:rPr>
                <w:rFonts w:ascii="Aptos" w:hAnsi="Aptos" w:eastAsia="Aptos"/>
                <w:sz w:val="14"/>
              </w:rPr>
              <w:t>Preserve evaluation results and approval state.</w:t>
            </w:r>
          </w:p>
        </w:tc>
      </w:tr>
      <w:tr>
        <w:tc>
          <w:tcPr>
            <w:tcW w:type="dxa" w:w="2131"/>
            <w:vAlign w:val="center"/>
            <w:tcMar>
              <w:top w:w="50" w:type="dxa"/>
              <w:start w:w="70" w:type="dxa"/>
              <w:bottom w:w="50" w:type="dxa"/>
              <w:end w:w="70" w:type="dxa"/>
            </w:tcMar>
          </w:tcPr>
          <w:p>
            <w:pPr>
              <w:spacing w:after="20"/>
            </w:pPr>
            <w:r>
              <w:rPr>
                <w:rFonts w:ascii="Aptos" w:hAnsi="Aptos" w:eastAsia="Aptos"/>
                <w:sz w:val="14"/>
              </w:rPr>
              <w:t>RET-OBS-01Y</w:t>
            </w:r>
          </w:p>
        </w:tc>
        <w:tc>
          <w:tcPr>
            <w:tcW w:type="dxa" w:w="2131"/>
            <w:vAlign w:val="center"/>
            <w:tcMar>
              <w:top w:w="50" w:type="dxa"/>
              <w:start w:w="70" w:type="dxa"/>
              <w:bottom w:w="50" w:type="dxa"/>
              <w:end w:w="70" w:type="dxa"/>
            </w:tcMar>
          </w:tcPr>
          <w:p>
            <w:pPr>
              <w:spacing w:after="20"/>
            </w:pPr>
            <w:r>
              <w:rPr>
                <w:rFonts w:ascii="Aptos" w:hAnsi="Aptos" w:eastAsia="Aptos"/>
                <w:sz w:val="14"/>
              </w:rPr>
              <w:t>Routine operational logs, metrics, traces</w:t>
            </w:r>
          </w:p>
        </w:tc>
        <w:tc>
          <w:tcPr>
            <w:tcW w:type="dxa" w:w="2131"/>
            <w:vAlign w:val="center"/>
            <w:tcMar>
              <w:top w:w="50" w:type="dxa"/>
              <w:start w:w="70" w:type="dxa"/>
              <w:bottom w:w="50" w:type="dxa"/>
              <w:end w:w="70" w:type="dxa"/>
            </w:tcMar>
          </w:tcPr>
          <w:p>
            <w:pPr>
              <w:spacing w:after="20"/>
            </w:pPr>
            <w:r>
              <w:rPr>
                <w:rFonts w:ascii="Aptos" w:hAnsi="Aptos" w:eastAsia="Aptos"/>
                <w:sz w:val="14"/>
              </w:rPr>
              <w:t>1 year unless incident-linked</w:t>
            </w:r>
          </w:p>
        </w:tc>
        <w:tc>
          <w:tcPr>
            <w:tcW w:type="dxa" w:w="2131"/>
            <w:vAlign w:val="center"/>
            <w:tcMar>
              <w:top w:w="50" w:type="dxa"/>
              <w:start w:w="70" w:type="dxa"/>
              <w:bottom w:w="50" w:type="dxa"/>
              <w:end w:w="70" w:type="dxa"/>
            </w:tcMar>
          </w:tcPr>
          <w:p>
            <w:pPr>
              <w:spacing w:after="20"/>
            </w:pPr>
            <w:r>
              <w:rPr>
                <w:rFonts w:ascii="Aptos" w:hAnsi="Aptos" w:eastAsia="Aptos"/>
                <w:sz w:val="14"/>
              </w:rPr>
              <w:t>Purge or archive</w:t>
            </w:r>
          </w:p>
        </w:tc>
        <w:tc>
          <w:tcPr>
            <w:tcW w:type="dxa" w:w="2131"/>
            <w:vAlign w:val="center"/>
            <w:tcMar>
              <w:top w:w="50" w:type="dxa"/>
              <w:start w:w="70" w:type="dxa"/>
              <w:bottom w:w="50" w:type="dxa"/>
              <w:end w:w="70" w:type="dxa"/>
            </w:tcMar>
          </w:tcPr>
          <w:p>
            <w:pPr>
              <w:spacing w:after="20"/>
            </w:pPr>
            <w:r>
              <w:rPr>
                <w:rFonts w:ascii="Aptos" w:hAnsi="Aptos" w:eastAsia="Aptos"/>
                <w:sz w:val="14"/>
              </w:rPr>
              <w:t>Incident-linked telemetry inherits RET-SEC-07Y.</w:t>
            </w:r>
          </w:p>
        </w:tc>
      </w:tr>
      <w:tr>
        <w:tc>
          <w:tcPr>
            <w:tcW w:type="dxa" w:w="2131"/>
            <w:vAlign w:val="center"/>
            <w:tcMar>
              <w:top w:w="50" w:type="dxa"/>
              <w:start w:w="70" w:type="dxa"/>
              <w:bottom w:w="50" w:type="dxa"/>
              <w:end w:w="70" w:type="dxa"/>
            </w:tcMar>
          </w:tcPr>
          <w:p>
            <w:pPr>
              <w:spacing w:after="20"/>
            </w:pPr>
            <w:r>
              <w:rPr>
                <w:rFonts w:ascii="Aptos" w:hAnsi="Aptos" w:eastAsia="Aptos"/>
                <w:sz w:val="14"/>
              </w:rPr>
              <w:t>RET-CACHE-TTL</w:t>
            </w:r>
          </w:p>
        </w:tc>
        <w:tc>
          <w:tcPr>
            <w:tcW w:type="dxa" w:w="2131"/>
            <w:vAlign w:val="center"/>
            <w:tcMar>
              <w:top w:w="50" w:type="dxa"/>
              <w:start w:w="70" w:type="dxa"/>
              <w:bottom w:w="50" w:type="dxa"/>
              <w:end w:w="70" w:type="dxa"/>
            </w:tcMar>
          </w:tcPr>
          <w:p>
            <w:pPr>
              <w:spacing w:after="20"/>
            </w:pPr>
            <w:r>
              <w:rPr>
                <w:rFonts w:ascii="Aptos" w:hAnsi="Aptos" w:eastAsia="Aptos"/>
                <w:sz w:val="14"/>
              </w:rPr>
              <w:t>Redis/Valkey cache, semantic cache</w:t>
            </w:r>
          </w:p>
        </w:tc>
        <w:tc>
          <w:tcPr>
            <w:tcW w:type="dxa" w:w="2131"/>
            <w:vAlign w:val="center"/>
            <w:tcMar>
              <w:top w:w="50" w:type="dxa"/>
              <w:start w:w="70" w:type="dxa"/>
              <w:bottom w:w="50" w:type="dxa"/>
              <w:end w:w="70" w:type="dxa"/>
            </w:tcMar>
          </w:tcPr>
          <w:p>
            <w:pPr>
              <w:spacing w:after="20"/>
            </w:pPr>
            <w:r>
              <w:rPr>
                <w:rFonts w:ascii="Aptos" w:hAnsi="Aptos" w:eastAsia="Aptos"/>
                <w:sz w:val="14"/>
              </w:rPr>
              <w:t>TTL or explicit invalidation</w:t>
            </w:r>
          </w:p>
        </w:tc>
        <w:tc>
          <w:tcPr>
            <w:tcW w:type="dxa" w:w="2131"/>
            <w:vAlign w:val="center"/>
            <w:tcMar>
              <w:top w:w="50" w:type="dxa"/>
              <w:start w:w="70" w:type="dxa"/>
              <w:bottom w:w="50" w:type="dxa"/>
              <w:end w:w="70" w:type="dxa"/>
            </w:tcMar>
          </w:tcPr>
          <w:p>
            <w:pPr>
              <w:spacing w:after="20"/>
            </w:pPr>
            <w:r>
              <w:rPr>
                <w:rFonts w:ascii="Aptos" w:hAnsi="Aptos" w:eastAsia="Aptos"/>
                <w:sz w:val="14"/>
              </w:rPr>
              <w:t>Expire</w:t>
            </w:r>
          </w:p>
        </w:tc>
        <w:tc>
          <w:tcPr>
            <w:tcW w:type="dxa" w:w="2131"/>
            <w:vAlign w:val="center"/>
            <w:tcMar>
              <w:top w:w="50" w:type="dxa"/>
              <w:start w:w="70" w:type="dxa"/>
              <w:bottom w:w="50" w:type="dxa"/>
              <w:end w:w="70" w:type="dxa"/>
            </w:tcMar>
          </w:tcPr>
          <w:p>
            <w:pPr>
              <w:spacing w:after="20"/>
            </w:pPr>
            <w:r>
              <w:rPr>
                <w:rFonts w:ascii="Aptos" w:hAnsi="Aptos" w:eastAsia="Aptos"/>
                <w:sz w:val="14"/>
              </w:rPr>
              <w:t>Never authoritative.</w:t>
            </w:r>
          </w:p>
        </w:tc>
      </w:tr>
      <w:tr>
        <w:tc>
          <w:tcPr>
            <w:tcW w:type="dxa" w:w="2131"/>
            <w:vAlign w:val="center"/>
            <w:tcMar>
              <w:top w:w="50" w:type="dxa"/>
              <w:start w:w="70" w:type="dxa"/>
              <w:bottom w:w="50" w:type="dxa"/>
              <w:end w:w="70" w:type="dxa"/>
            </w:tcMar>
          </w:tcPr>
          <w:p>
            <w:pPr>
              <w:spacing w:after="20"/>
            </w:pPr>
            <w:r>
              <w:rPr>
                <w:rFonts w:ascii="Aptos" w:hAnsi="Aptos" w:eastAsia="Aptos"/>
                <w:sz w:val="14"/>
              </w:rPr>
              <w:t>RET-DERIV-SOURCE</w:t>
            </w:r>
          </w:p>
        </w:tc>
        <w:tc>
          <w:tcPr>
            <w:tcW w:type="dxa" w:w="2131"/>
            <w:vAlign w:val="center"/>
            <w:tcMar>
              <w:top w:w="50" w:type="dxa"/>
              <w:start w:w="70" w:type="dxa"/>
              <w:bottom w:w="50" w:type="dxa"/>
              <w:end w:w="70" w:type="dxa"/>
            </w:tcMar>
          </w:tcPr>
          <w:p>
            <w:pPr>
              <w:spacing w:after="20"/>
            </w:pPr>
            <w:r>
              <w:rPr>
                <w:rFonts w:ascii="Aptos" w:hAnsi="Aptos" w:eastAsia="Aptos"/>
                <w:sz w:val="14"/>
              </w:rPr>
              <w:t>Chunks, embeddings, graph indexes, summaries</w:t>
            </w:r>
          </w:p>
        </w:tc>
        <w:tc>
          <w:tcPr>
            <w:tcW w:type="dxa" w:w="2131"/>
            <w:vAlign w:val="center"/>
            <w:tcMar>
              <w:top w:w="50" w:type="dxa"/>
              <w:start w:w="70" w:type="dxa"/>
              <w:bottom w:w="50" w:type="dxa"/>
              <w:end w:w="70" w:type="dxa"/>
            </w:tcMar>
          </w:tcPr>
          <w:p>
            <w:pPr>
              <w:spacing w:after="20"/>
            </w:pPr>
            <w:r>
              <w:rPr>
                <w:rFonts w:ascii="Aptos" w:hAnsi="Aptos" w:eastAsia="Aptos"/>
                <w:sz w:val="14"/>
              </w:rPr>
              <w:t>Inherit source rule or shorter</w:t>
            </w:r>
          </w:p>
        </w:tc>
        <w:tc>
          <w:tcPr>
            <w:tcW w:type="dxa" w:w="2131"/>
            <w:vAlign w:val="center"/>
            <w:tcMar>
              <w:top w:w="50" w:type="dxa"/>
              <w:start w:w="70" w:type="dxa"/>
              <w:bottom w:w="50" w:type="dxa"/>
              <w:end w:w="70" w:type="dxa"/>
            </w:tcMar>
          </w:tcPr>
          <w:p>
            <w:pPr>
              <w:spacing w:after="20"/>
            </w:pPr>
            <w:r>
              <w:rPr>
                <w:rFonts w:ascii="Aptos" w:hAnsi="Aptos" w:eastAsia="Aptos"/>
                <w:sz w:val="14"/>
              </w:rPr>
              <w:t>Rebuild, archive, or purge with source</w:t>
            </w:r>
          </w:p>
        </w:tc>
        <w:tc>
          <w:tcPr>
            <w:tcW w:type="dxa" w:w="2131"/>
            <w:vAlign w:val="center"/>
            <w:tcMar>
              <w:top w:w="50" w:type="dxa"/>
              <w:start w:w="70" w:type="dxa"/>
              <w:bottom w:w="50" w:type="dxa"/>
              <w:end w:w="70" w:type="dxa"/>
            </w:tcMar>
          </w:tcPr>
          <w:p>
            <w:pPr>
              <w:spacing w:after="20"/>
            </w:pPr>
            <w:r>
              <w:rPr>
                <w:rFonts w:ascii="Aptos" w:hAnsi="Aptos" w:eastAsia="Aptos"/>
                <w:sz w:val="14"/>
              </w:rPr>
              <w:t>Must invalidate on source purge or reclassification.</w:t>
            </w:r>
          </w:p>
        </w:tc>
      </w:tr>
      <w:tr>
        <w:tc>
          <w:tcPr>
            <w:tcW w:type="dxa" w:w="2131"/>
            <w:vAlign w:val="center"/>
            <w:tcMar>
              <w:top w:w="50" w:type="dxa"/>
              <w:start w:w="70" w:type="dxa"/>
              <w:bottom w:w="50" w:type="dxa"/>
              <w:end w:w="70" w:type="dxa"/>
            </w:tcMar>
          </w:tcPr>
          <w:p>
            <w:pPr>
              <w:spacing w:after="20"/>
            </w:pPr>
            <w:r>
              <w:rPr>
                <w:rFonts w:ascii="Aptos" w:hAnsi="Aptos" w:eastAsia="Aptos"/>
                <w:sz w:val="14"/>
              </w:rPr>
              <w:t>RET-BUS-POLICY</w:t>
            </w:r>
          </w:p>
        </w:tc>
        <w:tc>
          <w:tcPr>
            <w:tcW w:type="dxa" w:w="2131"/>
            <w:vAlign w:val="center"/>
            <w:tcMar>
              <w:top w:w="50" w:type="dxa"/>
              <w:start w:w="70" w:type="dxa"/>
              <w:bottom w:w="50" w:type="dxa"/>
              <w:end w:w="70" w:type="dxa"/>
            </w:tcMar>
          </w:tcPr>
          <w:p>
            <w:pPr>
              <w:spacing w:after="20"/>
            </w:pPr>
            <w:r>
              <w:rPr>
                <w:rFonts w:ascii="Aptos" w:hAnsi="Aptos" w:eastAsia="Aptos"/>
                <w:sz w:val="14"/>
              </w:rPr>
              <w:t>Business records and customer documents</w:t>
            </w:r>
          </w:p>
        </w:tc>
        <w:tc>
          <w:tcPr>
            <w:tcW w:type="dxa" w:w="2131"/>
            <w:vAlign w:val="center"/>
            <w:tcMar>
              <w:top w:w="50" w:type="dxa"/>
              <w:start w:w="70" w:type="dxa"/>
              <w:bottom w:w="50" w:type="dxa"/>
              <w:end w:w="70" w:type="dxa"/>
            </w:tcMar>
          </w:tcPr>
          <w:p>
            <w:pPr>
              <w:spacing w:after="20"/>
            </w:pPr>
            <w:r>
              <w:rPr>
                <w:rFonts w:ascii="Aptos" w:hAnsi="Aptos" w:eastAsia="Aptos"/>
                <w:sz w:val="14"/>
              </w:rPr>
              <w:t>Per approved business/legal retention</w:t>
            </w:r>
          </w:p>
        </w:tc>
        <w:tc>
          <w:tcPr>
            <w:tcW w:type="dxa" w:w="2131"/>
            <w:vAlign w:val="center"/>
            <w:tcMar>
              <w:top w:w="50" w:type="dxa"/>
              <w:start w:w="70" w:type="dxa"/>
              <w:bottom w:w="50" w:type="dxa"/>
              <w:end w:w="70" w:type="dxa"/>
            </w:tcMar>
          </w:tcPr>
          <w:p>
            <w:pPr>
              <w:spacing w:after="20"/>
            </w:pPr>
            <w:r>
              <w:rPr>
                <w:rFonts w:ascii="Aptos" w:hAnsi="Aptos" w:eastAsia="Aptos"/>
                <w:sz w:val="14"/>
              </w:rPr>
              <w:t>Archive or purge by legal procedure</w:t>
            </w:r>
          </w:p>
        </w:tc>
        <w:tc>
          <w:tcPr>
            <w:tcW w:type="dxa" w:w="2131"/>
            <w:vAlign w:val="center"/>
            <w:tcMar>
              <w:top w:w="50" w:type="dxa"/>
              <w:start w:w="70" w:type="dxa"/>
              <w:bottom w:w="50" w:type="dxa"/>
              <w:end w:w="70" w:type="dxa"/>
            </w:tcMar>
          </w:tcPr>
          <w:p>
            <w:pPr>
              <w:spacing w:after="20"/>
            </w:pPr>
            <w:r>
              <w:rPr>
                <w:rFonts w:ascii="Aptos" w:hAnsi="Aptos" w:eastAsia="Aptos"/>
                <w:sz w:val="14"/>
              </w:rPr>
              <w:t>Must be defined before production onboarding.</w:t>
            </w:r>
          </w:p>
        </w:tc>
      </w:tr>
    </w:tbl>
    <w:p>
      <w:pPr/>
    </w:p>
    <w:p>
      <w:pPr>
        <w:pStyle w:val="Heading2"/>
      </w:pPr>
      <w:r>
        <w:t>7.1 Retention Clock Start</w:t>
      </w:r>
    </w:p>
    <w:p>
      <w:pPr>
        <w:pStyle w:val="Callout"/>
      </w:pPr>
      <w:r>
        <w:rPr>
          <w:rFonts w:ascii="Aptos" w:hAnsi="Aptos" w:eastAsia="Aptos"/>
        </w:rPr>
        <w:t>Retention starts from one of the following dates, depending on artifact class:</w:t>
      </w:r>
    </w:p>
    <w:p>
      <w:pPr>
        <w:pStyle w:val="ListBullet"/>
        <w:spacing w:after="40"/>
      </w:pPr>
      <w:r>
        <w:rPr>
          <w:rFonts w:ascii="Aptos" w:hAnsi="Aptos" w:eastAsia="Aptos"/>
          <w:sz w:val="18"/>
        </w:rPr>
        <w:t>Supersedence date for standards, ADRs, and policies.</w:t>
      </w:r>
    </w:p>
    <w:p>
      <w:pPr>
        <w:pStyle w:val="ListBullet"/>
        <w:spacing w:after="40"/>
      </w:pPr>
      <w:r>
        <w:rPr>
          <w:rFonts w:ascii="Aptos" w:hAnsi="Aptos" w:eastAsia="Aptos"/>
          <w:sz w:val="18"/>
        </w:rPr>
        <w:t>Release retirement date for release evidence.</w:t>
      </w:r>
    </w:p>
    <w:p>
      <w:pPr>
        <w:pStyle w:val="ListBullet"/>
        <w:spacing w:after="40"/>
      </w:pPr>
      <w:r>
        <w:rPr>
          <w:rFonts w:ascii="Aptos" w:hAnsi="Aptos" w:eastAsia="Aptos"/>
          <w:sz w:val="18"/>
        </w:rPr>
        <w:t>Incident closure date for incident evidence.</w:t>
      </w:r>
    </w:p>
    <w:p>
      <w:pPr>
        <w:pStyle w:val="ListBullet"/>
        <w:spacing w:after="40"/>
      </w:pPr>
      <w:r>
        <w:rPr>
          <w:rFonts w:ascii="Aptos" w:hAnsi="Aptos" w:eastAsia="Aptos"/>
          <w:sz w:val="18"/>
        </w:rPr>
        <w:t>Last active transaction date for business records.</w:t>
      </w:r>
    </w:p>
    <w:p>
      <w:pPr>
        <w:pStyle w:val="ListBullet"/>
        <w:spacing w:after="40"/>
      </w:pPr>
      <w:r>
        <w:rPr>
          <w:rFonts w:ascii="Aptos" w:hAnsi="Aptos" w:eastAsia="Aptos"/>
          <w:sz w:val="18"/>
        </w:rPr>
        <w:t>Source purge or supersedence date for derivative indexes.</w:t>
      </w:r>
    </w:p>
    <w:p>
      <w:pPr>
        <w:pStyle w:val="ListBullet"/>
        <w:spacing w:after="40"/>
      </w:pPr>
      <w:r>
        <w:rPr>
          <w:rFonts w:ascii="Aptos" w:hAnsi="Aptos" w:eastAsia="Aptos"/>
          <w:sz w:val="18"/>
        </w:rPr>
        <w:t>Model alias retirement date for AI routing and evaluation artifacts.</w:t>
      </w:r>
    </w:p>
    <w:p>
      <w:pPr>
        <w:pStyle w:val="Heading1"/>
        <w:pBdr>
          <w:bottom w:val="single" w:sz="8" w:space="1" w:color="D9EAF7"/>
        </w:pBdr>
      </w:pPr>
      <w:r>
        <w:t>8. Evidence Register and Evidence Paths</w:t>
      </w:r>
    </w:p>
    <w:p>
      <w:pPr>
        <w:pStyle w:val="Heading2"/>
      </w:pPr>
      <w:r>
        <w:t>8.1 Evidence Classes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Evidence Class</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Examples</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Minimum Evidence Fields</w:t>
            </w:r>
          </w:p>
        </w:tc>
      </w:tr>
      <w:tr>
        <w:tc>
          <w:tcPr>
            <w:tcW w:type="dxa" w:w="3552"/>
            <w:vAlign w:val="center"/>
            <w:tcMar>
              <w:top w:w="50" w:type="dxa"/>
              <w:start w:w="70" w:type="dxa"/>
              <w:bottom w:w="50" w:type="dxa"/>
              <w:end w:w="70" w:type="dxa"/>
            </w:tcMar>
          </w:tcPr>
          <w:p>
            <w:pPr>
              <w:spacing w:after="20"/>
            </w:pPr>
            <w:r>
              <w:rPr>
                <w:rFonts w:ascii="Aptos" w:hAnsi="Aptos" w:eastAsia="Aptos"/>
                <w:sz w:val="16"/>
              </w:rPr>
              <w:t>Architecture Evidence</w:t>
            </w:r>
          </w:p>
        </w:tc>
        <w:tc>
          <w:tcPr>
            <w:tcW w:type="dxa" w:w="3552"/>
            <w:vAlign w:val="center"/>
            <w:tcMar>
              <w:top w:w="50" w:type="dxa"/>
              <w:start w:w="70" w:type="dxa"/>
              <w:bottom w:w="50" w:type="dxa"/>
              <w:end w:w="70" w:type="dxa"/>
            </w:tcMar>
          </w:tcPr>
          <w:p>
            <w:pPr>
              <w:spacing w:after="20"/>
            </w:pPr>
            <w:r>
              <w:rPr>
                <w:rFonts w:ascii="Aptos" w:hAnsi="Aptos" w:eastAsia="Aptos"/>
                <w:sz w:val="16"/>
              </w:rPr>
              <w:t>ADR, TDL, diagram, review decision, waiver.</w:t>
            </w:r>
          </w:p>
        </w:tc>
        <w:tc>
          <w:tcPr>
            <w:tcW w:type="dxa" w:w="3552"/>
            <w:vAlign w:val="center"/>
            <w:tcMar>
              <w:top w:w="50" w:type="dxa"/>
              <w:start w:w="70" w:type="dxa"/>
              <w:bottom w:w="50" w:type="dxa"/>
              <w:end w:w="70" w:type="dxa"/>
            </w:tcMar>
          </w:tcPr>
          <w:p>
            <w:pPr>
              <w:spacing w:after="20"/>
            </w:pPr>
            <w:r>
              <w:rPr>
                <w:rFonts w:ascii="Aptos" w:hAnsi="Aptos" w:eastAsia="Aptos"/>
                <w:sz w:val="16"/>
              </w:rPr>
              <w:t>owner, decision ID, version, approver, classification, related requirement.</w:t>
            </w:r>
          </w:p>
        </w:tc>
      </w:tr>
      <w:tr>
        <w:tc>
          <w:tcPr>
            <w:tcW w:type="dxa" w:w="3552"/>
            <w:vAlign w:val="center"/>
            <w:tcMar>
              <w:top w:w="50" w:type="dxa"/>
              <w:start w:w="70" w:type="dxa"/>
              <w:bottom w:w="50" w:type="dxa"/>
              <w:end w:w="70" w:type="dxa"/>
            </w:tcMar>
          </w:tcPr>
          <w:p>
            <w:pPr>
              <w:spacing w:after="20"/>
            </w:pPr>
            <w:r>
              <w:rPr>
                <w:rFonts w:ascii="Aptos" w:hAnsi="Aptos" w:eastAsia="Aptos"/>
                <w:sz w:val="16"/>
              </w:rPr>
              <w:t>Code Evidence</w:t>
            </w:r>
          </w:p>
        </w:tc>
        <w:tc>
          <w:tcPr>
            <w:tcW w:type="dxa" w:w="3552"/>
            <w:vAlign w:val="center"/>
            <w:tcMar>
              <w:top w:w="50" w:type="dxa"/>
              <w:start w:w="70" w:type="dxa"/>
              <w:bottom w:w="50" w:type="dxa"/>
              <w:end w:w="70" w:type="dxa"/>
            </w:tcMar>
          </w:tcPr>
          <w:p>
            <w:pPr>
              <w:spacing w:after="20"/>
            </w:pPr>
            <w:r>
              <w:rPr>
                <w:rFonts w:ascii="Aptos" w:hAnsi="Aptos" w:eastAsia="Aptos"/>
                <w:sz w:val="16"/>
              </w:rPr>
              <w:t>Commit, pull request, code review, static analysis.</w:t>
            </w:r>
          </w:p>
        </w:tc>
        <w:tc>
          <w:tcPr>
            <w:tcW w:type="dxa" w:w="3552"/>
            <w:vAlign w:val="center"/>
            <w:tcMar>
              <w:top w:w="50" w:type="dxa"/>
              <w:start w:w="70" w:type="dxa"/>
              <w:bottom w:w="50" w:type="dxa"/>
              <w:end w:w="70" w:type="dxa"/>
            </w:tcMar>
          </w:tcPr>
          <w:p>
            <w:pPr>
              <w:spacing w:after="20"/>
            </w:pPr>
            <w:r>
              <w:rPr>
                <w:rFonts w:ascii="Aptos" w:hAnsi="Aptos" w:eastAsia="Aptos"/>
                <w:sz w:val="16"/>
              </w:rPr>
              <w:t>commit hash, author, reviewer, tests, scans, branch, artifact hash.</w:t>
            </w:r>
          </w:p>
        </w:tc>
      </w:tr>
      <w:tr>
        <w:tc>
          <w:tcPr>
            <w:tcW w:type="dxa" w:w="3552"/>
            <w:vAlign w:val="center"/>
            <w:tcMar>
              <w:top w:w="50" w:type="dxa"/>
              <w:start w:w="70" w:type="dxa"/>
              <w:bottom w:w="50" w:type="dxa"/>
              <w:end w:w="70" w:type="dxa"/>
            </w:tcMar>
          </w:tcPr>
          <w:p>
            <w:pPr>
              <w:spacing w:after="20"/>
            </w:pPr>
            <w:r>
              <w:rPr>
                <w:rFonts w:ascii="Aptos" w:hAnsi="Aptos" w:eastAsia="Aptos"/>
                <w:sz w:val="16"/>
              </w:rPr>
              <w:t>Build Evidence</w:t>
            </w:r>
          </w:p>
        </w:tc>
        <w:tc>
          <w:tcPr>
            <w:tcW w:type="dxa" w:w="3552"/>
            <w:vAlign w:val="center"/>
            <w:tcMar>
              <w:top w:w="50" w:type="dxa"/>
              <w:start w:w="70" w:type="dxa"/>
              <w:bottom w:w="50" w:type="dxa"/>
              <w:end w:w="70" w:type="dxa"/>
            </w:tcMar>
          </w:tcPr>
          <w:p>
            <w:pPr>
              <w:spacing w:after="20"/>
            </w:pPr>
            <w:r>
              <w:rPr>
                <w:rFonts w:ascii="Aptos" w:hAnsi="Aptos" w:eastAsia="Aptos"/>
                <w:sz w:val="16"/>
              </w:rPr>
              <w:t>CI run, SBOM, SLSA provenance, image signature.</w:t>
            </w:r>
          </w:p>
        </w:tc>
        <w:tc>
          <w:tcPr>
            <w:tcW w:type="dxa" w:w="3552"/>
            <w:vAlign w:val="center"/>
            <w:tcMar>
              <w:top w:w="50" w:type="dxa"/>
              <w:start w:w="70" w:type="dxa"/>
              <w:bottom w:w="50" w:type="dxa"/>
              <w:end w:w="70" w:type="dxa"/>
            </w:tcMar>
          </w:tcPr>
          <w:p>
            <w:pPr>
              <w:spacing w:after="20"/>
            </w:pPr>
            <w:r>
              <w:rPr>
                <w:rFonts w:ascii="Aptos" w:hAnsi="Aptos" w:eastAsia="Aptos"/>
                <w:sz w:val="16"/>
              </w:rPr>
              <w:t>pipeline ID, artifact digest, builder identity, dependency manifest.</w:t>
            </w:r>
          </w:p>
        </w:tc>
      </w:tr>
      <w:tr>
        <w:tc>
          <w:tcPr>
            <w:tcW w:type="dxa" w:w="3552"/>
            <w:vAlign w:val="center"/>
            <w:tcMar>
              <w:top w:w="50" w:type="dxa"/>
              <w:start w:w="70" w:type="dxa"/>
              <w:bottom w:w="50" w:type="dxa"/>
              <w:end w:w="70" w:type="dxa"/>
            </w:tcMar>
          </w:tcPr>
          <w:p>
            <w:pPr>
              <w:spacing w:after="20"/>
            </w:pPr>
            <w:r>
              <w:rPr>
                <w:rFonts w:ascii="Aptos" w:hAnsi="Aptos" w:eastAsia="Aptos"/>
                <w:sz w:val="16"/>
              </w:rPr>
              <w:t>Test Evidence</w:t>
            </w:r>
          </w:p>
        </w:tc>
        <w:tc>
          <w:tcPr>
            <w:tcW w:type="dxa" w:w="3552"/>
            <w:vAlign w:val="center"/>
            <w:tcMar>
              <w:top w:w="50" w:type="dxa"/>
              <w:start w:w="70" w:type="dxa"/>
              <w:bottom w:w="50" w:type="dxa"/>
              <w:end w:w="70" w:type="dxa"/>
            </w:tcMar>
          </w:tcPr>
          <w:p>
            <w:pPr>
              <w:spacing w:after="20"/>
            </w:pPr>
            <w:r>
              <w:rPr>
                <w:rFonts w:ascii="Aptos" w:hAnsi="Aptos" w:eastAsia="Aptos"/>
                <w:sz w:val="16"/>
              </w:rPr>
              <w:t>Unit, component, contract, mutation, E2E, AI eval.</w:t>
            </w:r>
          </w:p>
        </w:tc>
        <w:tc>
          <w:tcPr>
            <w:tcW w:type="dxa" w:w="3552"/>
            <w:vAlign w:val="center"/>
            <w:tcMar>
              <w:top w:w="50" w:type="dxa"/>
              <w:start w:w="70" w:type="dxa"/>
              <w:bottom w:w="50" w:type="dxa"/>
              <w:end w:w="70" w:type="dxa"/>
            </w:tcMar>
          </w:tcPr>
          <w:p>
            <w:pPr>
              <w:spacing w:after="20"/>
            </w:pPr>
            <w:r>
              <w:rPr>
                <w:rFonts w:ascii="Aptos" w:hAnsi="Aptos" w:eastAsia="Aptos"/>
                <w:sz w:val="16"/>
              </w:rPr>
              <w:t>test suite, result, coverage, changed-line evidence, reviewer.</w:t>
            </w:r>
          </w:p>
        </w:tc>
      </w:tr>
      <w:tr>
        <w:tc>
          <w:tcPr>
            <w:tcW w:type="dxa" w:w="3552"/>
            <w:vAlign w:val="center"/>
            <w:tcMar>
              <w:top w:w="50" w:type="dxa"/>
              <w:start w:w="70" w:type="dxa"/>
              <w:bottom w:w="50" w:type="dxa"/>
              <w:end w:w="70" w:type="dxa"/>
            </w:tcMar>
          </w:tcPr>
          <w:p>
            <w:pPr>
              <w:spacing w:after="20"/>
            </w:pPr>
            <w:r>
              <w:rPr>
                <w:rFonts w:ascii="Aptos" w:hAnsi="Aptos" w:eastAsia="Aptos"/>
                <w:sz w:val="16"/>
              </w:rPr>
              <w:t>Security Evidence</w:t>
            </w:r>
          </w:p>
        </w:tc>
        <w:tc>
          <w:tcPr>
            <w:tcW w:type="dxa" w:w="3552"/>
            <w:vAlign w:val="center"/>
            <w:tcMar>
              <w:top w:w="50" w:type="dxa"/>
              <w:start w:w="70" w:type="dxa"/>
              <w:bottom w:w="50" w:type="dxa"/>
              <w:end w:w="70" w:type="dxa"/>
            </w:tcMar>
          </w:tcPr>
          <w:p>
            <w:pPr>
              <w:spacing w:after="20"/>
            </w:pPr>
            <w:r>
              <w:rPr>
                <w:rFonts w:ascii="Aptos" w:hAnsi="Aptos" w:eastAsia="Aptos"/>
                <w:sz w:val="16"/>
              </w:rPr>
              <w:t>SAST, SCA, DAST, secret scan, access review, OPA decision.</w:t>
            </w:r>
          </w:p>
        </w:tc>
        <w:tc>
          <w:tcPr>
            <w:tcW w:type="dxa" w:w="3552"/>
            <w:vAlign w:val="center"/>
            <w:tcMar>
              <w:top w:w="50" w:type="dxa"/>
              <w:start w:w="70" w:type="dxa"/>
              <w:bottom w:w="50" w:type="dxa"/>
              <w:end w:w="70" w:type="dxa"/>
            </w:tcMar>
          </w:tcPr>
          <w:p>
            <w:pPr>
              <w:spacing w:after="20"/>
            </w:pPr>
            <w:r>
              <w:rPr>
                <w:rFonts w:ascii="Aptos" w:hAnsi="Aptos" w:eastAsia="Aptos"/>
                <w:sz w:val="16"/>
              </w:rPr>
              <w:t>tool, rule version, finding status, remediation, approval.</w:t>
            </w:r>
          </w:p>
        </w:tc>
      </w:tr>
      <w:tr>
        <w:tc>
          <w:tcPr>
            <w:tcW w:type="dxa" w:w="3552"/>
            <w:vAlign w:val="center"/>
            <w:tcMar>
              <w:top w:w="50" w:type="dxa"/>
              <w:start w:w="70" w:type="dxa"/>
              <w:bottom w:w="50" w:type="dxa"/>
              <w:end w:w="70" w:type="dxa"/>
            </w:tcMar>
          </w:tcPr>
          <w:p>
            <w:pPr>
              <w:spacing w:after="20"/>
            </w:pPr>
            <w:r>
              <w:rPr>
                <w:rFonts w:ascii="Aptos" w:hAnsi="Aptos" w:eastAsia="Aptos"/>
                <w:sz w:val="16"/>
              </w:rPr>
              <w:t>Runtime Evidence</w:t>
            </w:r>
          </w:p>
        </w:tc>
        <w:tc>
          <w:tcPr>
            <w:tcW w:type="dxa" w:w="3552"/>
            <w:vAlign w:val="center"/>
            <w:tcMar>
              <w:top w:w="50" w:type="dxa"/>
              <w:start w:w="70" w:type="dxa"/>
              <w:bottom w:w="50" w:type="dxa"/>
              <w:end w:w="70" w:type="dxa"/>
            </w:tcMar>
          </w:tcPr>
          <w:p>
            <w:pPr>
              <w:spacing w:after="20"/>
            </w:pPr>
            <w:r>
              <w:rPr>
                <w:rFonts w:ascii="Aptos" w:hAnsi="Aptos" w:eastAsia="Aptos"/>
                <w:sz w:val="16"/>
              </w:rPr>
              <w:t>Logs, metrics, traces, audit events, SLO alerts.</w:t>
            </w:r>
          </w:p>
        </w:tc>
        <w:tc>
          <w:tcPr>
            <w:tcW w:type="dxa" w:w="3552"/>
            <w:vAlign w:val="center"/>
            <w:tcMar>
              <w:top w:w="50" w:type="dxa"/>
              <w:start w:w="70" w:type="dxa"/>
              <w:bottom w:w="50" w:type="dxa"/>
              <w:end w:w="70" w:type="dxa"/>
            </w:tcMar>
          </w:tcPr>
          <w:p>
            <w:pPr>
              <w:spacing w:after="20"/>
            </w:pPr>
            <w:r>
              <w:rPr>
                <w:rFonts w:ascii="Aptos" w:hAnsi="Aptos" w:eastAsia="Aptos"/>
                <w:sz w:val="16"/>
              </w:rPr>
              <w:t>trace_id, actor, service, classification, retention rule.</w:t>
            </w:r>
          </w:p>
        </w:tc>
      </w:tr>
      <w:tr>
        <w:tc>
          <w:tcPr>
            <w:tcW w:type="dxa" w:w="3552"/>
            <w:vAlign w:val="center"/>
            <w:tcMar>
              <w:top w:w="50" w:type="dxa"/>
              <w:start w:w="70" w:type="dxa"/>
              <w:bottom w:w="50" w:type="dxa"/>
              <w:end w:w="70" w:type="dxa"/>
            </w:tcMar>
          </w:tcPr>
          <w:p>
            <w:pPr>
              <w:spacing w:after="20"/>
            </w:pPr>
            <w:r>
              <w:rPr>
                <w:rFonts w:ascii="Aptos" w:hAnsi="Aptos" w:eastAsia="Aptos"/>
                <w:sz w:val="16"/>
              </w:rPr>
              <w:t>AI Evidence</w:t>
            </w:r>
          </w:p>
        </w:tc>
        <w:tc>
          <w:tcPr>
            <w:tcW w:type="dxa" w:w="3552"/>
            <w:vAlign w:val="center"/>
            <w:tcMar>
              <w:top w:w="50" w:type="dxa"/>
              <w:start w:w="70" w:type="dxa"/>
              <w:bottom w:w="50" w:type="dxa"/>
              <w:end w:w="70" w:type="dxa"/>
            </w:tcMar>
          </w:tcPr>
          <w:p>
            <w:pPr>
              <w:spacing w:after="20"/>
            </w:pPr>
            <w:r>
              <w:rPr>
                <w:rFonts w:ascii="Aptos" w:hAnsi="Aptos" w:eastAsia="Aptos"/>
                <w:sz w:val="16"/>
              </w:rPr>
              <w:t>Prompt version, model alias, guardrail result, retrieval pack, output hash.</w:t>
            </w:r>
          </w:p>
        </w:tc>
        <w:tc>
          <w:tcPr>
            <w:tcW w:type="dxa" w:w="3552"/>
            <w:vAlign w:val="center"/>
            <w:tcMar>
              <w:top w:w="50" w:type="dxa"/>
              <w:start w:w="70" w:type="dxa"/>
              <w:bottom w:w="50" w:type="dxa"/>
              <w:end w:w="70" w:type="dxa"/>
            </w:tcMar>
          </w:tcPr>
          <w:p>
            <w:pPr>
              <w:spacing w:after="20"/>
            </w:pPr>
            <w:r>
              <w:rPr>
                <w:rFonts w:ascii="Aptos" w:hAnsi="Aptos" w:eastAsia="Aptos"/>
                <w:sz w:val="16"/>
              </w:rPr>
              <w:t>model route, prompt ID, guardrail policy, citations, human approval.</w:t>
            </w:r>
          </w:p>
        </w:tc>
      </w:tr>
      <w:tr>
        <w:tc>
          <w:tcPr>
            <w:tcW w:type="dxa" w:w="3552"/>
            <w:vAlign w:val="center"/>
            <w:tcMar>
              <w:top w:w="50" w:type="dxa"/>
              <w:start w:w="70" w:type="dxa"/>
              <w:bottom w:w="50" w:type="dxa"/>
              <w:end w:w="70" w:type="dxa"/>
            </w:tcMar>
          </w:tcPr>
          <w:p>
            <w:pPr>
              <w:spacing w:after="20"/>
            </w:pPr>
            <w:r>
              <w:rPr>
                <w:rFonts w:ascii="Aptos" w:hAnsi="Aptos" w:eastAsia="Aptos"/>
                <w:sz w:val="16"/>
              </w:rPr>
              <w:t>Operational Evidence</w:t>
            </w:r>
          </w:p>
        </w:tc>
        <w:tc>
          <w:tcPr>
            <w:tcW w:type="dxa" w:w="3552"/>
            <w:vAlign w:val="center"/>
            <w:tcMar>
              <w:top w:w="50" w:type="dxa"/>
              <w:start w:w="70" w:type="dxa"/>
              <w:bottom w:w="50" w:type="dxa"/>
              <w:end w:w="70" w:type="dxa"/>
            </w:tcMar>
          </w:tcPr>
          <w:p>
            <w:pPr>
              <w:spacing w:after="20"/>
            </w:pPr>
            <w:r>
              <w:rPr>
                <w:rFonts w:ascii="Aptos" w:hAnsi="Aptos" w:eastAsia="Aptos"/>
                <w:sz w:val="16"/>
              </w:rPr>
              <w:t>Incident, Auto-Heal candidate, rollback, DLQ replay, cache rebuild.</w:t>
            </w:r>
          </w:p>
        </w:tc>
        <w:tc>
          <w:tcPr>
            <w:tcW w:type="dxa" w:w="3552"/>
            <w:vAlign w:val="center"/>
            <w:tcMar>
              <w:top w:w="50" w:type="dxa"/>
              <w:start w:w="70" w:type="dxa"/>
              <w:bottom w:w="50" w:type="dxa"/>
              <w:end w:w="70" w:type="dxa"/>
            </w:tcMar>
          </w:tcPr>
          <w:p>
            <w:pPr>
              <w:spacing w:after="20"/>
            </w:pPr>
            <w:r>
              <w:rPr>
                <w:rFonts w:ascii="Aptos" w:hAnsi="Aptos" w:eastAsia="Aptos"/>
                <w:sz w:val="16"/>
              </w:rPr>
              <w:t>incident ID, action, approver, result, post-check, lessons learned.</w:t>
            </w:r>
          </w:p>
        </w:tc>
      </w:tr>
    </w:tbl>
    <w:p>
      <w:pPr/>
    </w:p>
    <w:p>
      <w:pPr>
        <w:pStyle w:val="Heading2"/>
      </w:pPr>
      <w:r>
        <w:t>8.2 Evidence Path Standard</w:t>
      </w:r>
    </w:p>
    <w:p>
      <w:pPr>
        <w:pStyle w:val="Callout"/>
      </w:pPr>
      <w:r>
        <w:rPr>
          <w:rFonts w:ascii="Aptos" w:hAnsi="Aptos" w:eastAsia="Aptos"/>
        </w:rPr>
        <w:t>Evidence paths must be deterministic and readable. Use the following baseline:</w:t>
      </w:r>
    </w:p>
    <w:p>
      <w:pPr/>
      <w:r>
        <w:rPr>
          <w:rFonts w:ascii="Aptos" w:hAnsi="Aptos" w:eastAsia="Aptos"/>
        </w:rPr>
        <w:t>OpenKM Tier-0 / AIRA / Evidence /</w:t>
        <w:br/>
        <w:t xml:space="preserve">  &lt;domain&gt; /</w:t>
        <w:br/>
        <w:t xml:space="preserve">  &lt;system-or-service&gt; /</w:t>
        <w:br/>
        <w:t xml:space="preserve">  &lt;environment&gt; /</w:t>
        <w:br/>
        <w:t xml:space="preserve">  &lt;yyyy&gt; / &lt;yyyy-mm&gt; /</w:t>
        <w:br/>
        <w:t xml:space="preserve">  &lt;artifact-id-or-release-id&gt; /</w:t>
      </w:r>
    </w:p>
    <w:p>
      <w:pPr>
        <w:pStyle w:val="Callout"/>
      </w:pPr>
      <w:r>
        <w:rPr>
          <w:rFonts w:ascii="Aptos" w:hAnsi="Aptos" w:eastAsia="Aptos"/>
        </w:rPr>
        <w:t>Recommended examples:</w:t>
      </w:r>
    </w:p>
    <w:p>
      <w:pPr/>
      <w:r>
        <w:rPr>
          <w:rFonts w:ascii="Aptos" w:hAnsi="Aptos" w:eastAsia="Aptos"/>
        </w:rPr>
        <w:t>OpenKM Tier-0 / AIRA / Evidence / CI-CD / workflow-service / DEV / 2026 / 2026-05 / build-2026.05.001 /</w:t>
        <w:br/>
        <w:t>OpenKM Tier-0 / AIRA / Evidence / Security / access-review / PROD / 2026 / 2026-Q2 /</w:t>
        <w:br/>
        <w:t>OpenKM Tier-0 / AIRA / Evidence / AI-Evaluation / orchestrator-service / UAT / 2026 / 2026-06 / eval-set-rag-001 /</w:t>
        <w:br/>
        <w:t>OpenKM Tier-0 / AIRA / Evidence / Incident / INC-2026-0001 /</w:t>
      </w:r>
    </w:p>
    <w:p>
      <w:pPr>
        <w:pStyle w:val="Heading1"/>
        <w:pBdr>
          <w:bottom w:val="single" w:sz="8" w:space="1" w:color="D9EAF7"/>
        </w:pBdr>
      </w:pPr>
      <w:r>
        <w:t>9. Prompt Eligibility and Model-Routing Register</w:t>
      </w:r>
    </w:p>
    <w:p>
      <w:pPr>
        <w:pStyle w:val="Callout"/>
      </w:pPr>
      <w:r>
        <w:rPr>
          <w:rFonts w:ascii="Aptos" w:hAnsi="Aptos" w:eastAsia="Aptos"/>
        </w:rPr>
        <w:t>Prompt eligibility is a register-controlled decision. It is not left to developer discretion or model capability.</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Eligibility</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Meaning</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Allowed Handling</w:t>
            </w:r>
          </w:p>
        </w:tc>
      </w:tr>
      <w:tr>
        <w:tc>
          <w:tcPr>
            <w:tcW w:type="dxa" w:w="3552"/>
            <w:vAlign w:val="center"/>
            <w:tcMar>
              <w:top w:w="50" w:type="dxa"/>
              <w:start w:w="70" w:type="dxa"/>
              <w:bottom w:w="50" w:type="dxa"/>
              <w:end w:w="70" w:type="dxa"/>
            </w:tcMar>
          </w:tcPr>
          <w:p>
            <w:pPr>
              <w:spacing w:after="20"/>
            </w:pPr>
            <w:r>
              <w:rPr>
                <w:rFonts w:ascii="Aptos" w:hAnsi="Aptos" w:eastAsia="Aptos"/>
                <w:sz w:val="16"/>
              </w:rPr>
              <w:t>Allowed</w:t>
            </w:r>
          </w:p>
        </w:tc>
        <w:tc>
          <w:tcPr>
            <w:tcW w:type="dxa" w:w="3552"/>
            <w:vAlign w:val="center"/>
            <w:tcMar>
              <w:top w:w="50" w:type="dxa"/>
              <w:start w:w="70" w:type="dxa"/>
              <w:bottom w:w="50" w:type="dxa"/>
              <w:end w:w="70" w:type="dxa"/>
            </w:tcMar>
          </w:tcPr>
          <w:p>
            <w:pPr>
              <w:spacing w:after="20"/>
            </w:pPr>
            <w:r>
              <w:rPr>
                <w:rFonts w:ascii="Aptos" w:hAnsi="Aptos" w:eastAsia="Aptos"/>
                <w:sz w:val="16"/>
              </w:rPr>
              <w:t>Content may be used in approved AI prompts.</w:t>
            </w:r>
          </w:p>
        </w:tc>
        <w:tc>
          <w:tcPr>
            <w:tcW w:type="dxa" w:w="3552"/>
            <w:vAlign w:val="center"/>
            <w:tcMar>
              <w:top w:w="50" w:type="dxa"/>
              <w:start w:w="70" w:type="dxa"/>
              <w:bottom w:w="50" w:type="dxa"/>
              <w:end w:w="70" w:type="dxa"/>
            </w:tcMar>
          </w:tcPr>
          <w:p>
            <w:pPr>
              <w:spacing w:after="20"/>
            </w:pPr>
            <w:r>
              <w:rPr>
                <w:rFonts w:ascii="Aptos" w:hAnsi="Aptos" w:eastAsia="Aptos"/>
                <w:sz w:val="16"/>
              </w:rPr>
              <w:t>Use approved prompt template, LiteLLM route, guardrails, and audit.</w:t>
            </w:r>
          </w:p>
        </w:tc>
      </w:tr>
      <w:tr>
        <w:tc>
          <w:tcPr>
            <w:tcW w:type="dxa" w:w="3552"/>
            <w:vAlign w:val="center"/>
            <w:tcMar>
              <w:top w:w="50" w:type="dxa"/>
              <w:start w:w="70" w:type="dxa"/>
              <w:bottom w:w="50" w:type="dxa"/>
              <w:end w:w="70" w:type="dxa"/>
            </w:tcMar>
          </w:tcPr>
          <w:p>
            <w:pPr>
              <w:spacing w:after="20"/>
            </w:pPr>
            <w:r>
              <w:rPr>
                <w:rFonts w:ascii="Aptos" w:hAnsi="Aptos" w:eastAsia="Aptos"/>
                <w:sz w:val="16"/>
              </w:rPr>
              <w:t>Redacted-only</w:t>
            </w:r>
          </w:p>
        </w:tc>
        <w:tc>
          <w:tcPr>
            <w:tcW w:type="dxa" w:w="3552"/>
            <w:vAlign w:val="center"/>
            <w:tcMar>
              <w:top w:w="50" w:type="dxa"/>
              <w:start w:w="70" w:type="dxa"/>
              <w:bottom w:w="50" w:type="dxa"/>
              <w:end w:w="70" w:type="dxa"/>
            </w:tcMar>
          </w:tcPr>
          <w:p>
            <w:pPr>
              <w:spacing w:after="20"/>
            </w:pPr>
            <w:r>
              <w:rPr>
                <w:rFonts w:ascii="Aptos" w:hAnsi="Aptos" w:eastAsia="Aptos"/>
                <w:sz w:val="16"/>
              </w:rPr>
              <w:t>Content may be used only after approved redaction/masking.</w:t>
            </w:r>
          </w:p>
        </w:tc>
        <w:tc>
          <w:tcPr>
            <w:tcW w:type="dxa" w:w="3552"/>
            <w:vAlign w:val="center"/>
            <w:tcMar>
              <w:top w:w="50" w:type="dxa"/>
              <w:start w:w="70" w:type="dxa"/>
              <w:bottom w:w="50" w:type="dxa"/>
              <w:end w:w="70" w:type="dxa"/>
            </w:tcMar>
          </w:tcPr>
          <w:p>
            <w:pPr>
              <w:spacing w:after="20"/>
            </w:pPr>
            <w:r>
              <w:rPr>
                <w:rFonts w:ascii="Aptos" w:hAnsi="Aptos" w:eastAsia="Aptos"/>
                <w:sz w:val="16"/>
              </w:rPr>
              <w:t>Store redaction evidence and source reference.</w:t>
            </w:r>
          </w:p>
        </w:tc>
      </w:tr>
      <w:tr>
        <w:tc>
          <w:tcPr>
            <w:tcW w:type="dxa" w:w="3552"/>
            <w:vAlign w:val="center"/>
            <w:tcMar>
              <w:top w:w="50" w:type="dxa"/>
              <w:start w:w="70" w:type="dxa"/>
              <w:bottom w:w="50" w:type="dxa"/>
              <w:end w:w="70" w:type="dxa"/>
            </w:tcMar>
          </w:tcPr>
          <w:p>
            <w:pPr>
              <w:spacing w:after="20"/>
            </w:pPr>
            <w:r>
              <w:rPr>
                <w:rFonts w:ascii="Aptos" w:hAnsi="Aptos" w:eastAsia="Aptos"/>
                <w:sz w:val="16"/>
              </w:rPr>
              <w:t>Private-route-only</w:t>
            </w:r>
          </w:p>
        </w:tc>
        <w:tc>
          <w:tcPr>
            <w:tcW w:type="dxa" w:w="3552"/>
            <w:vAlign w:val="center"/>
            <w:tcMar>
              <w:top w:w="50" w:type="dxa"/>
              <w:start w:w="70" w:type="dxa"/>
              <w:bottom w:w="50" w:type="dxa"/>
              <w:end w:w="70" w:type="dxa"/>
            </w:tcMar>
          </w:tcPr>
          <w:p>
            <w:pPr>
              <w:spacing w:after="20"/>
            </w:pPr>
            <w:r>
              <w:rPr>
                <w:rFonts w:ascii="Aptos" w:hAnsi="Aptos" w:eastAsia="Aptos"/>
                <w:sz w:val="16"/>
              </w:rPr>
              <w:t>Content may be used only through approved private/on-prem model route.</w:t>
            </w:r>
          </w:p>
        </w:tc>
        <w:tc>
          <w:tcPr>
            <w:tcW w:type="dxa" w:w="3552"/>
            <w:vAlign w:val="center"/>
            <w:tcMar>
              <w:top w:w="50" w:type="dxa"/>
              <w:start w:w="70" w:type="dxa"/>
              <w:bottom w:w="50" w:type="dxa"/>
              <w:end w:w="70" w:type="dxa"/>
            </w:tcMar>
          </w:tcPr>
          <w:p>
            <w:pPr>
              <w:spacing w:after="20"/>
            </w:pPr>
            <w:r>
              <w:rPr>
                <w:rFonts w:ascii="Aptos" w:hAnsi="Aptos" w:eastAsia="Aptos"/>
                <w:sz w:val="16"/>
              </w:rPr>
              <w:t>Requires classification check, guardrails, audit, and sometimes human approval.</w:t>
            </w:r>
          </w:p>
        </w:tc>
      </w:tr>
      <w:tr>
        <w:tc>
          <w:tcPr>
            <w:tcW w:type="dxa" w:w="3552"/>
            <w:vAlign w:val="center"/>
            <w:tcMar>
              <w:top w:w="50" w:type="dxa"/>
              <w:start w:w="70" w:type="dxa"/>
              <w:bottom w:w="50" w:type="dxa"/>
              <w:end w:w="70" w:type="dxa"/>
            </w:tcMar>
          </w:tcPr>
          <w:p>
            <w:pPr>
              <w:spacing w:after="20"/>
            </w:pPr>
            <w:r>
              <w:rPr>
                <w:rFonts w:ascii="Aptos" w:hAnsi="Aptos" w:eastAsia="Aptos"/>
                <w:sz w:val="16"/>
              </w:rPr>
              <w:t>Prohibited</w:t>
            </w:r>
          </w:p>
        </w:tc>
        <w:tc>
          <w:tcPr>
            <w:tcW w:type="dxa" w:w="3552"/>
            <w:vAlign w:val="center"/>
            <w:tcMar>
              <w:top w:w="50" w:type="dxa"/>
              <w:start w:w="70" w:type="dxa"/>
              <w:bottom w:w="50" w:type="dxa"/>
              <w:end w:w="70" w:type="dxa"/>
            </w:tcMar>
          </w:tcPr>
          <w:p>
            <w:pPr>
              <w:spacing w:after="20"/>
            </w:pPr>
            <w:r>
              <w:rPr>
                <w:rFonts w:ascii="Aptos" w:hAnsi="Aptos" w:eastAsia="Aptos"/>
                <w:sz w:val="16"/>
              </w:rPr>
              <w:t>Content must not enter a model prompt.</w:t>
            </w:r>
          </w:p>
        </w:tc>
        <w:tc>
          <w:tcPr>
            <w:tcW w:type="dxa" w:w="3552"/>
            <w:vAlign w:val="center"/>
            <w:tcMar>
              <w:top w:w="50" w:type="dxa"/>
              <w:start w:w="70" w:type="dxa"/>
              <w:bottom w:w="50" w:type="dxa"/>
              <w:end w:w="70" w:type="dxa"/>
            </w:tcMar>
          </w:tcPr>
          <w:p>
            <w:pPr>
              <w:spacing w:after="20"/>
            </w:pPr>
            <w:r>
              <w:rPr>
                <w:rFonts w:ascii="Aptos" w:hAnsi="Aptos" w:eastAsia="Aptos"/>
                <w:sz w:val="16"/>
              </w:rPr>
              <w:t>Use deterministic code, rule engine, manual review, or approved non-AI process.</w:t>
            </w:r>
          </w:p>
        </w:tc>
      </w:tr>
    </w:tbl>
    <w:p>
      <w:pPr/>
    </w:p>
    <w:p>
      <w:pPr>
        <w:pStyle w:val="Heading2"/>
      </w:pPr>
      <w:r>
        <w:t>9.1 Model-Routing Decision Matrix</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Classification</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Default Route</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Cloud Route</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Private/On-Prem Route</w:t>
            </w:r>
          </w:p>
        </w:tc>
        <w:tc>
          <w:tcPr>
            <w:tcW w:type="dxa" w:w="2131"/>
            <w:vAlign w:val="center"/>
            <w:tcMar>
              <w:top w:w="50" w:type="dxa"/>
              <w:start w:w="70" w:type="dxa"/>
              <w:bottom w:w="50" w:type="dxa"/>
              <w:end w:w="70" w:type="dxa"/>
            </w:tcMar>
            <w:shd w:fill="1F4E79"/>
          </w:tcPr>
          <w:p>
            <w:pPr>
              <w:spacing w:after="20"/>
            </w:pPr>
            <w:r>
              <w:rPr>
                <w:rFonts w:ascii="Aptos" w:hAnsi="Aptos" w:eastAsia="Aptos"/>
                <w:b/>
                <w:color w:val="FFFFFF"/>
                <w:sz w:val="14"/>
              </w:rPr>
              <w:t>Human Approval</w:t>
            </w:r>
          </w:p>
        </w:tc>
      </w:tr>
      <w:tr>
        <w:tc>
          <w:tcPr>
            <w:tcW w:type="dxa" w:w="2131"/>
            <w:vAlign w:val="center"/>
            <w:tcMar>
              <w:top w:w="50" w:type="dxa"/>
              <w:start w:w="70" w:type="dxa"/>
              <w:bottom w:w="50" w:type="dxa"/>
              <w:end w:w="70" w:type="dxa"/>
            </w:tcMar>
          </w:tcPr>
          <w:p>
            <w:pPr>
              <w:spacing w:after="20"/>
            </w:pPr>
            <w:r>
              <w:rPr>
                <w:rFonts w:ascii="Aptos" w:hAnsi="Aptos" w:eastAsia="Aptos"/>
                <w:sz w:val="14"/>
              </w:rPr>
              <w:t>Public</w:t>
            </w:r>
          </w:p>
        </w:tc>
        <w:tc>
          <w:tcPr>
            <w:tcW w:type="dxa" w:w="2131"/>
            <w:vAlign w:val="center"/>
            <w:tcMar>
              <w:top w:w="50" w:type="dxa"/>
              <w:start w:w="70" w:type="dxa"/>
              <w:bottom w:w="50" w:type="dxa"/>
              <w:end w:w="70" w:type="dxa"/>
            </w:tcMar>
          </w:tcPr>
          <w:p>
            <w:pPr>
              <w:spacing w:after="20"/>
            </w:pPr>
            <w:r>
              <w:rPr>
                <w:rFonts w:ascii="Aptos" w:hAnsi="Aptos" w:eastAsia="Aptos"/>
                <w:sz w:val="14"/>
              </w:rPr>
              <w:t>LiteLLM approved public/internal alias</w:t>
            </w:r>
          </w:p>
        </w:tc>
        <w:tc>
          <w:tcPr>
            <w:tcW w:type="dxa" w:w="2131"/>
            <w:vAlign w:val="center"/>
            <w:tcMar>
              <w:top w:w="50" w:type="dxa"/>
              <w:start w:w="70" w:type="dxa"/>
              <w:bottom w:w="50" w:type="dxa"/>
              <w:end w:w="70" w:type="dxa"/>
            </w:tcMar>
          </w:tcPr>
          <w:p>
            <w:pPr>
              <w:spacing w:after="20"/>
            </w:pPr>
            <w:r>
              <w:rPr>
                <w:rFonts w:ascii="Aptos" w:hAnsi="Aptos" w:eastAsia="Aptos"/>
                <w:sz w:val="14"/>
              </w:rPr>
              <w:t>Allowed</w:t>
            </w:r>
          </w:p>
        </w:tc>
        <w:tc>
          <w:tcPr>
            <w:tcW w:type="dxa" w:w="2131"/>
            <w:vAlign w:val="center"/>
            <w:tcMar>
              <w:top w:w="50" w:type="dxa"/>
              <w:start w:w="70" w:type="dxa"/>
              <w:bottom w:w="50" w:type="dxa"/>
              <w:end w:w="70" w:type="dxa"/>
            </w:tcMar>
          </w:tcPr>
          <w:p>
            <w:pPr>
              <w:spacing w:after="20"/>
            </w:pPr>
            <w:r>
              <w:rPr>
                <w:rFonts w:ascii="Aptos" w:hAnsi="Aptos" w:eastAsia="Aptos"/>
                <w:sz w:val="14"/>
              </w:rPr>
              <w:t>Allowed</w:t>
            </w:r>
          </w:p>
        </w:tc>
        <w:tc>
          <w:tcPr>
            <w:tcW w:type="dxa" w:w="2131"/>
            <w:vAlign w:val="center"/>
            <w:tcMar>
              <w:top w:w="50" w:type="dxa"/>
              <w:start w:w="70" w:type="dxa"/>
              <w:bottom w:w="50" w:type="dxa"/>
              <w:end w:w="70" w:type="dxa"/>
            </w:tcMar>
          </w:tcPr>
          <w:p>
            <w:pPr>
              <w:spacing w:after="20"/>
            </w:pPr>
            <w:r>
              <w:rPr>
                <w:rFonts w:ascii="Aptos" w:hAnsi="Aptos" w:eastAsia="Aptos"/>
                <w:sz w:val="14"/>
              </w:rPr>
              <w:t>Not normally required.</w:t>
            </w:r>
          </w:p>
        </w:tc>
      </w:tr>
      <w:tr>
        <w:tc>
          <w:tcPr>
            <w:tcW w:type="dxa" w:w="2131"/>
            <w:vAlign w:val="center"/>
            <w:tcMar>
              <w:top w:w="50" w:type="dxa"/>
              <w:start w:w="70" w:type="dxa"/>
              <w:bottom w:w="50" w:type="dxa"/>
              <w:end w:w="70" w:type="dxa"/>
            </w:tcMar>
          </w:tcPr>
          <w:p>
            <w:pPr>
              <w:spacing w:after="20"/>
            </w:pPr>
            <w:r>
              <w:rPr>
                <w:rFonts w:ascii="Aptos" w:hAnsi="Aptos" w:eastAsia="Aptos"/>
                <w:sz w:val="14"/>
              </w:rPr>
              <w:t>Internal</w:t>
            </w:r>
          </w:p>
        </w:tc>
        <w:tc>
          <w:tcPr>
            <w:tcW w:type="dxa" w:w="2131"/>
            <w:vAlign w:val="center"/>
            <w:tcMar>
              <w:top w:w="50" w:type="dxa"/>
              <w:start w:w="70" w:type="dxa"/>
              <w:bottom w:w="50" w:type="dxa"/>
              <w:end w:w="70" w:type="dxa"/>
            </w:tcMar>
          </w:tcPr>
          <w:p>
            <w:pPr>
              <w:spacing w:after="20"/>
            </w:pPr>
            <w:r>
              <w:rPr>
                <w:rFonts w:ascii="Aptos" w:hAnsi="Aptos" w:eastAsia="Aptos"/>
                <w:sz w:val="14"/>
              </w:rPr>
              <w:t>LiteLLM approved internal alias</w:t>
            </w:r>
          </w:p>
        </w:tc>
        <w:tc>
          <w:tcPr>
            <w:tcW w:type="dxa" w:w="2131"/>
            <w:vAlign w:val="center"/>
            <w:tcMar>
              <w:top w:w="50" w:type="dxa"/>
              <w:start w:w="70" w:type="dxa"/>
              <w:bottom w:w="50" w:type="dxa"/>
              <w:end w:w="70" w:type="dxa"/>
            </w:tcMar>
          </w:tcPr>
          <w:p>
            <w:pPr>
              <w:spacing w:after="20"/>
            </w:pPr>
            <w:r>
              <w:rPr>
                <w:rFonts w:ascii="Aptos" w:hAnsi="Aptos" w:eastAsia="Aptos"/>
                <w:sz w:val="14"/>
              </w:rPr>
              <w:t>Allowed in approved workspace</w:t>
            </w:r>
          </w:p>
        </w:tc>
        <w:tc>
          <w:tcPr>
            <w:tcW w:type="dxa" w:w="2131"/>
            <w:vAlign w:val="center"/>
            <w:tcMar>
              <w:top w:w="50" w:type="dxa"/>
              <w:start w:w="70" w:type="dxa"/>
              <w:bottom w:w="50" w:type="dxa"/>
              <w:end w:w="70" w:type="dxa"/>
            </w:tcMar>
          </w:tcPr>
          <w:p>
            <w:pPr>
              <w:spacing w:after="20"/>
            </w:pPr>
            <w:r>
              <w:rPr>
                <w:rFonts w:ascii="Aptos" w:hAnsi="Aptos" w:eastAsia="Aptos"/>
                <w:sz w:val="14"/>
              </w:rPr>
              <w:t>Allowed</w:t>
            </w:r>
          </w:p>
        </w:tc>
        <w:tc>
          <w:tcPr>
            <w:tcW w:type="dxa" w:w="2131"/>
            <w:vAlign w:val="center"/>
            <w:tcMar>
              <w:top w:w="50" w:type="dxa"/>
              <w:start w:w="70" w:type="dxa"/>
              <w:bottom w:w="50" w:type="dxa"/>
              <w:end w:w="70" w:type="dxa"/>
            </w:tcMar>
          </w:tcPr>
          <w:p>
            <w:pPr>
              <w:spacing w:after="20"/>
            </w:pPr>
            <w:r>
              <w:rPr>
                <w:rFonts w:ascii="Aptos" w:hAnsi="Aptos" w:eastAsia="Aptos"/>
                <w:sz w:val="14"/>
              </w:rPr>
              <w:t>Required for high-impact changes.</w:t>
            </w:r>
          </w:p>
        </w:tc>
      </w:tr>
      <w:tr>
        <w:tc>
          <w:tcPr>
            <w:tcW w:type="dxa" w:w="2131"/>
            <w:vAlign w:val="center"/>
            <w:tcMar>
              <w:top w:w="50" w:type="dxa"/>
              <w:start w:w="70" w:type="dxa"/>
              <w:bottom w:w="50" w:type="dxa"/>
              <w:end w:w="70" w:type="dxa"/>
            </w:tcMar>
          </w:tcPr>
          <w:p>
            <w:pPr>
              <w:spacing w:after="20"/>
            </w:pPr>
            <w:r>
              <w:rPr>
                <w:rFonts w:ascii="Aptos" w:hAnsi="Aptos" w:eastAsia="Aptos"/>
                <w:sz w:val="14"/>
              </w:rPr>
              <w:t>Confidential</w:t>
            </w:r>
          </w:p>
        </w:tc>
        <w:tc>
          <w:tcPr>
            <w:tcW w:type="dxa" w:w="2131"/>
            <w:vAlign w:val="center"/>
            <w:tcMar>
              <w:top w:w="50" w:type="dxa"/>
              <w:start w:w="70" w:type="dxa"/>
              <w:bottom w:w="50" w:type="dxa"/>
              <w:end w:w="70" w:type="dxa"/>
            </w:tcMar>
          </w:tcPr>
          <w:p>
            <w:pPr>
              <w:spacing w:after="20"/>
            </w:pPr>
            <w:r>
              <w:rPr>
                <w:rFonts w:ascii="Aptos" w:hAnsi="Aptos" w:eastAsia="Aptos"/>
                <w:sz w:val="14"/>
              </w:rPr>
              <w:t>Private route preferred</w:t>
            </w:r>
          </w:p>
        </w:tc>
        <w:tc>
          <w:tcPr>
            <w:tcW w:type="dxa" w:w="2131"/>
            <w:vAlign w:val="center"/>
            <w:tcMar>
              <w:top w:w="50" w:type="dxa"/>
              <w:start w:w="70" w:type="dxa"/>
              <w:bottom w:w="50" w:type="dxa"/>
              <w:end w:w="70" w:type="dxa"/>
            </w:tcMar>
          </w:tcPr>
          <w:p>
            <w:pPr>
              <w:spacing w:after="20"/>
            </w:pPr>
            <w:r>
              <w:rPr>
                <w:rFonts w:ascii="Aptos" w:hAnsi="Aptos" w:eastAsia="Aptos"/>
                <w:sz w:val="14"/>
              </w:rPr>
              <w:t>Waiver and redaction required</w:t>
            </w:r>
          </w:p>
        </w:tc>
        <w:tc>
          <w:tcPr>
            <w:tcW w:type="dxa" w:w="2131"/>
            <w:vAlign w:val="center"/>
            <w:tcMar>
              <w:top w:w="50" w:type="dxa"/>
              <w:start w:w="70" w:type="dxa"/>
              <w:bottom w:w="50" w:type="dxa"/>
              <w:end w:w="70" w:type="dxa"/>
            </w:tcMar>
          </w:tcPr>
          <w:p>
            <w:pPr>
              <w:spacing w:after="20"/>
            </w:pPr>
            <w:r>
              <w:rPr>
                <w:rFonts w:ascii="Aptos" w:hAnsi="Aptos" w:eastAsia="Aptos"/>
                <w:sz w:val="14"/>
              </w:rPr>
              <w:t>Default</w:t>
            </w:r>
          </w:p>
        </w:tc>
        <w:tc>
          <w:tcPr>
            <w:tcW w:type="dxa" w:w="2131"/>
            <w:vAlign w:val="center"/>
            <w:tcMar>
              <w:top w:w="50" w:type="dxa"/>
              <w:start w:w="70" w:type="dxa"/>
              <w:bottom w:w="50" w:type="dxa"/>
              <w:end w:w="70" w:type="dxa"/>
            </w:tcMar>
          </w:tcPr>
          <w:p>
            <w:pPr>
              <w:spacing w:after="20"/>
            </w:pPr>
            <w:r>
              <w:rPr>
                <w:rFonts w:ascii="Aptos" w:hAnsi="Aptos" w:eastAsia="Aptos"/>
                <w:sz w:val="14"/>
              </w:rPr>
              <w:t>Required for high-risk or broad exposure.</w:t>
            </w:r>
          </w:p>
        </w:tc>
      </w:tr>
      <w:tr>
        <w:tc>
          <w:tcPr>
            <w:tcW w:type="dxa" w:w="2131"/>
            <w:vAlign w:val="center"/>
            <w:tcMar>
              <w:top w:w="50" w:type="dxa"/>
              <w:start w:w="70" w:type="dxa"/>
              <w:bottom w:w="50" w:type="dxa"/>
              <w:end w:w="70" w:type="dxa"/>
            </w:tcMar>
          </w:tcPr>
          <w:p>
            <w:pPr>
              <w:spacing w:after="20"/>
            </w:pPr>
            <w:r>
              <w:rPr>
                <w:rFonts w:ascii="Aptos" w:hAnsi="Aptos" w:eastAsia="Aptos"/>
                <w:sz w:val="14"/>
              </w:rPr>
              <w:t>Restricted</w:t>
            </w:r>
          </w:p>
        </w:tc>
        <w:tc>
          <w:tcPr>
            <w:tcW w:type="dxa" w:w="2131"/>
            <w:vAlign w:val="center"/>
            <w:tcMar>
              <w:top w:w="50" w:type="dxa"/>
              <w:start w:w="70" w:type="dxa"/>
              <w:bottom w:w="50" w:type="dxa"/>
              <w:end w:w="70" w:type="dxa"/>
            </w:tcMar>
          </w:tcPr>
          <w:p>
            <w:pPr>
              <w:spacing w:after="20"/>
            </w:pPr>
            <w:r>
              <w:rPr>
                <w:rFonts w:ascii="Aptos" w:hAnsi="Aptos" w:eastAsia="Aptos"/>
                <w:sz w:val="14"/>
              </w:rPr>
              <w:t>Private route only</w:t>
            </w:r>
          </w:p>
        </w:tc>
        <w:tc>
          <w:tcPr>
            <w:tcW w:type="dxa" w:w="2131"/>
            <w:vAlign w:val="center"/>
            <w:tcMar>
              <w:top w:w="50" w:type="dxa"/>
              <w:start w:w="70" w:type="dxa"/>
              <w:bottom w:w="50" w:type="dxa"/>
              <w:end w:w="70" w:type="dxa"/>
            </w:tcMar>
          </w:tcPr>
          <w:p>
            <w:pPr>
              <w:spacing w:after="20"/>
            </w:pPr>
            <w:r>
              <w:rPr>
                <w:rFonts w:ascii="Aptos" w:hAnsi="Aptos" w:eastAsia="Aptos"/>
                <w:sz w:val="14"/>
              </w:rPr>
              <w:t>Not allowed unless executive/legal/security waiver</w:t>
            </w:r>
          </w:p>
        </w:tc>
        <w:tc>
          <w:tcPr>
            <w:tcW w:type="dxa" w:w="2131"/>
            <w:vAlign w:val="center"/>
            <w:tcMar>
              <w:top w:w="50" w:type="dxa"/>
              <w:start w:w="70" w:type="dxa"/>
              <w:bottom w:w="50" w:type="dxa"/>
              <w:end w:w="70" w:type="dxa"/>
            </w:tcMar>
          </w:tcPr>
          <w:p>
            <w:pPr>
              <w:spacing w:after="20"/>
            </w:pPr>
            <w:r>
              <w:rPr>
                <w:rFonts w:ascii="Aptos" w:hAnsi="Aptos" w:eastAsia="Aptos"/>
                <w:sz w:val="14"/>
              </w:rPr>
              <w:t>Mandatory</w:t>
            </w:r>
          </w:p>
        </w:tc>
        <w:tc>
          <w:tcPr>
            <w:tcW w:type="dxa" w:w="2131"/>
            <w:vAlign w:val="center"/>
            <w:tcMar>
              <w:top w:w="50" w:type="dxa"/>
              <w:start w:w="70" w:type="dxa"/>
              <w:bottom w:w="50" w:type="dxa"/>
              <w:end w:w="70" w:type="dxa"/>
            </w:tcMar>
          </w:tcPr>
          <w:p>
            <w:pPr>
              <w:spacing w:after="20"/>
            </w:pPr>
            <w:r>
              <w:rPr>
                <w:rFonts w:ascii="Aptos" w:hAnsi="Aptos" w:eastAsia="Aptos"/>
                <w:sz w:val="14"/>
              </w:rPr>
              <w:t>Required.</w:t>
            </w:r>
          </w:p>
        </w:tc>
      </w:tr>
    </w:tbl>
    <w:p>
      <w:pPr/>
    </w:p>
    <w:p>
      <w:pPr>
        <w:pStyle w:val="Heading2"/>
      </w:pPr>
      <w:r>
        <w:t>9.2 AI Evidence Requirements</w:t>
      </w:r>
    </w:p>
    <w:p>
      <w:pPr>
        <w:pStyle w:val="Callout"/>
      </w:pPr>
      <w:r>
        <w:rPr>
          <w:rFonts w:ascii="Aptos" w:hAnsi="Aptos" w:eastAsia="Aptos"/>
        </w:rPr>
        <w:t>Every model call that uses AIRA data must record:</w:t>
      </w:r>
    </w:p>
    <w:p>
      <w:pPr>
        <w:pStyle w:val="ListBullet"/>
        <w:spacing w:after="40"/>
      </w:pPr>
      <w:r>
        <w:rPr>
          <w:rFonts w:ascii="Aptos" w:hAnsi="Aptos" w:eastAsia="Aptos"/>
          <w:sz w:val="18"/>
        </w:rPr>
        <w:t>prompt_template_id and prompt_version;</w:t>
      </w:r>
    </w:p>
    <w:p>
      <w:pPr>
        <w:pStyle w:val="ListBullet"/>
        <w:spacing w:after="40"/>
      </w:pPr>
      <w:r>
        <w:rPr>
          <w:rFonts w:ascii="Aptos" w:hAnsi="Aptos" w:eastAsia="Aptos"/>
          <w:sz w:val="18"/>
        </w:rPr>
        <w:t>model_alias and route policy;</w:t>
      </w:r>
    </w:p>
    <w:p>
      <w:pPr>
        <w:pStyle w:val="ListBullet"/>
        <w:spacing w:after="40"/>
      </w:pPr>
      <w:r>
        <w:rPr>
          <w:rFonts w:ascii="Aptos" w:hAnsi="Aptos" w:eastAsia="Aptos"/>
          <w:sz w:val="18"/>
        </w:rPr>
        <w:t>input classification and redaction status;</w:t>
      </w:r>
    </w:p>
    <w:p>
      <w:pPr>
        <w:pStyle w:val="ListBullet"/>
        <w:spacing w:after="40"/>
      </w:pPr>
      <w:r>
        <w:rPr>
          <w:rFonts w:ascii="Aptos" w:hAnsi="Aptos" w:eastAsia="Aptos"/>
          <w:sz w:val="18"/>
        </w:rPr>
        <w:t>retrieval_pack_id, citations, and source hashes where retrieval is used;</w:t>
      </w:r>
    </w:p>
    <w:p>
      <w:pPr>
        <w:pStyle w:val="ListBullet"/>
        <w:spacing w:after="40"/>
      </w:pPr>
      <w:r>
        <w:rPr>
          <w:rFonts w:ascii="Aptos" w:hAnsi="Aptos" w:eastAsia="Aptos"/>
          <w:sz w:val="18"/>
        </w:rPr>
        <w:t>guardrail policy and checkpoint results;</w:t>
      </w:r>
    </w:p>
    <w:p>
      <w:pPr>
        <w:pStyle w:val="ListBullet"/>
        <w:spacing w:after="40"/>
      </w:pPr>
      <w:r>
        <w:rPr>
          <w:rFonts w:ascii="Aptos" w:hAnsi="Aptos" w:eastAsia="Aptos"/>
          <w:sz w:val="18"/>
        </w:rPr>
        <w:t>actor or agent identity;</w:t>
      </w:r>
    </w:p>
    <w:p>
      <w:pPr>
        <w:pStyle w:val="ListBullet"/>
        <w:spacing w:after="40"/>
      </w:pPr>
      <w:r>
        <w:rPr>
          <w:rFonts w:ascii="Aptos" w:hAnsi="Aptos" w:eastAsia="Aptos"/>
          <w:sz w:val="18"/>
        </w:rPr>
        <w:t>output classification and storage location;</w:t>
      </w:r>
    </w:p>
    <w:p>
      <w:pPr>
        <w:pStyle w:val="ListBullet"/>
        <w:spacing w:after="40"/>
      </w:pPr>
      <w:r>
        <w:rPr>
          <w:rFonts w:ascii="Aptos" w:hAnsi="Aptos" w:eastAsia="Aptos"/>
          <w:sz w:val="18"/>
        </w:rPr>
        <w:t>human approval state for high-impact outputs;</w:t>
      </w:r>
    </w:p>
    <w:p>
      <w:pPr>
        <w:pStyle w:val="ListBullet"/>
        <w:spacing w:after="40"/>
      </w:pPr>
      <w:r>
        <w:rPr>
          <w:rFonts w:ascii="Aptos" w:hAnsi="Aptos" w:eastAsia="Aptos"/>
          <w:sz w:val="18"/>
        </w:rPr>
        <w:t>trace_id, request_id, and audit evidence reference.</w:t>
      </w:r>
    </w:p>
    <w:p>
      <w:pPr>
        <w:pStyle w:val="Heading1"/>
        <w:pBdr>
          <w:bottom w:val="single" w:sz="8" w:space="1" w:color="D9EAF7"/>
        </w:pBdr>
      </w:pPr>
      <w:r>
        <w:t>10. Storage and Derivative Handling Rules</w:t>
      </w:r>
    </w:p>
    <w:p>
      <w:pPr>
        <w:pStyle w:val="Heading2"/>
      </w:pPr>
      <w:r>
        <w:t>10.1 Storage Destination Matrix</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Artifact</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Authoritative Store</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Derivatives Allowed</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Special Rule</w:t>
            </w:r>
          </w:p>
        </w:tc>
      </w:tr>
      <w:tr>
        <w:tc>
          <w:tcPr>
            <w:tcW w:type="dxa" w:w="2664"/>
            <w:vAlign w:val="center"/>
            <w:tcMar>
              <w:top w:w="50" w:type="dxa"/>
              <w:start w:w="70" w:type="dxa"/>
              <w:bottom w:w="50" w:type="dxa"/>
              <w:end w:w="70" w:type="dxa"/>
            </w:tcMar>
          </w:tcPr>
          <w:p>
            <w:pPr>
              <w:spacing w:after="20"/>
            </w:pPr>
            <w:r>
              <w:rPr>
                <w:rFonts w:ascii="Aptos" w:hAnsi="Aptos" w:eastAsia="Aptos"/>
                <w:sz w:val="16"/>
              </w:rPr>
              <w:t>Approved standards and policies</w:t>
            </w:r>
          </w:p>
        </w:tc>
        <w:tc>
          <w:tcPr>
            <w:tcW w:type="dxa" w:w="2664"/>
            <w:vAlign w:val="center"/>
            <w:tcMar>
              <w:top w:w="50" w:type="dxa"/>
              <w:start w:w="70" w:type="dxa"/>
              <w:bottom w:w="50" w:type="dxa"/>
              <w:end w:w="70" w:type="dxa"/>
            </w:tcMar>
          </w:tcPr>
          <w:p>
            <w:pPr>
              <w:spacing w:after="20"/>
            </w:pPr>
            <w:r>
              <w:rPr>
                <w:rFonts w:ascii="Aptos" w:hAnsi="Aptos" w:eastAsia="Aptos"/>
                <w:sz w:val="16"/>
              </w:rPr>
              <w:t>OpenKM and Git where applicable</w:t>
            </w:r>
          </w:p>
        </w:tc>
        <w:tc>
          <w:tcPr>
            <w:tcW w:type="dxa" w:w="2664"/>
            <w:vAlign w:val="center"/>
            <w:tcMar>
              <w:top w:w="50" w:type="dxa"/>
              <w:start w:w="70" w:type="dxa"/>
              <w:bottom w:w="50" w:type="dxa"/>
              <w:end w:w="70" w:type="dxa"/>
            </w:tcMar>
          </w:tcPr>
          <w:p>
            <w:pPr>
              <w:spacing w:after="20"/>
            </w:pPr>
            <w:r>
              <w:rPr>
                <w:rFonts w:ascii="Aptos" w:hAnsi="Aptos" w:eastAsia="Aptos"/>
                <w:sz w:val="16"/>
              </w:rPr>
              <w:t>Obsidian, LLM Wiki, search index</w:t>
            </w:r>
          </w:p>
        </w:tc>
        <w:tc>
          <w:tcPr>
            <w:tcW w:type="dxa" w:w="2664"/>
            <w:vAlign w:val="center"/>
            <w:tcMar>
              <w:top w:w="50" w:type="dxa"/>
              <w:start w:w="70" w:type="dxa"/>
              <w:bottom w:w="50" w:type="dxa"/>
              <w:end w:w="70" w:type="dxa"/>
            </w:tcMar>
          </w:tcPr>
          <w:p>
            <w:pPr>
              <w:spacing w:after="20"/>
            </w:pPr>
            <w:r>
              <w:rPr>
                <w:rFonts w:ascii="Aptos" w:hAnsi="Aptos" w:eastAsia="Aptos"/>
                <w:sz w:val="16"/>
              </w:rPr>
              <w:t>Derivatives must cite source version.</w:t>
            </w:r>
          </w:p>
        </w:tc>
      </w:tr>
      <w:tr>
        <w:tc>
          <w:tcPr>
            <w:tcW w:type="dxa" w:w="2664"/>
            <w:vAlign w:val="center"/>
            <w:tcMar>
              <w:top w:w="50" w:type="dxa"/>
              <w:start w:w="70" w:type="dxa"/>
              <w:bottom w:w="50" w:type="dxa"/>
              <w:end w:w="70" w:type="dxa"/>
            </w:tcMar>
          </w:tcPr>
          <w:p>
            <w:pPr>
              <w:spacing w:after="20"/>
            </w:pPr>
            <w:r>
              <w:rPr>
                <w:rFonts w:ascii="Aptos" w:hAnsi="Aptos" w:eastAsia="Aptos"/>
                <w:sz w:val="16"/>
              </w:rPr>
              <w:t>Source code and IaC</w:t>
            </w:r>
          </w:p>
        </w:tc>
        <w:tc>
          <w:tcPr>
            <w:tcW w:type="dxa" w:w="2664"/>
            <w:vAlign w:val="center"/>
            <w:tcMar>
              <w:top w:w="50" w:type="dxa"/>
              <w:start w:w="70" w:type="dxa"/>
              <w:bottom w:w="50" w:type="dxa"/>
              <w:end w:w="70" w:type="dxa"/>
            </w:tcMar>
          </w:tcPr>
          <w:p>
            <w:pPr>
              <w:spacing w:after="20"/>
            </w:pPr>
            <w:r>
              <w:rPr>
                <w:rFonts w:ascii="Aptos" w:hAnsi="Aptos" w:eastAsia="Aptos"/>
                <w:sz w:val="16"/>
              </w:rPr>
              <w:t>Git</w:t>
            </w:r>
          </w:p>
        </w:tc>
        <w:tc>
          <w:tcPr>
            <w:tcW w:type="dxa" w:w="2664"/>
            <w:vAlign w:val="center"/>
            <w:tcMar>
              <w:top w:w="50" w:type="dxa"/>
              <w:start w:w="70" w:type="dxa"/>
              <w:bottom w:w="50" w:type="dxa"/>
              <w:end w:w="70" w:type="dxa"/>
            </w:tcMar>
          </w:tcPr>
          <w:p>
            <w:pPr>
              <w:spacing w:after="20"/>
            </w:pPr>
            <w:r>
              <w:rPr>
                <w:rFonts w:ascii="Aptos" w:hAnsi="Aptos" w:eastAsia="Aptos"/>
                <w:sz w:val="16"/>
              </w:rPr>
              <w:t>Code index, LLM Wiki summaries</w:t>
            </w:r>
          </w:p>
        </w:tc>
        <w:tc>
          <w:tcPr>
            <w:tcW w:type="dxa" w:w="2664"/>
            <w:vAlign w:val="center"/>
            <w:tcMar>
              <w:top w:w="50" w:type="dxa"/>
              <w:start w:w="70" w:type="dxa"/>
              <w:bottom w:w="50" w:type="dxa"/>
              <w:end w:w="70" w:type="dxa"/>
            </w:tcMar>
          </w:tcPr>
          <w:p>
            <w:pPr>
              <w:spacing w:after="20"/>
            </w:pPr>
            <w:r>
              <w:rPr>
                <w:rFonts w:ascii="Aptos" w:hAnsi="Aptos" w:eastAsia="Aptos"/>
                <w:sz w:val="16"/>
              </w:rPr>
              <w:t>Generated summaries are not authoritative.</w:t>
            </w:r>
          </w:p>
        </w:tc>
      </w:tr>
      <w:tr>
        <w:tc>
          <w:tcPr>
            <w:tcW w:type="dxa" w:w="2664"/>
            <w:vAlign w:val="center"/>
            <w:tcMar>
              <w:top w:w="50" w:type="dxa"/>
              <w:start w:w="70" w:type="dxa"/>
              <w:bottom w:w="50" w:type="dxa"/>
              <w:end w:w="70" w:type="dxa"/>
            </w:tcMar>
          </w:tcPr>
          <w:p>
            <w:pPr>
              <w:spacing w:after="20"/>
            </w:pPr>
            <w:r>
              <w:rPr>
                <w:rFonts w:ascii="Aptos" w:hAnsi="Aptos" w:eastAsia="Aptos"/>
                <w:sz w:val="16"/>
              </w:rPr>
              <w:t>Runtime configuration</w:t>
            </w:r>
          </w:p>
        </w:tc>
        <w:tc>
          <w:tcPr>
            <w:tcW w:type="dxa" w:w="2664"/>
            <w:vAlign w:val="center"/>
            <w:tcMar>
              <w:top w:w="50" w:type="dxa"/>
              <w:start w:w="70" w:type="dxa"/>
              <w:bottom w:w="50" w:type="dxa"/>
              <w:end w:w="70" w:type="dxa"/>
            </w:tcMar>
          </w:tcPr>
          <w:p>
            <w:pPr>
              <w:spacing w:after="20"/>
            </w:pPr>
            <w:r>
              <w:rPr>
                <w:rFonts w:ascii="Aptos" w:hAnsi="Aptos" w:eastAsia="Aptos"/>
                <w:sz w:val="16"/>
              </w:rPr>
              <w:t>Git and PostgreSQL config tables</w:t>
            </w:r>
          </w:p>
        </w:tc>
        <w:tc>
          <w:tcPr>
            <w:tcW w:type="dxa" w:w="2664"/>
            <w:vAlign w:val="center"/>
            <w:tcMar>
              <w:top w:w="50" w:type="dxa"/>
              <w:start w:w="70" w:type="dxa"/>
              <w:bottom w:w="50" w:type="dxa"/>
              <w:end w:w="70" w:type="dxa"/>
            </w:tcMar>
          </w:tcPr>
          <w:p>
            <w:pPr>
              <w:spacing w:after="20"/>
            </w:pPr>
            <w:r>
              <w:rPr>
                <w:rFonts w:ascii="Aptos" w:hAnsi="Aptos" w:eastAsia="Aptos"/>
                <w:sz w:val="16"/>
              </w:rPr>
              <w:t>Redis/Valkey cache</w:t>
            </w:r>
          </w:p>
        </w:tc>
        <w:tc>
          <w:tcPr>
            <w:tcW w:type="dxa" w:w="2664"/>
            <w:vAlign w:val="center"/>
            <w:tcMar>
              <w:top w:w="50" w:type="dxa"/>
              <w:start w:w="70" w:type="dxa"/>
              <w:bottom w:w="50" w:type="dxa"/>
              <w:end w:w="70" w:type="dxa"/>
            </w:tcMar>
          </w:tcPr>
          <w:p>
            <w:pPr>
              <w:spacing w:after="20"/>
            </w:pPr>
            <w:r>
              <w:rPr>
                <w:rFonts w:ascii="Aptos" w:hAnsi="Aptos" w:eastAsia="Aptos"/>
                <w:sz w:val="16"/>
              </w:rPr>
              <w:t>Cache loss must not affect correctness.</w:t>
            </w:r>
          </w:p>
        </w:tc>
      </w:tr>
      <w:tr>
        <w:tc>
          <w:tcPr>
            <w:tcW w:type="dxa" w:w="2664"/>
            <w:vAlign w:val="center"/>
            <w:tcMar>
              <w:top w:w="50" w:type="dxa"/>
              <w:start w:w="70" w:type="dxa"/>
              <w:bottom w:w="50" w:type="dxa"/>
              <w:end w:w="70" w:type="dxa"/>
            </w:tcMar>
          </w:tcPr>
          <w:p>
            <w:pPr>
              <w:spacing w:after="20"/>
            </w:pPr>
            <w:r>
              <w:rPr>
                <w:rFonts w:ascii="Aptos" w:hAnsi="Aptos" w:eastAsia="Aptos"/>
                <w:sz w:val="16"/>
              </w:rPr>
              <w:t>Business documents</w:t>
            </w:r>
          </w:p>
        </w:tc>
        <w:tc>
          <w:tcPr>
            <w:tcW w:type="dxa" w:w="2664"/>
            <w:vAlign w:val="center"/>
            <w:tcMar>
              <w:top w:w="50" w:type="dxa"/>
              <w:start w:w="70" w:type="dxa"/>
              <w:bottom w:w="50" w:type="dxa"/>
              <w:end w:w="70" w:type="dxa"/>
            </w:tcMar>
          </w:tcPr>
          <w:p>
            <w:pPr>
              <w:spacing w:after="20"/>
            </w:pPr>
            <w:r>
              <w:rPr>
                <w:rFonts w:ascii="Aptos" w:hAnsi="Aptos" w:eastAsia="Aptos"/>
                <w:sz w:val="16"/>
              </w:rPr>
              <w:t>OpenKM</w:t>
            </w:r>
          </w:p>
        </w:tc>
        <w:tc>
          <w:tcPr>
            <w:tcW w:type="dxa" w:w="2664"/>
            <w:vAlign w:val="center"/>
            <w:tcMar>
              <w:top w:w="50" w:type="dxa"/>
              <w:start w:w="70" w:type="dxa"/>
              <w:bottom w:w="50" w:type="dxa"/>
              <w:end w:w="70" w:type="dxa"/>
            </w:tcMar>
          </w:tcPr>
          <w:p>
            <w:pPr>
              <w:spacing w:after="20"/>
            </w:pPr>
            <w:r>
              <w:rPr>
                <w:rFonts w:ascii="Aptos" w:hAnsi="Aptos" w:eastAsia="Aptos"/>
                <w:sz w:val="16"/>
              </w:rPr>
              <w:t>PostgreSQL metadata, chunks, embeddings</w:t>
            </w:r>
          </w:p>
        </w:tc>
        <w:tc>
          <w:tcPr>
            <w:tcW w:type="dxa" w:w="2664"/>
            <w:vAlign w:val="center"/>
            <w:tcMar>
              <w:top w:w="50" w:type="dxa"/>
              <w:start w:w="70" w:type="dxa"/>
              <w:bottom w:w="50" w:type="dxa"/>
              <w:end w:w="70" w:type="dxa"/>
            </w:tcMar>
          </w:tcPr>
          <w:p>
            <w:pPr>
              <w:spacing w:after="20"/>
            </w:pPr>
            <w:r>
              <w:rPr>
                <w:rFonts w:ascii="Aptos" w:hAnsi="Aptos" w:eastAsia="Aptos"/>
                <w:sz w:val="16"/>
              </w:rPr>
              <w:t>Original document stays in OpenKM.</w:t>
            </w:r>
          </w:p>
        </w:tc>
      </w:tr>
      <w:tr>
        <w:tc>
          <w:tcPr>
            <w:tcW w:type="dxa" w:w="2664"/>
            <w:vAlign w:val="center"/>
            <w:tcMar>
              <w:top w:w="50" w:type="dxa"/>
              <w:start w:w="70" w:type="dxa"/>
              <w:bottom w:w="50" w:type="dxa"/>
              <w:end w:w="70" w:type="dxa"/>
            </w:tcMar>
          </w:tcPr>
          <w:p>
            <w:pPr>
              <w:spacing w:after="20"/>
            </w:pPr>
            <w:r>
              <w:rPr>
                <w:rFonts w:ascii="Aptos" w:hAnsi="Aptos" w:eastAsia="Aptos"/>
                <w:sz w:val="16"/>
              </w:rPr>
              <w:t>Transaction records</w:t>
            </w:r>
          </w:p>
        </w:tc>
        <w:tc>
          <w:tcPr>
            <w:tcW w:type="dxa" w:w="2664"/>
            <w:vAlign w:val="center"/>
            <w:tcMar>
              <w:top w:w="50" w:type="dxa"/>
              <w:start w:w="70" w:type="dxa"/>
              <w:bottom w:w="50" w:type="dxa"/>
              <w:end w:w="70" w:type="dxa"/>
            </w:tcMar>
          </w:tcPr>
          <w:p>
            <w:pPr>
              <w:spacing w:after="20"/>
            </w:pPr>
            <w:r>
              <w:rPr>
                <w:rFonts w:ascii="Aptos" w:hAnsi="Aptos" w:eastAsia="Aptos"/>
                <w:sz w:val="16"/>
              </w:rPr>
              <w:t>PostgreSQL</w:t>
            </w:r>
          </w:p>
        </w:tc>
        <w:tc>
          <w:tcPr>
            <w:tcW w:type="dxa" w:w="2664"/>
            <w:vAlign w:val="center"/>
            <w:tcMar>
              <w:top w:w="50" w:type="dxa"/>
              <w:start w:w="70" w:type="dxa"/>
              <w:bottom w:w="50" w:type="dxa"/>
              <w:end w:w="70" w:type="dxa"/>
            </w:tcMar>
          </w:tcPr>
          <w:p>
            <w:pPr>
              <w:spacing w:after="20"/>
            </w:pPr>
            <w:r>
              <w:rPr>
                <w:rFonts w:ascii="Aptos" w:hAnsi="Aptos" w:eastAsia="Aptos"/>
                <w:sz w:val="16"/>
              </w:rPr>
              <w:t>Reporting projections</w:t>
            </w:r>
          </w:p>
        </w:tc>
        <w:tc>
          <w:tcPr>
            <w:tcW w:type="dxa" w:w="2664"/>
            <w:vAlign w:val="center"/>
            <w:tcMar>
              <w:top w:w="50" w:type="dxa"/>
              <w:start w:w="70" w:type="dxa"/>
              <w:bottom w:w="50" w:type="dxa"/>
              <w:end w:w="70" w:type="dxa"/>
            </w:tcMar>
          </w:tcPr>
          <w:p>
            <w:pPr>
              <w:spacing w:after="20"/>
            </w:pPr>
            <w:r>
              <w:rPr>
                <w:rFonts w:ascii="Aptos" w:hAnsi="Aptos" w:eastAsia="Aptos"/>
                <w:sz w:val="16"/>
              </w:rPr>
              <w:t>No cross-context writes.</w:t>
            </w:r>
          </w:p>
        </w:tc>
      </w:tr>
      <w:tr>
        <w:tc>
          <w:tcPr>
            <w:tcW w:type="dxa" w:w="2664"/>
            <w:vAlign w:val="center"/>
            <w:tcMar>
              <w:top w:w="50" w:type="dxa"/>
              <w:start w:w="70" w:type="dxa"/>
              <w:bottom w:w="50" w:type="dxa"/>
              <w:end w:w="70" w:type="dxa"/>
            </w:tcMar>
          </w:tcPr>
          <w:p>
            <w:pPr>
              <w:spacing w:after="20"/>
            </w:pPr>
            <w:r>
              <w:rPr>
                <w:rFonts w:ascii="Aptos" w:hAnsi="Aptos" w:eastAsia="Aptos"/>
                <w:sz w:val="16"/>
              </w:rPr>
              <w:t>Workflow history</w:t>
            </w:r>
          </w:p>
        </w:tc>
        <w:tc>
          <w:tcPr>
            <w:tcW w:type="dxa" w:w="2664"/>
            <w:vAlign w:val="center"/>
            <w:tcMar>
              <w:top w:w="50" w:type="dxa"/>
              <w:start w:w="70" w:type="dxa"/>
              <w:bottom w:w="50" w:type="dxa"/>
              <w:end w:w="70" w:type="dxa"/>
            </w:tcMar>
          </w:tcPr>
          <w:p>
            <w:pPr>
              <w:spacing w:after="20"/>
            </w:pPr>
            <w:r>
              <w:rPr>
                <w:rFonts w:ascii="Aptos" w:hAnsi="Aptos" w:eastAsia="Aptos"/>
                <w:sz w:val="16"/>
              </w:rPr>
              <w:t>Temporal / Flowable</w:t>
            </w:r>
          </w:p>
        </w:tc>
        <w:tc>
          <w:tcPr>
            <w:tcW w:type="dxa" w:w="2664"/>
            <w:vAlign w:val="center"/>
            <w:tcMar>
              <w:top w:w="50" w:type="dxa"/>
              <w:start w:w="70" w:type="dxa"/>
              <w:bottom w:w="50" w:type="dxa"/>
              <w:end w:w="70" w:type="dxa"/>
            </w:tcMar>
          </w:tcPr>
          <w:p>
            <w:pPr>
              <w:spacing w:after="20"/>
            </w:pPr>
            <w:r>
              <w:rPr>
                <w:rFonts w:ascii="Aptos" w:hAnsi="Aptos" w:eastAsia="Aptos"/>
                <w:sz w:val="16"/>
              </w:rPr>
              <w:t>LLM Wiki lessons after review</w:t>
            </w:r>
          </w:p>
        </w:tc>
        <w:tc>
          <w:tcPr>
            <w:tcW w:type="dxa" w:w="2664"/>
            <w:vAlign w:val="center"/>
            <w:tcMar>
              <w:top w:w="50" w:type="dxa"/>
              <w:start w:w="70" w:type="dxa"/>
              <w:bottom w:w="50" w:type="dxa"/>
              <w:end w:w="70" w:type="dxa"/>
            </w:tcMar>
          </w:tcPr>
          <w:p>
            <w:pPr>
              <w:spacing w:after="20"/>
            </w:pPr>
            <w:r>
              <w:rPr>
                <w:rFonts w:ascii="Aptos" w:hAnsi="Aptos" w:eastAsia="Aptos"/>
                <w:sz w:val="16"/>
              </w:rPr>
              <w:t>Histories are evidence.</w:t>
            </w:r>
          </w:p>
        </w:tc>
      </w:tr>
      <w:tr>
        <w:tc>
          <w:tcPr>
            <w:tcW w:type="dxa" w:w="2664"/>
            <w:vAlign w:val="center"/>
            <w:tcMar>
              <w:top w:w="50" w:type="dxa"/>
              <w:start w:w="70" w:type="dxa"/>
              <w:bottom w:w="50" w:type="dxa"/>
              <w:end w:w="70" w:type="dxa"/>
            </w:tcMar>
          </w:tcPr>
          <w:p>
            <w:pPr>
              <w:spacing w:after="20"/>
            </w:pPr>
            <w:r>
              <w:rPr>
                <w:rFonts w:ascii="Aptos" w:hAnsi="Aptos" w:eastAsia="Aptos"/>
                <w:sz w:val="16"/>
              </w:rPr>
              <w:t>Prompts and guardrails</w:t>
            </w:r>
          </w:p>
        </w:tc>
        <w:tc>
          <w:tcPr>
            <w:tcW w:type="dxa" w:w="2664"/>
            <w:vAlign w:val="center"/>
            <w:tcMar>
              <w:top w:w="50" w:type="dxa"/>
              <w:start w:w="70" w:type="dxa"/>
              <w:bottom w:w="50" w:type="dxa"/>
              <w:end w:w="70" w:type="dxa"/>
            </w:tcMar>
          </w:tcPr>
          <w:p>
            <w:pPr>
              <w:spacing w:after="20"/>
            </w:pPr>
            <w:r>
              <w:rPr>
                <w:rFonts w:ascii="Aptos" w:hAnsi="Aptos" w:eastAsia="Aptos"/>
                <w:sz w:val="16"/>
              </w:rPr>
              <w:t>Git registry</w:t>
            </w:r>
          </w:p>
        </w:tc>
        <w:tc>
          <w:tcPr>
            <w:tcW w:type="dxa" w:w="2664"/>
            <w:vAlign w:val="center"/>
            <w:tcMar>
              <w:top w:w="50" w:type="dxa"/>
              <w:start w:w="70" w:type="dxa"/>
              <w:bottom w:w="50" w:type="dxa"/>
              <w:end w:w="70" w:type="dxa"/>
            </w:tcMar>
          </w:tcPr>
          <w:p>
            <w:pPr>
              <w:spacing w:after="20"/>
            </w:pPr>
            <w:r>
              <w:rPr>
                <w:rFonts w:ascii="Aptos" w:hAnsi="Aptos" w:eastAsia="Aptos"/>
                <w:sz w:val="16"/>
              </w:rPr>
              <w:t>LLM Wiki approved guidance</w:t>
            </w:r>
          </w:p>
        </w:tc>
        <w:tc>
          <w:tcPr>
            <w:tcW w:type="dxa" w:w="2664"/>
            <w:vAlign w:val="center"/>
            <w:tcMar>
              <w:top w:w="50" w:type="dxa"/>
              <w:start w:w="70" w:type="dxa"/>
              <w:bottom w:w="50" w:type="dxa"/>
              <w:end w:w="70" w:type="dxa"/>
            </w:tcMar>
          </w:tcPr>
          <w:p>
            <w:pPr>
              <w:spacing w:after="20"/>
            </w:pPr>
            <w:r>
              <w:rPr>
                <w:rFonts w:ascii="Aptos" w:hAnsi="Aptos" w:eastAsia="Aptos"/>
                <w:sz w:val="16"/>
              </w:rPr>
              <w:t>No unreviewed prompt promotion.</w:t>
            </w:r>
          </w:p>
        </w:tc>
      </w:tr>
      <w:tr>
        <w:tc>
          <w:tcPr>
            <w:tcW w:type="dxa" w:w="2664"/>
            <w:vAlign w:val="center"/>
            <w:tcMar>
              <w:top w:w="50" w:type="dxa"/>
              <w:start w:w="70" w:type="dxa"/>
              <w:bottom w:w="50" w:type="dxa"/>
              <w:end w:w="70" w:type="dxa"/>
            </w:tcMar>
          </w:tcPr>
          <w:p>
            <w:pPr>
              <w:spacing w:after="20"/>
            </w:pPr>
            <w:r>
              <w:rPr>
                <w:rFonts w:ascii="Aptos" w:hAnsi="Aptos" w:eastAsia="Aptos"/>
                <w:sz w:val="16"/>
              </w:rPr>
              <w:t>Model outputs</w:t>
            </w:r>
          </w:p>
        </w:tc>
        <w:tc>
          <w:tcPr>
            <w:tcW w:type="dxa" w:w="2664"/>
            <w:vAlign w:val="center"/>
            <w:tcMar>
              <w:top w:w="50" w:type="dxa"/>
              <w:start w:w="70" w:type="dxa"/>
              <w:bottom w:w="50" w:type="dxa"/>
              <w:end w:w="70" w:type="dxa"/>
            </w:tcMar>
          </w:tcPr>
          <w:p>
            <w:pPr>
              <w:spacing w:after="20"/>
            </w:pPr>
            <w:r>
              <w:rPr>
                <w:rFonts w:ascii="Aptos" w:hAnsi="Aptos" w:eastAsia="Aptos"/>
                <w:sz w:val="16"/>
              </w:rPr>
              <w:t>PostgreSQL/audit store/OpenKM depending on use</w:t>
            </w:r>
          </w:p>
        </w:tc>
        <w:tc>
          <w:tcPr>
            <w:tcW w:type="dxa" w:w="2664"/>
            <w:vAlign w:val="center"/>
            <w:tcMar>
              <w:top w:w="50" w:type="dxa"/>
              <w:start w:w="70" w:type="dxa"/>
              <w:bottom w:w="50" w:type="dxa"/>
              <w:end w:w="70" w:type="dxa"/>
            </w:tcMar>
          </w:tcPr>
          <w:p>
            <w:pPr>
              <w:spacing w:after="20"/>
            </w:pPr>
            <w:r>
              <w:rPr>
                <w:rFonts w:ascii="Aptos" w:hAnsi="Aptos" w:eastAsia="Aptos"/>
                <w:sz w:val="16"/>
              </w:rPr>
              <w:t>Summaries only if approved</w:t>
            </w:r>
          </w:p>
        </w:tc>
        <w:tc>
          <w:tcPr>
            <w:tcW w:type="dxa" w:w="2664"/>
            <w:vAlign w:val="center"/>
            <w:tcMar>
              <w:top w:w="50" w:type="dxa"/>
              <w:start w:w="70" w:type="dxa"/>
              <w:bottom w:w="50" w:type="dxa"/>
              <w:end w:w="70" w:type="dxa"/>
            </w:tcMar>
          </w:tcPr>
          <w:p>
            <w:pPr>
              <w:spacing w:after="20"/>
            </w:pPr>
            <w:r>
              <w:rPr>
                <w:rFonts w:ascii="Aptos" w:hAnsi="Aptos" w:eastAsia="Aptos"/>
                <w:sz w:val="16"/>
              </w:rPr>
              <w:t>Classification inherited from input and output.</w:t>
            </w:r>
          </w:p>
        </w:tc>
      </w:tr>
      <w:tr>
        <w:tc>
          <w:tcPr>
            <w:tcW w:type="dxa" w:w="2664"/>
            <w:vAlign w:val="center"/>
            <w:tcMar>
              <w:top w:w="50" w:type="dxa"/>
              <w:start w:w="70" w:type="dxa"/>
              <w:bottom w:w="50" w:type="dxa"/>
              <w:end w:w="70" w:type="dxa"/>
            </w:tcMar>
          </w:tcPr>
          <w:p>
            <w:pPr>
              <w:spacing w:after="20"/>
            </w:pPr>
            <w:r>
              <w:rPr>
                <w:rFonts w:ascii="Aptos" w:hAnsi="Aptos" w:eastAsia="Aptos"/>
                <w:sz w:val="16"/>
              </w:rPr>
              <w:t>Logs, metrics, traces</w:t>
            </w:r>
          </w:p>
        </w:tc>
        <w:tc>
          <w:tcPr>
            <w:tcW w:type="dxa" w:w="2664"/>
            <w:vAlign w:val="center"/>
            <w:tcMar>
              <w:top w:w="50" w:type="dxa"/>
              <w:start w:w="70" w:type="dxa"/>
              <w:bottom w:w="50" w:type="dxa"/>
              <w:end w:w="70" w:type="dxa"/>
            </w:tcMar>
          </w:tcPr>
          <w:p>
            <w:pPr>
              <w:spacing w:after="20"/>
            </w:pPr>
            <w:r>
              <w:rPr>
                <w:rFonts w:ascii="Aptos" w:hAnsi="Aptos" w:eastAsia="Aptos"/>
                <w:sz w:val="16"/>
              </w:rPr>
              <w:t>Observability stores</w:t>
            </w:r>
          </w:p>
        </w:tc>
        <w:tc>
          <w:tcPr>
            <w:tcW w:type="dxa" w:w="2664"/>
            <w:vAlign w:val="center"/>
            <w:tcMar>
              <w:top w:w="50" w:type="dxa"/>
              <w:start w:w="70" w:type="dxa"/>
              <w:bottom w:w="50" w:type="dxa"/>
              <w:end w:w="70" w:type="dxa"/>
            </w:tcMar>
          </w:tcPr>
          <w:p>
            <w:pPr>
              <w:spacing w:after="20"/>
            </w:pPr>
            <w:r>
              <w:rPr>
                <w:rFonts w:ascii="Aptos" w:hAnsi="Aptos" w:eastAsia="Aptos"/>
                <w:sz w:val="16"/>
              </w:rPr>
              <w:t>Incident evidence pack</w:t>
            </w:r>
          </w:p>
        </w:tc>
        <w:tc>
          <w:tcPr>
            <w:tcW w:type="dxa" w:w="2664"/>
            <w:vAlign w:val="center"/>
            <w:tcMar>
              <w:top w:w="50" w:type="dxa"/>
              <w:start w:w="70" w:type="dxa"/>
              <w:bottom w:w="50" w:type="dxa"/>
              <w:end w:w="70" w:type="dxa"/>
            </w:tcMar>
          </w:tcPr>
          <w:p>
            <w:pPr>
              <w:spacing w:after="20"/>
            </w:pPr>
            <w:r>
              <w:rPr>
                <w:rFonts w:ascii="Aptos" w:hAnsi="Aptos" w:eastAsia="Aptos"/>
                <w:sz w:val="16"/>
              </w:rPr>
              <w:t>Redact PII and secrets.</w:t>
            </w:r>
          </w:p>
        </w:tc>
      </w:tr>
      <w:tr>
        <w:tc>
          <w:tcPr>
            <w:tcW w:type="dxa" w:w="2664"/>
            <w:vAlign w:val="center"/>
            <w:tcMar>
              <w:top w:w="50" w:type="dxa"/>
              <w:start w:w="70" w:type="dxa"/>
              <w:bottom w:w="50" w:type="dxa"/>
              <w:end w:w="70" w:type="dxa"/>
            </w:tcMar>
          </w:tcPr>
          <w:p>
            <w:pPr>
              <w:spacing w:after="20"/>
            </w:pPr>
            <w:r>
              <w:rPr>
                <w:rFonts w:ascii="Aptos" w:hAnsi="Aptos" w:eastAsia="Aptos"/>
                <w:sz w:val="16"/>
              </w:rPr>
              <w:t>CI/CD evidence</w:t>
            </w:r>
          </w:p>
        </w:tc>
        <w:tc>
          <w:tcPr>
            <w:tcW w:type="dxa" w:w="2664"/>
            <w:vAlign w:val="center"/>
            <w:tcMar>
              <w:top w:w="50" w:type="dxa"/>
              <w:start w:w="70" w:type="dxa"/>
              <w:bottom w:w="50" w:type="dxa"/>
              <w:end w:w="70" w:type="dxa"/>
            </w:tcMar>
          </w:tcPr>
          <w:p>
            <w:pPr>
              <w:spacing w:after="20"/>
            </w:pPr>
            <w:r>
              <w:rPr>
                <w:rFonts w:ascii="Aptos" w:hAnsi="Aptos" w:eastAsia="Aptos"/>
                <w:sz w:val="16"/>
              </w:rPr>
              <w:t>CI artifact store and OpenKM</w:t>
            </w:r>
          </w:p>
        </w:tc>
        <w:tc>
          <w:tcPr>
            <w:tcW w:type="dxa" w:w="2664"/>
            <w:vAlign w:val="center"/>
            <w:tcMar>
              <w:top w:w="50" w:type="dxa"/>
              <w:start w:w="70" w:type="dxa"/>
              <w:bottom w:w="50" w:type="dxa"/>
              <w:end w:w="70" w:type="dxa"/>
            </w:tcMar>
          </w:tcPr>
          <w:p>
            <w:pPr>
              <w:spacing w:after="20"/>
            </w:pPr>
            <w:r>
              <w:rPr>
                <w:rFonts w:ascii="Aptos" w:hAnsi="Aptos" w:eastAsia="Aptos"/>
                <w:sz w:val="16"/>
              </w:rPr>
              <w:t>Release dashboards</w:t>
            </w:r>
          </w:p>
        </w:tc>
        <w:tc>
          <w:tcPr>
            <w:tcW w:type="dxa" w:w="2664"/>
            <w:vAlign w:val="center"/>
            <w:tcMar>
              <w:top w:w="50" w:type="dxa"/>
              <w:start w:w="70" w:type="dxa"/>
              <w:bottom w:w="50" w:type="dxa"/>
              <w:end w:w="70" w:type="dxa"/>
            </w:tcMar>
          </w:tcPr>
          <w:p>
            <w:pPr>
              <w:spacing w:after="20"/>
            </w:pPr>
            <w:r>
              <w:rPr>
                <w:rFonts w:ascii="Aptos" w:hAnsi="Aptos" w:eastAsia="Aptos"/>
                <w:sz w:val="16"/>
              </w:rPr>
              <w:t>Retain with release.</w:t>
            </w:r>
          </w:p>
        </w:tc>
      </w:tr>
    </w:tbl>
    <w:p>
      <w:pPr/>
    </w:p>
    <w:p>
      <w:pPr>
        <w:pStyle w:val="Heading2"/>
      </w:pPr>
      <w:r>
        <w:t>10.2 Derivative Invalidation Rules</w:t>
      </w:r>
    </w:p>
    <w:p>
      <w:pPr>
        <w:pStyle w:val="Callout"/>
      </w:pPr>
      <w:r>
        <w:rPr>
          <w:rFonts w:ascii="Aptos" w:hAnsi="Aptos" w:eastAsia="Aptos"/>
        </w:rPr>
        <w:t>Derivative artifacts must be invalidated or rebuilt when:</w:t>
      </w:r>
    </w:p>
    <w:p>
      <w:pPr>
        <w:pStyle w:val="ListBullet"/>
        <w:spacing w:after="40"/>
      </w:pPr>
      <w:r>
        <w:rPr>
          <w:rFonts w:ascii="Aptos" w:hAnsi="Aptos" w:eastAsia="Aptos"/>
          <w:sz w:val="18"/>
        </w:rPr>
        <w:t>source content changes, is superseded, is archived, or is purged;</w:t>
      </w:r>
    </w:p>
    <w:p>
      <w:pPr>
        <w:pStyle w:val="ListBullet"/>
        <w:spacing w:after="40"/>
      </w:pPr>
      <w:r>
        <w:rPr>
          <w:rFonts w:ascii="Aptos" w:hAnsi="Aptos" w:eastAsia="Aptos"/>
          <w:sz w:val="18"/>
        </w:rPr>
        <w:t>classification changes upward or downward;</w:t>
      </w:r>
    </w:p>
    <w:p>
      <w:pPr>
        <w:pStyle w:val="ListBullet"/>
        <w:spacing w:after="40"/>
      </w:pPr>
      <w:r>
        <w:rPr>
          <w:rFonts w:ascii="Aptos" w:hAnsi="Aptos" w:eastAsia="Aptos"/>
          <w:sz w:val="18"/>
        </w:rPr>
        <w:t>access policy changes;</w:t>
      </w:r>
    </w:p>
    <w:p>
      <w:pPr>
        <w:pStyle w:val="ListBullet"/>
        <w:spacing w:after="40"/>
      </w:pPr>
      <w:r>
        <w:rPr>
          <w:rFonts w:ascii="Aptos" w:hAnsi="Aptos" w:eastAsia="Aptos"/>
          <w:sz w:val="18"/>
        </w:rPr>
        <w:t>retention rule changes;</w:t>
      </w:r>
    </w:p>
    <w:p>
      <w:pPr>
        <w:pStyle w:val="ListBullet"/>
        <w:spacing w:after="40"/>
      </w:pPr>
      <w:r>
        <w:rPr>
          <w:rFonts w:ascii="Aptos" w:hAnsi="Aptos" w:eastAsia="Aptos"/>
          <w:sz w:val="18"/>
        </w:rPr>
        <w:t>prompt eligibility changes;</w:t>
      </w:r>
    </w:p>
    <w:p>
      <w:pPr>
        <w:pStyle w:val="ListBullet"/>
        <w:spacing w:after="40"/>
      </w:pPr>
      <w:r>
        <w:rPr>
          <w:rFonts w:ascii="Aptos" w:hAnsi="Aptos" w:eastAsia="Aptos"/>
          <w:sz w:val="18"/>
        </w:rPr>
        <w:t>model-routing policy changes;</w:t>
      </w:r>
    </w:p>
    <w:p>
      <w:pPr>
        <w:pStyle w:val="ListBullet"/>
        <w:spacing w:after="40"/>
      </w:pPr>
      <w:r>
        <w:rPr>
          <w:rFonts w:ascii="Aptos" w:hAnsi="Aptos" w:eastAsia="Aptos"/>
          <w:sz w:val="18"/>
        </w:rPr>
        <w:t>legal hold begins or is released;</w:t>
      </w:r>
    </w:p>
    <w:p>
      <w:pPr>
        <w:pStyle w:val="ListBullet"/>
        <w:spacing w:after="40"/>
      </w:pPr>
      <w:r>
        <w:rPr>
          <w:rFonts w:ascii="Aptos" w:hAnsi="Aptos" w:eastAsia="Aptos"/>
          <w:sz w:val="18"/>
        </w:rPr>
        <w:t>retrieval quality or citation quality falls below threshold.</w:t>
      </w:r>
    </w:p>
    <w:p>
      <w:pPr>
        <w:pStyle w:val="Heading1"/>
        <w:pBdr>
          <w:bottom w:val="single" w:sz="8" w:space="1" w:color="D9EAF7"/>
        </w:pBdr>
      </w:pPr>
      <w:r>
        <w:t>11. Lifecycle Procedures</w:t>
      </w:r>
    </w:p>
    <w:p>
      <w:pPr>
        <w:pStyle w:val="Heading2"/>
      </w:pPr>
      <w:r>
        <w:t>11.1 Classification and Registration Procedure</w:t>
      </w:r>
    </w:p>
    <w:p>
      <w:pPr>
        <w:jc w:val="center"/>
      </w:pPr>
      <w:r>
        <w:drawing>
          <wp:inline xmlns:a="http://schemas.openxmlformats.org/drawingml/2006/main" xmlns:pic="http://schemas.openxmlformats.org/drawingml/2006/picture">
            <wp:extent cx="6492240" cy="1428292"/>
            <wp:docPr id="1" name="Picture 1"/>
            <wp:cNvGraphicFramePr>
              <a:graphicFrameLocks noChangeAspect="1"/>
            </wp:cNvGraphicFramePr>
            <a:graphic>
              <a:graphicData uri="http://schemas.openxmlformats.org/drawingml/2006/picture">
                <pic:pic>
                  <pic:nvPicPr>
                    <pic:cNvPr id="0" name="fig1_classification.png"/>
                    <pic:cNvPicPr/>
                  </pic:nvPicPr>
                  <pic:blipFill>
                    <a:blip r:embed="rId11"/>
                    <a:stretch>
                      <a:fillRect/>
                    </a:stretch>
                  </pic:blipFill>
                  <pic:spPr>
                    <a:xfrm>
                      <a:off x="0" y="0"/>
                      <a:ext cx="6492240" cy="1428292"/>
                    </a:xfrm>
                    <a:prstGeom prst="rect"/>
                  </pic:spPr>
                </pic:pic>
              </a:graphicData>
            </a:graphic>
          </wp:inline>
        </w:drawing>
      </w:r>
    </w:p>
    <w:p>
      <w:pPr>
        <w:pStyle w:val="TableCaption"/>
        <w:jc w:val="center"/>
      </w:pPr>
      <w:r>
        <w:t>Figure 1. Classification and registration flow.</w:t>
      </w:r>
    </w:p>
    <w:p>
      <w:pPr>
        <w:pStyle w:val="ListBullet"/>
        <w:spacing w:after="40"/>
      </w:pPr>
      <w:r>
        <w:rPr>
          <w:rFonts w:ascii="Aptos" w:hAnsi="Aptos" w:eastAsia="Aptos"/>
          <w:sz w:val="18"/>
        </w:rPr>
        <w:t>Create or receive the artifact through an approved channel.</w:t>
      </w:r>
    </w:p>
    <w:p>
      <w:pPr>
        <w:pStyle w:val="ListBullet"/>
        <w:spacing w:after="40"/>
      </w:pPr>
      <w:r>
        <w:rPr>
          <w:rFonts w:ascii="Aptos" w:hAnsi="Aptos" w:eastAsia="Aptos"/>
          <w:sz w:val="18"/>
        </w:rPr>
        <w:t>Identify owner, steward, domain, source tier, purpose, and system boundary.</w:t>
      </w:r>
    </w:p>
    <w:p>
      <w:pPr>
        <w:pStyle w:val="ListBullet"/>
        <w:spacing w:after="40"/>
      </w:pPr>
      <w:r>
        <w:rPr>
          <w:rFonts w:ascii="Aptos" w:hAnsi="Aptos" w:eastAsia="Aptos"/>
          <w:sz w:val="18"/>
        </w:rPr>
        <w:t>Classify the artifact using the classification matrix.</w:t>
      </w:r>
    </w:p>
    <w:p>
      <w:pPr>
        <w:pStyle w:val="ListBullet"/>
        <w:spacing w:after="40"/>
      </w:pPr>
      <w:r>
        <w:rPr>
          <w:rFonts w:ascii="Aptos" w:hAnsi="Aptos" w:eastAsia="Aptos"/>
          <w:sz w:val="18"/>
        </w:rPr>
        <w:t>Assign retention rule, access policy, storage location, logging rule, prompt eligibility, and model route.</w:t>
      </w:r>
    </w:p>
    <w:p>
      <w:pPr>
        <w:pStyle w:val="ListBullet"/>
        <w:spacing w:after="40"/>
      </w:pPr>
      <w:r>
        <w:rPr>
          <w:rFonts w:ascii="Aptos" w:hAnsi="Aptos" w:eastAsia="Aptos"/>
          <w:sz w:val="18"/>
        </w:rPr>
        <w:t>Register the artifact in Git YAML and/or PostgreSQL register table.</w:t>
      </w:r>
    </w:p>
    <w:p>
      <w:pPr>
        <w:pStyle w:val="ListBullet"/>
        <w:spacing w:after="40"/>
      </w:pPr>
      <w:r>
        <w:rPr>
          <w:rFonts w:ascii="Aptos" w:hAnsi="Aptos" w:eastAsia="Aptos"/>
          <w:sz w:val="18"/>
        </w:rPr>
        <w:t>Validate with policy-as-code where possible.</w:t>
      </w:r>
    </w:p>
    <w:p>
      <w:pPr>
        <w:pStyle w:val="ListBullet"/>
        <w:spacing w:after="40"/>
      </w:pPr>
      <w:r>
        <w:rPr>
          <w:rFonts w:ascii="Aptos" w:hAnsi="Aptos" w:eastAsia="Aptos"/>
          <w:sz w:val="18"/>
        </w:rPr>
        <w:t>Obtain owner and security/compliance approval when required.</w:t>
      </w:r>
    </w:p>
    <w:p>
      <w:pPr>
        <w:pStyle w:val="ListBullet"/>
        <w:spacing w:after="40"/>
      </w:pPr>
      <w:r>
        <w:rPr>
          <w:rFonts w:ascii="Aptos" w:hAnsi="Aptos" w:eastAsia="Aptos"/>
          <w:sz w:val="18"/>
        </w:rPr>
        <w:t>Store or activate only after register evidence is complete.</w:t>
      </w:r>
    </w:p>
    <w:p>
      <w:pPr>
        <w:pStyle w:val="Heading2"/>
      </w:pPr>
      <w:r>
        <w:t>11.2 Evidence Capture and Retention Procedure</w:t>
      </w:r>
    </w:p>
    <w:p>
      <w:pPr>
        <w:jc w:val="center"/>
      </w:pPr>
      <w:r>
        <w:drawing>
          <wp:inline xmlns:a="http://schemas.openxmlformats.org/drawingml/2006/main" xmlns:pic="http://schemas.openxmlformats.org/drawingml/2006/picture">
            <wp:extent cx="6492240" cy="1428292"/>
            <wp:docPr id="2" name="Picture 2"/>
            <wp:cNvGraphicFramePr>
              <a:graphicFrameLocks noChangeAspect="1"/>
            </wp:cNvGraphicFramePr>
            <a:graphic>
              <a:graphicData uri="http://schemas.openxmlformats.org/drawingml/2006/picture">
                <pic:pic>
                  <pic:nvPicPr>
                    <pic:cNvPr id="0" name="fig2_evidence.png"/>
                    <pic:cNvPicPr/>
                  </pic:nvPicPr>
                  <pic:blipFill>
                    <a:blip r:embed="rId12"/>
                    <a:stretch>
                      <a:fillRect/>
                    </a:stretch>
                  </pic:blipFill>
                  <pic:spPr>
                    <a:xfrm>
                      <a:off x="0" y="0"/>
                      <a:ext cx="6492240" cy="1428292"/>
                    </a:xfrm>
                    <a:prstGeom prst="rect"/>
                  </pic:spPr>
                </pic:pic>
              </a:graphicData>
            </a:graphic>
          </wp:inline>
        </w:drawing>
      </w:r>
    </w:p>
    <w:p>
      <w:pPr>
        <w:pStyle w:val="TableCaption"/>
        <w:jc w:val="center"/>
      </w:pPr>
      <w:r>
        <w:t>Figure 2. Evidence capture and retention flow.</w:t>
      </w:r>
    </w:p>
    <w:p>
      <w:pPr/>
      <w:r>
        <w:rPr>
          <w:rFonts w:ascii="Aptos" w:hAnsi="Aptos" w:eastAsia="Aptos"/>
        </w:rPr>
        <w:t>Evidence must be produced as part of the workflow, not recreated manually after the fact. Evidence producers include CI/CD pipelines, runtime services, workflow engines, security tools, AI gateways, review systems, and human approval workflows.</w:t>
      </w:r>
    </w:p>
    <w:p>
      <w:pPr>
        <w:pStyle w:val="Heading2"/>
      </w:pPr>
      <w:r>
        <w:t>11.3 Model Routing Procedure</w:t>
      </w:r>
    </w:p>
    <w:p>
      <w:pPr>
        <w:jc w:val="center"/>
      </w:pPr>
      <w:r>
        <w:drawing>
          <wp:inline xmlns:a="http://schemas.openxmlformats.org/drawingml/2006/main" xmlns:pic="http://schemas.openxmlformats.org/drawingml/2006/picture">
            <wp:extent cx="6492240" cy="1428292"/>
            <wp:docPr id="3" name="Picture 3"/>
            <wp:cNvGraphicFramePr>
              <a:graphicFrameLocks noChangeAspect="1"/>
            </wp:cNvGraphicFramePr>
            <a:graphic>
              <a:graphicData uri="http://schemas.openxmlformats.org/drawingml/2006/picture">
                <pic:pic>
                  <pic:nvPicPr>
                    <pic:cNvPr id="0" name="fig3_modelrouting.png"/>
                    <pic:cNvPicPr/>
                  </pic:nvPicPr>
                  <pic:blipFill>
                    <a:blip r:embed="rId13"/>
                    <a:stretch>
                      <a:fillRect/>
                    </a:stretch>
                  </pic:blipFill>
                  <pic:spPr>
                    <a:xfrm>
                      <a:off x="0" y="0"/>
                      <a:ext cx="6492240" cy="1428292"/>
                    </a:xfrm>
                    <a:prstGeom prst="rect"/>
                  </pic:spPr>
                </pic:pic>
              </a:graphicData>
            </a:graphic>
          </wp:inline>
        </w:drawing>
      </w:r>
    </w:p>
    <w:p>
      <w:pPr>
        <w:pStyle w:val="TableCaption"/>
        <w:jc w:val="center"/>
      </w:pPr>
      <w:r>
        <w:t>Figure 3. Classification-aware prompt and model-routing flow.</w:t>
      </w:r>
    </w:p>
    <w:p>
      <w:pPr/>
      <w:r>
        <w:rPr>
          <w:rFonts w:ascii="Aptos" w:hAnsi="Aptos" w:eastAsia="Aptos"/>
        </w:rPr>
        <w:t>AIRA model routing must fail closed. When the content classification, redaction state, or route eligibility cannot be determined, the request must be blocked or escalated to human review.</w:t>
      </w:r>
    </w:p>
    <w:p>
      <w:pPr>
        <w:pStyle w:val="Heading2"/>
      </w:pPr>
      <w:r>
        <w:t>11.4 Retention, Legal Hold, and Disposal Procedure</w:t>
      </w:r>
    </w:p>
    <w:p>
      <w:pPr>
        <w:jc w:val="center"/>
      </w:pPr>
      <w:r>
        <w:drawing>
          <wp:inline xmlns:a="http://schemas.openxmlformats.org/drawingml/2006/main" xmlns:pic="http://schemas.openxmlformats.org/drawingml/2006/picture">
            <wp:extent cx="6492240" cy="1428292"/>
            <wp:docPr id="4" name="Picture 4"/>
            <wp:cNvGraphicFramePr>
              <a:graphicFrameLocks noChangeAspect="1"/>
            </wp:cNvGraphicFramePr>
            <a:graphic>
              <a:graphicData uri="http://schemas.openxmlformats.org/drawingml/2006/picture">
                <pic:pic>
                  <pic:nvPicPr>
                    <pic:cNvPr id="0" name="fig4_retention.png"/>
                    <pic:cNvPicPr/>
                  </pic:nvPicPr>
                  <pic:blipFill>
                    <a:blip r:embed="rId14"/>
                    <a:stretch>
                      <a:fillRect/>
                    </a:stretch>
                  </pic:blipFill>
                  <pic:spPr>
                    <a:xfrm>
                      <a:off x="0" y="0"/>
                      <a:ext cx="6492240" cy="1428292"/>
                    </a:xfrm>
                    <a:prstGeom prst="rect"/>
                  </pic:spPr>
                </pic:pic>
              </a:graphicData>
            </a:graphic>
          </wp:inline>
        </w:drawing>
      </w:r>
    </w:p>
    <w:p>
      <w:pPr>
        <w:pStyle w:val="TableCaption"/>
        <w:jc w:val="center"/>
      </w:pPr>
      <w:r>
        <w:t>Figure 4. Retention, legal hold, and controlled disposal flow.</w:t>
      </w:r>
    </w:p>
    <w:p>
      <w:pPr/>
      <w:r>
        <w:rPr>
          <w:rFonts w:ascii="Aptos" w:hAnsi="Aptos" w:eastAsia="Aptos"/>
        </w:rPr>
        <w:t>Disposal is not a delete button. It is a controlled workflow that checks legal hold, obtains approval, executes storage-specific actions, invalidates derivatives, and writes disposal evidence.</w:t>
      </w:r>
    </w:p>
    <w:p>
      <w:pPr>
        <w:pStyle w:val="Heading1"/>
        <w:pBdr>
          <w:bottom w:val="single" w:sz="8" w:space="1" w:color="D9EAF7"/>
        </w:pBdr>
      </w:pPr>
      <w:r>
        <w:t>12. Register Implementation Patterns</w:t>
      </w:r>
    </w:p>
    <w:p>
      <w:pPr>
        <w:pStyle w:val="Heading2"/>
      </w:pPr>
      <w:r>
        <w:t>12.1 Git-Based Register Layout</w:t>
      </w:r>
    </w:p>
    <w:p>
      <w:pPr>
        <w:pStyle w:val="CodeBlock"/>
        <w:shd w:fill="F5F5F5"/>
      </w:pPr>
      <w:r>
        <w:rPr>
          <w:rFonts w:ascii="Aptos" w:hAnsi="Aptos" w:eastAsia="Aptos"/>
        </w:rPr>
        <w:t>aira-registers/</w:t>
        <w:br/>
        <w:t>├── classification/</w:t>
        <w:br/>
        <w:t>│   ├── artifact-classes.yaml</w:t>
        <w:br/>
        <w:t>│   ├── data-elements.yaml</w:t>
        <w:br/>
        <w:t>│   ├── prompt-eligibility.yaml</w:t>
        <w:br/>
        <w:t>│   └── model-routing.yaml</w:t>
        <w:br/>
        <w:t>├── retention/</w:t>
        <w:br/>
        <w:t>│   ├── retention-schedule.yaml</w:t>
        <w:br/>
        <w:t>│   ├── legal-holds.yaml</w:t>
        <w:br/>
        <w:t>│   └── disposition-rules.yaml</w:t>
        <w:br/>
        <w:t>├── evidence/</w:t>
        <w:br/>
        <w:t>│   ├── evidence-classes.yaml</w:t>
        <w:br/>
        <w:t>│   ├── evidence-paths.yaml</w:t>
        <w:br/>
        <w:t>│   └── evidence-manifest.schema.yaml</w:t>
        <w:br/>
        <w:t>├── policies/</w:t>
        <w:br/>
        <w:t>│   ├── opa/</w:t>
        <w:br/>
        <w:t>│   └── conftest/</w:t>
        <w:br/>
        <w:t>└── README.md</w:t>
      </w:r>
    </w:p>
    <w:p>
      <w:pPr>
        <w:pStyle w:val="Heading2"/>
      </w:pPr>
      <w:r>
        <w:t>12.2 PostgreSQL Register Tables</w:t>
      </w:r>
    </w:p>
    <w:p>
      <w:pPr>
        <w:pStyle w:val="Callout"/>
      </w:pPr>
      <w:r>
        <w:rPr>
          <w:rFonts w:ascii="Aptos" w:hAnsi="Aptos" w:eastAsia="Aptos"/>
        </w:rPr>
        <w:t>At minimum, PostgreSQL implementation should include controlled tables for:</w:t>
      </w:r>
    </w:p>
    <w:p>
      <w:pPr>
        <w:pStyle w:val="ListBullet"/>
        <w:spacing w:after="40"/>
      </w:pPr>
      <w:r>
        <w:rPr>
          <w:rFonts w:ascii="Aptos" w:hAnsi="Aptos" w:eastAsia="Aptos"/>
          <w:sz w:val="18"/>
        </w:rPr>
        <w:t>aira_register.artifact_classification</w:t>
      </w:r>
    </w:p>
    <w:p>
      <w:pPr>
        <w:pStyle w:val="ListBullet"/>
        <w:spacing w:after="40"/>
      </w:pPr>
      <w:r>
        <w:rPr>
          <w:rFonts w:ascii="Aptos" w:hAnsi="Aptos" w:eastAsia="Aptos"/>
          <w:sz w:val="18"/>
        </w:rPr>
        <w:t>aira_register.retention_rule</w:t>
      </w:r>
    </w:p>
    <w:p>
      <w:pPr>
        <w:pStyle w:val="ListBullet"/>
        <w:spacing w:after="40"/>
      </w:pPr>
      <w:r>
        <w:rPr>
          <w:rFonts w:ascii="Aptos" w:hAnsi="Aptos" w:eastAsia="Aptos"/>
          <w:sz w:val="18"/>
        </w:rPr>
        <w:t>aira_register.evidence_reference</w:t>
      </w:r>
    </w:p>
    <w:p>
      <w:pPr>
        <w:pStyle w:val="ListBullet"/>
        <w:spacing w:after="40"/>
      </w:pPr>
      <w:r>
        <w:rPr>
          <w:rFonts w:ascii="Aptos" w:hAnsi="Aptos" w:eastAsia="Aptos"/>
          <w:sz w:val="18"/>
        </w:rPr>
        <w:t>aira_register.legal_hold</w:t>
      </w:r>
    </w:p>
    <w:p>
      <w:pPr>
        <w:pStyle w:val="ListBullet"/>
        <w:spacing w:after="40"/>
      </w:pPr>
      <w:r>
        <w:rPr>
          <w:rFonts w:ascii="Aptos" w:hAnsi="Aptos" w:eastAsia="Aptos"/>
          <w:sz w:val="18"/>
        </w:rPr>
        <w:t>aira_register.derivative_lineage</w:t>
      </w:r>
    </w:p>
    <w:p>
      <w:pPr>
        <w:pStyle w:val="ListBullet"/>
        <w:spacing w:after="40"/>
      </w:pPr>
      <w:r>
        <w:rPr>
          <w:rFonts w:ascii="Aptos" w:hAnsi="Aptos" w:eastAsia="Aptos"/>
          <w:sz w:val="18"/>
        </w:rPr>
        <w:t>aira_register.disposition_event</w:t>
      </w:r>
    </w:p>
    <w:p>
      <w:pPr>
        <w:pStyle w:val="ListBullet"/>
        <w:spacing w:after="40"/>
      </w:pPr>
      <w:r>
        <w:rPr>
          <w:rFonts w:ascii="Aptos" w:hAnsi="Aptos" w:eastAsia="Aptos"/>
          <w:sz w:val="18"/>
        </w:rPr>
        <w:t>aira_register.prompt_eligibility</w:t>
      </w:r>
    </w:p>
    <w:p>
      <w:pPr>
        <w:pStyle w:val="ListBullet"/>
        <w:spacing w:after="40"/>
      </w:pPr>
      <w:r>
        <w:rPr>
          <w:rFonts w:ascii="Aptos" w:hAnsi="Aptos" w:eastAsia="Aptos"/>
          <w:sz w:val="18"/>
        </w:rPr>
        <w:t>aira_register.model_route_policy</w:t>
      </w:r>
    </w:p>
    <w:p>
      <w:pPr>
        <w:pStyle w:val="Callout"/>
      </w:pPr>
      <w:r>
        <w:rPr>
          <w:rFonts w:ascii="Aptos" w:hAnsi="Aptos" w:eastAsia="Aptos"/>
        </w:rPr>
        <w:t>These tables must use Flyway migrations, audit columns, row-level security where appropriate, and immutable history for approved entries.</w:t>
      </w:r>
    </w:p>
    <w:p>
      <w:pPr>
        <w:pStyle w:val="Heading1"/>
        <w:pBdr>
          <w:bottom w:val="single" w:sz="8" w:space="1" w:color="D9EAF7"/>
        </w:pBdr>
      </w:pPr>
      <w:r>
        <w:t>13. Auto-Heal, Auto-Learn, and Auto-Improve Controls</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Capability</w:t>
            </w:r>
          </w:p>
        </w:tc>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Register Control</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Auto-Heal</w:t>
            </w:r>
          </w:p>
        </w:tc>
        <w:tc>
          <w:tcPr>
            <w:tcW w:type="dxa" w:w="5328"/>
            <w:vAlign w:val="center"/>
            <w:tcMar>
              <w:top w:w="50" w:type="dxa"/>
              <w:start w:w="70" w:type="dxa"/>
              <w:bottom w:w="50" w:type="dxa"/>
              <w:end w:w="70" w:type="dxa"/>
            </w:tcMar>
          </w:tcPr>
          <w:p>
            <w:pPr>
              <w:spacing w:after="20"/>
            </w:pPr>
            <w:r>
              <w:rPr>
                <w:rFonts w:ascii="Aptos" w:hAnsi="Aptos" w:eastAsia="Aptos"/>
                <w:sz w:val="16"/>
              </w:rPr>
              <w:t>May propose remediation only when evidence classification, affected data, rollback path, and operational risk are known. Remediation cannot purge, reclassify, or expose data without approval.</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Auto-Learn</w:t>
            </w:r>
          </w:p>
        </w:tc>
        <w:tc>
          <w:tcPr>
            <w:tcW w:type="dxa" w:w="5328"/>
            <w:vAlign w:val="center"/>
            <w:tcMar>
              <w:top w:w="50" w:type="dxa"/>
              <w:start w:w="70" w:type="dxa"/>
              <w:bottom w:w="50" w:type="dxa"/>
              <w:end w:w="70" w:type="dxa"/>
            </w:tcMar>
          </w:tcPr>
          <w:p>
            <w:pPr>
              <w:spacing w:after="20"/>
            </w:pPr>
            <w:r>
              <w:rPr>
                <w:rFonts w:ascii="Aptos" w:hAnsi="Aptos" w:eastAsia="Aptos"/>
                <w:sz w:val="16"/>
              </w:rPr>
              <w:t>May create candidate knowledge only from approved evidence or reviewed incident records. Candidate knowledge inherits source classification until reviewed.</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Auto-Improve</w:t>
            </w:r>
          </w:p>
        </w:tc>
        <w:tc>
          <w:tcPr>
            <w:tcW w:type="dxa" w:w="5328"/>
            <w:vAlign w:val="center"/>
            <w:tcMar>
              <w:top w:w="50" w:type="dxa"/>
              <w:start w:w="70" w:type="dxa"/>
              <w:bottom w:w="50" w:type="dxa"/>
              <w:end w:w="70" w:type="dxa"/>
            </w:tcMar>
          </w:tcPr>
          <w:p>
            <w:pPr>
              <w:spacing w:after="20"/>
            </w:pPr>
            <w:r>
              <w:rPr>
                <w:rFonts w:ascii="Aptos" w:hAnsi="Aptos" w:eastAsia="Aptos"/>
                <w:sz w:val="16"/>
              </w:rPr>
              <w:t>May propose retention, classification, routing, or evidence improvements only through ADR/TDL, MR, tests, and approval.</w:t>
            </w:r>
          </w:p>
        </w:tc>
      </w:tr>
    </w:tbl>
    <w:p>
      <w:pPr/>
    </w:p>
    <w:p>
      <w:pPr/>
      <w:r>
        <w:rPr>
          <w:rFonts w:ascii="Aptos" w:hAnsi="Aptos" w:eastAsia="Aptos"/>
        </w:rPr>
        <w:t>Auto-Heal, Auto-Learn, and Auto-Improve must preserve or improve SOLID compliance, architecture boundaries, testability, security posture, observability, reversibility, and AVCI evidence. Any candidate that weakens these must be rejected or escalated as a waiver.</w:t>
      </w:r>
    </w:p>
    <w:p>
      <w:pPr>
        <w:pStyle w:val="Heading1"/>
        <w:pBdr>
          <w:bottom w:val="single" w:sz="8" w:space="1" w:color="D9EAF7"/>
        </w:pBdr>
      </w:pPr>
      <w:r>
        <w:t>14. Architecture Fitness Functions and CI Gates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Gate ID</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Gate</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Applies To</w:t>
            </w:r>
          </w:p>
        </w:tc>
        <w:tc>
          <w:tcPr>
            <w:tcW w:type="dxa" w:w="2664"/>
            <w:vAlign w:val="center"/>
            <w:tcMar>
              <w:top w:w="50" w:type="dxa"/>
              <w:start w:w="70" w:type="dxa"/>
              <w:bottom w:w="50" w:type="dxa"/>
              <w:end w:w="70" w:type="dxa"/>
            </w:tcMar>
            <w:shd w:fill="1F4E79"/>
          </w:tcPr>
          <w:p>
            <w:pPr>
              <w:spacing w:after="20"/>
            </w:pPr>
            <w:r>
              <w:rPr>
                <w:rFonts w:ascii="Aptos" w:hAnsi="Aptos" w:eastAsia="Aptos"/>
                <w:b/>
                <w:color w:val="FFFFFF"/>
                <w:sz w:val="16"/>
              </w:rPr>
              <w:t>Failure Action</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DCRE-G01</w:t>
            </w:r>
          </w:p>
        </w:tc>
        <w:tc>
          <w:tcPr>
            <w:tcW w:type="dxa" w:w="2664"/>
            <w:vAlign w:val="center"/>
            <w:tcMar>
              <w:top w:w="50" w:type="dxa"/>
              <w:start w:w="70" w:type="dxa"/>
              <w:bottom w:w="50" w:type="dxa"/>
              <w:end w:w="70" w:type="dxa"/>
            </w:tcMar>
          </w:tcPr>
          <w:p>
            <w:pPr>
              <w:spacing w:after="20"/>
            </w:pPr>
            <w:r>
              <w:rPr>
                <w:rFonts w:ascii="Aptos" w:hAnsi="Aptos" w:eastAsia="Aptos"/>
                <w:sz w:val="16"/>
              </w:rPr>
              <w:t>Every new artifact class has classification, owner, retention, storage, prompt eligibility, and model route.</w:t>
            </w:r>
          </w:p>
        </w:tc>
        <w:tc>
          <w:tcPr>
            <w:tcW w:type="dxa" w:w="2664"/>
            <w:vAlign w:val="center"/>
            <w:tcMar>
              <w:top w:w="50" w:type="dxa"/>
              <w:start w:w="70" w:type="dxa"/>
              <w:bottom w:w="50" w:type="dxa"/>
              <w:end w:w="70" w:type="dxa"/>
            </w:tcMar>
          </w:tcPr>
          <w:p>
            <w:pPr>
              <w:spacing w:after="20"/>
            </w:pPr>
            <w:r>
              <w:rPr>
                <w:rFonts w:ascii="Aptos" w:hAnsi="Aptos" w:eastAsia="Aptos"/>
                <w:sz w:val="16"/>
              </w:rPr>
              <w:t>Register MRs</w:t>
            </w:r>
          </w:p>
        </w:tc>
        <w:tc>
          <w:tcPr>
            <w:tcW w:type="dxa" w:w="2664"/>
            <w:vAlign w:val="center"/>
            <w:tcMar>
              <w:top w:w="50" w:type="dxa"/>
              <w:start w:w="70" w:type="dxa"/>
              <w:bottom w:w="50" w:type="dxa"/>
              <w:end w:w="70" w:type="dxa"/>
            </w:tcMar>
          </w:tcPr>
          <w:p>
            <w:pPr>
              <w:spacing w:after="20"/>
            </w:pPr>
            <w:r>
              <w:rPr>
                <w:rFonts w:ascii="Aptos" w:hAnsi="Aptos" w:eastAsia="Aptos"/>
                <w:sz w:val="16"/>
              </w:rPr>
              <w:t>Block merge.</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DCRE-G02</w:t>
            </w:r>
          </w:p>
        </w:tc>
        <w:tc>
          <w:tcPr>
            <w:tcW w:type="dxa" w:w="2664"/>
            <w:vAlign w:val="center"/>
            <w:tcMar>
              <w:top w:w="50" w:type="dxa"/>
              <w:start w:w="70" w:type="dxa"/>
              <w:bottom w:w="50" w:type="dxa"/>
              <w:end w:w="70" w:type="dxa"/>
            </w:tcMar>
          </w:tcPr>
          <w:p>
            <w:pPr>
              <w:spacing w:after="20"/>
            </w:pPr>
            <w:r>
              <w:rPr>
                <w:rFonts w:ascii="Aptos" w:hAnsi="Aptos" w:eastAsia="Aptos"/>
                <w:sz w:val="16"/>
              </w:rPr>
              <w:t>Restricted artifacts are not eligible for cloud prompt routes.</w:t>
            </w:r>
          </w:p>
        </w:tc>
        <w:tc>
          <w:tcPr>
            <w:tcW w:type="dxa" w:w="2664"/>
            <w:vAlign w:val="center"/>
            <w:tcMar>
              <w:top w:w="50" w:type="dxa"/>
              <w:start w:w="70" w:type="dxa"/>
              <w:bottom w:w="50" w:type="dxa"/>
              <w:end w:w="70" w:type="dxa"/>
            </w:tcMar>
          </w:tcPr>
          <w:p>
            <w:pPr>
              <w:spacing w:after="20"/>
            </w:pPr>
            <w:r>
              <w:rPr>
                <w:rFonts w:ascii="Aptos" w:hAnsi="Aptos" w:eastAsia="Aptos"/>
                <w:sz w:val="16"/>
              </w:rPr>
              <w:t>Prompt/model registry</w:t>
            </w:r>
          </w:p>
        </w:tc>
        <w:tc>
          <w:tcPr>
            <w:tcW w:type="dxa" w:w="2664"/>
            <w:vAlign w:val="center"/>
            <w:tcMar>
              <w:top w:w="50" w:type="dxa"/>
              <w:start w:w="70" w:type="dxa"/>
              <w:bottom w:w="50" w:type="dxa"/>
              <w:end w:w="70" w:type="dxa"/>
            </w:tcMar>
          </w:tcPr>
          <w:p>
            <w:pPr>
              <w:spacing w:after="20"/>
            </w:pPr>
            <w:r>
              <w:rPr>
                <w:rFonts w:ascii="Aptos" w:hAnsi="Aptos" w:eastAsia="Aptos"/>
                <w:sz w:val="16"/>
              </w:rPr>
              <w:t>Block merge and alert security.</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DCRE-G03</w:t>
            </w:r>
          </w:p>
        </w:tc>
        <w:tc>
          <w:tcPr>
            <w:tcW w:type="dxa" w:w="2664"/>
            <w:vAlign w:val="center"/>
            <w:tcMar>
              <w:top w:w="50" w:type="dxa"/>
              <w:start w:w="70" w:type="dxa"/>
              <w:bottom w:w="50" w:type="dxa"/>
              <w:end w:w="70" w:type="dxa"/>
            </w:tcMar>
          </w:tcPr>
          <w:p>
            <w:pPr>
              <w:spacing w:after="20"/>
            </w:pPr>
            <w:r>
              <w:rPr>
                <w:rFonts w:ascii="Aptos" w:hAnsi="Aptos" w:eastAsia="Aptos"/>
                <w:sz w:val="16"/>
              </w:rPr>
              <w:t>Evidence manifests include trace_id, owner, source, hash, classification, retention rule, and path.</w:t>
            </w:r>
          </w:p>
        </w:tc>
        <w:tc>
          <w:tcPr>
            <w:tcW w:type="dxa" w:w="2664"/>
            <w:vAlign w:val="center"/>
            <w:tcMar>
              <w:top w:w="50" w:type="dxa"/>
              <w:start w:w="70" w:type="dxa"/>
              <w:bottom w:w="50" w:type="dxa"/>
              <w:end w:w="70" w:type="dxa"/>
            </w:tcMar>
          </w:tcPr>
          <w:p>
            <w:pPr>
              <w:spacing w:after="20"/>
            </w:pPr>
            <w:r>
              <w:rPr>
                <w:rFonts w:ascii="Aptos" w:hAnsi="Aptos" w:eastAsia="Aptos"/>
                <w:sz w:val="16"/>
              </w:rPr>
              <w:t>CI/CD evidence pack</w:t>
            </w:r>
          </w:p>
        </w:tc>
        <w:tc>
          <w:tcPr>
            <w:tcW w:type="dxa" w:w="2664"/>
            <w:vAlign w:val="center"/>
            <w:tcMar>
              <w:top w:w="50" w:type="dxa"/>
              <w:start w:w="70" w:type="dxa"/>
              <w:bottom w:w="50" w:type="dxa"/>
              <w:end w:w="70" w:type="dxa"/>
            </w:tcMar>
          </w:tcPr>
          <w:p>
            <w:pPr>
              <w:spacing w:after="20"/>
            </w:pPr>
            <w:r>
              <w:rPr>
                <w:rFonts w:ascii="Aptos" w:hAnsi="Aptos" w:eastAsia="Aptos"/>
                <w:sz w:val="16"/>
              </w:rPr>
              <w:t>Block promotion.</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DCRE-G04</w:t>
            </w:r>
          </w:p>
        </w:tc>
        <w:tc>
          <w:tcPr>
            <w:tcW w:type="dxa" w:w="2664"/>
            <w:vAlign w:val="center"/>
            <w:tcMar>
              <w:top w:w="50" w:type="dxa"/>
              <w:start w:w="70" w:type="dxa"/>
              <w:bottom w:w="50" w:type="dxa"/>
              <w:end w:w="70" w:type="dxa"/>
            </w:tcMar>
          </w:tcPr>
          <w:p>
            <w:pPr>
              <w:spacing w:after="20"/>
            </w:pPr>
            <w:r>
              <w:rPr>
                <w:rFonts w:ascii="Aptos" w:hAnsi="Aptos" w:eastAsia="Aptos"/>
                <w:sz w:val="16"/>
              </w:rPr>
              <w:t>Derivative artifacts link to Tier-0 source hash and version.</w:t>
            </w:r>
          </w:p>
        </w:tc>
        <w:tc>
          <w:tcPr>
            <w:tcW w:type="dxa" w:w="2664"/>
            <w:vAlign w:val="center"/>
            <w:tcMar>
              <w:top w:w="50" w:type="dxa"/>
              <w:start w:w="70" w:type="dxa"/>
              <w:bottom w:w="50" w:type="dxa"/>
              <w:end w:w="70" w:type="dxa"/>
            </w:tcMar>
          </w:tcPr>
          <w:p>
            <w:pPr>
              <w:spacing w:after="20"/>
            </w:pPr>
            <w:r>
              <w:rPr>
                <w:rFonts w:ascii="Aptos" w:hAnsi="Aptos" w:eastAsia="Aptos"/>
                <w:sz w:val="16"/>
              </w:rPr>
              <w:t>pgvector/LightRAG/LLM Wiki pipelines</w:t>
            </w:r>
          </w:p>
        </w:tc>
        <w:tc>
          <w:tcPr>
            <w:tcW w:type="dxa" w:w="2664"/>
            <w:vAlign w:val="center"/>
            <w:tcMar>
              <w:top w:w="50" w:type="dxa"/>
              <w:start w:w="70" w:type="dxa"/>
              <w:bottom w:w="50" w:type="dxa"/>
              <w:end w:w="70" w:type="dxa"/>
            </w:tcMar>
          </w:tcPr>
          <w:p>
            <w:pPr>
              <w:spacing w:after="20"/>
            </w:pPr>
            <w:r>
              <w:rPr>
                <w:rFonts w:ascii="Aptos" w:hAnsi="Aptos" w:eastAsia="Aptos"/>
                <w:sz w:val="16"/>
              </w:rPr>
              <w:t>Block indexing or mark stale.</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DCRE-G05</w:t>
            </w:r>
          </w:p>
        </w:tc>
        <w:tc>
          <w:tcPr>
            <w:tcW w:type="dxa" w:w="2664"/>
            <w:vAlign w:val="center"/>
            <w:tcMar>
              <w:top w:w="50" w:type="dxa"/>
              <w:start w:w="70" w:type="dxa"/>
              <w:bottom w:w="50" w:type="dxa"/>
              <w:end w:w="70" w:type="dxa"/>
            </w:tcMar>
          </w:tcPr>
          <w:p>
            <w:pPr>
              <w:spacing w:after="20"/>
            </w:pPr>
            <w:r>
              <w:rPr>
                <w:rFonts w:ascii="Aptos" w:hAnsi="Aptos" w:eastAsia="Aptos"/>
                <w:sz w:val="16"/>
              </w:rPr>
              <w:t>Legal hold blocks purge and derivative deletion.</w:t>
            </w:r>
          </w:p>
        </w:tc>
        <w:tc>
          <w:tcPr>
            <w:tcW w:type="dxa" w:w="2664"/>
            <w:vAlign w:val="center"/>
            <w:tcMar>
              <w:top w:w="50" w:type="dxa"/>
              <w:start w:w="70" w:type="dxa"/>
              <w:bottom w:w="50" w:type="dxa"/>
              <w:end w:w="70" w:type="dxa"/>
            </w:tcMar>
          </w:tcPr>
          <w:p>
            <w:pPr>
              <w:spacing w:after="20"/>
            </w:pPr>
            <w:r>
              <w:rPr>
                <w:rFonts w:ascii="Aptos" w:hAnsi="Aptos" w:eastAsia="Aptos"/>
                <w:sz w:val="16"/>
              </w:rPr>
              <w:t>Retention workflow</w:t>
            </w:r>
          </w:p>
        </w:tc>
        <w:tc>
          <w:tcPr>
            <w:tcW w:type="dxa" w:w="2664"/>
            <w:vAlign w:val="center"/>
            <w:tcMar>
              <w:top w:w="50" w:type="dxa"/>
              <w:start w:w="70" w:type="dxa"/>
              <w:bottom w:w="50" w:type="dxa"/>
              <w:end w:w="70" w:type="dxa"/>
            </w:tcMar>
          </w:tcPr>
          <w:p>
            <w:pPr>
              <w:spacing w:after="20"/>
            </w:pPr>
            <w:r>
              <w:rPr>
                <w:rFonts w:ascii="Aptos" w:hAnsi="Aptos" w:eastAsia="Aptos"/>
                <w:sz w:val="16"/>
              </w:rPr>
              <w:t>Block disposal.</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DCRE-G06</w:t>
            </w:r>
          </w:p>
        </w:tc>
        <w:tc>
          <w:tcPr>
            <w:tcW w:type="dxa" w:w="2664"/>
            <w:vAlign w:val="center"/>
            <w:tcMar>
              <w:top w:w="50" w:type="dxa"/>
              <w:start w:w="70" w:type="dxa"/>
              <w:bottom w:w="50" w:type="dxa"/>
              <w:end w:w="70" w:type="dxa"/>
            </w:tcMar>
          </w:tcPr>
          <w:p>
            <w:pPr>
              <w:spacing w:after="20"/>
            </w:pPr>
            <w:r>
              <w:rPr>
                <w:rFonts w:ascii="Aptos" w:hAnsi="Aptos" w:eastAsia="Aptos"/>
                <w:sz w:val="16"/>
              </w:rPr>
              <w:t>Cache entries for classified data have TTL and invalidation trigger.</w:t>
            </w:r>
          </w:p>
        </w:tc>
        <w:tc>
          <w:tcPr>
            <w:tcW w:type="dxa" w:w="2664"/>
            <w:vAlign w:val="center"/>
            <w:tcMar>
              <w:top w:w="50" w:type="dxa"/>
              <w:start w:w="70" w:type="dxa"/>
              <w:bottom w:w="50" w:type="dxa"/>
              <w:end w:w="70" w:type="dxa"/>
            </w:tcMar>
          </w:tcPr>
          <w:p>
            <w:pPr>
              <w:spacing w:after="20"/>
            </w:pPr>
            <w:r>
              <w:rPr>
                <w:rFonts w:ascii="Aptos" w:hAnsi="Aptos" w:eastAsia="Aptos"/>
                <w:sz w:val="16"/>
              </w:rPr>
              <w:t>Redis/Valkey config</w:t>
            </w:r>
          </w:p>
        </w:tc>
        <w:tc>
          <w:tcPr>
            <w:tcW w:type="dxa" w:w="2664"/>
            <w:vAlign w:val="center"/>
            <w:tcMar>
              <w:top w:w="50" w:type="dxa"/>
              <w:start w:w="70" w:type="dxa"/>
              <w:bottom w:w="50" w:type="dxa"/>
              <w:end w:w="70" w:type="dxa"/>
            </w:tcMar>
          </w:tcPr>
          <w:p>
            <w:pPr>
              <w:spacing w:after="20"/>
            </w:pPr>
            <w:r>
              <w:rPr>
                <w:rFonts w:ascii="Aptos" w:hAnsi="Aptos" w:eastAsia="Aptos"/>
                <w:sz w:val="16"/>
              </w:rPr>
              <w:t>Block deployment.</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DCRE-G07</w:t>
            </w:r>
          </w:p>
        </w:tc>
        <w:tc>
          <w:tcPr>
            <w:tcW w:type="dxa" w:w="2664"/>
            <w:vAlign w:val="center"/>
            <w:tcMar>
              <w:top w:w="50" w:type="dxa"/>
              <w:start w:w="70" w:type="dxa"/>
              <w:bottom w:w="50" w:type="dxa"/>
              <w:end w:w="70" w:type="dxa"/>
            </w:tcMar>
          </w:tcPr>
          <w:p>
            <w:pPr>
              <w:spacing w:after="20"/>
            </w:pPr>
            <w:r>
              <w:rPr>
                <w:rFonts w:ascii="Aptos" w:hAnsi="Aptos" w:eastAsia="Aptos"/>
                <w:sz w:val="16"/>
              </w:rPr>
              <w:t>Logs, traces, and prompt evidence do not contain secrets or unmasked PII.</w:t>
            </w:r>
          </w:p>
        </w:tc>
        <w:tc>
          <w:tcPr>
            <w:tcW w:type="dxa" w:w="2664"/>
            <w:vAlign w:val="center"/>
            <w:tcMar>
              <w:top w:w="50" w:type="dxa"/>
              <w:start w:w="70" w:type="dxa"/>
              <w:bottom w:w="50" w:type="dxa"/>
              <w:end w:w="70" w:type="dxa"/>
            </w:tcMar>
          </w:tcPr>
          <w:p>
            <w:pPr>
              <w:spacing w:after="20"/>
            </w:pPr>
            <w:r>
              <w:rPr>
                <w:rFonts w:ascii="Aptos" w:hAnsi="Aptos" w:eastAsia="Aptos"/>
                <w:sz w:val="16"/>
              </w:rPr>
              <w:t>CI/security scan</w:t>
            </w:r>
          </w:p>
        </w:tc>
        <w:tc>
          <w:tcPr>
            <w:tcW w:type="dxa" w:w="2664"/>
            <w:vAlign w:val="center"/>
            <w:tcMar>
              <w:top w:w="50" w:type="dxa"/>
              <w:start w:w="70" w:type="dxa"/>
              <w:bottom w:w="50" w:type="dxa"/>
              <w:end w:w="70" w:type="dxa"/>
            </w:tcMar>
          </w:tcPr>
          <w:p>
            <w:pPr>
              <w:spacing w:after="20"/>
            </w:pPr>
            <w:r>
              <w:rPr>
                <w:rFonts w:ascii="Aptos" w:hAnsi="Aptos" w:eastAsia="Aptos"/>
                <w:sz w:val="16"/>
              </w:rPr>
              <w:t>Block merge or release.</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DCRE-G08</w:t>
            </w:r>
          </w:p>
        </w:tc>
        <w:tc>
          <w:tcPr>
            <w:tcW w:type="dxa" w:w="2664"/>
            <w:vAlign w:val="center"/>
            <w:tcMar>
              <w:top w:w="50" w:type="dxa"/>
              <w:start w:w="70" w:type="dxa"/>
              <w:bottom w:w="50" w:type="dxa"/>
              <w:end w:w="70" w:type="dxa"/>
            </w:tcMar>
          </w:tcPr>
          <w:p>
            <w:pPr>
              <w:spacing w:after="20"/>
            </w:pPr>
            <w:r>
              <w:rPr>
                <w:rFonts w:ascii="Aptos" w:hAnsi="Aptos" w:eastAsia="Aptos"/>
                <w:sz w:val="16"/>
              </w:rPr>
              <w:t>Reclassification triggers re-index, cache invalidation, and route review.</w:t>
            </w:r>
          </w:p>
        </w:tc>
        <w:tc>
          <w:tcPr>
            <w:tcW w:type="dxa" w:w="2664"/>
            <w:vAlign w:val="center"/>
            <w:tcMar>
              <w:top w:w="50" w:type="dxa"/>
              <w:start w:w="70" w:type="dxa"/>
              <w:bottom w:w="50" w:type="dxa"/>
              <w:end w:w="70" w:type="dxa"/>
            </w:tcMar>
          </w:tcPr>
          <w:p>
            <w:pPr>
              <w:spacing w:after="20"/>
            </w:pPr>
            <w:r>
              <w:rPr>
                <w:rFonts w:ascii="Aptos" w:hAnsi="Aptos" w:eastAsia="Aptos"/>
                <w:sz w:val="16"/>
              </w:rPr>
              <w:t>Data governance workflow</w:t>
            </w:r>
          </w:p>
        </w:tc>
        <w:tc>
          <w:tcPr>
            <w:tcW w:type="dxa" w:w="2664"/>
            <w:vAlign w:val="center"/>
            <w:tcMar>
              <w:top w:w="50" w:type="dxa"/>
              <w:start w:w="70" w:type="dxa"/>
              <w:bottom w:w="50" w:type="dxa"/>
              <w:end w:w="70" w:type="dxa"/>
            </w:tcMar>
          </w:tcPr>
          <w:p>
            <w:pPr>
              <w:spacing w:after="20"/>
            </w:pPr>
            <w:r>
              <w:rPr>
                <w:rFonts w:ascii="Aptos" w:hAnsi="Aptos" w:eastAsia="Aptos"/>
                <w:sz w:val="16"/>
              </w:rPr>
              <w:t>Block completion until evidence exists.</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DCRE-G09</w:t>
            </w:r>
          </w:p>
        </w:tc>
        <w:tc>
          <w:tcPr>
            <w:tcW w:type="dxa" w:w="2664"/>
            <w:vAlign w:val="center"/>
            <w:tcMar>
              <w:top w:w="50" w:type="dxa"/>
              <w:start w:w="70" w:type="dxa"/>
              <w:bottom w:w="50" w:type="dxa"/>
              <w:end w:w="70" w:type="dxa"/>
            </w:tcMar>
          </w:tcPr>
          <w:p>
            <w:pPr>
              <w:spacing w:after="20"/>
            </w:pPr>
            <w:r>
              <w:rPr>
                <w:rFonts w:ascii="Aptos" w:hAnsi="Aptos" w:eastAsia="Aptos"/>
                <w:sz w:val="16"/>
              </w:rPr>
              <w:t>Disposition event has approver, actor, timestamp, source hash, and result.</w:t>
            </w:r>
          </w:p>
        </w:tc>
        <w:tc>
          <w:tcPr>
            <w:tcW w:type="dxa" w:w="2664"/>
            <w:vAlign w:val="center"/>
            <w:tcMar>
              <w:top w:w="50" w:type="dxa"/>
              <w:start w:w="70" w:type="dxa"/>
              <w:bottom w:w="50" w:type="dxa"/>
              <w:end w:w="70" w:type="dxa"/>
            </w:tcMar>
          </w:tcPr>
          <w:p>
            <w:pPr>
              <w:spacing w:after="20"/>
            </w:pPr>
            <w:r>
              <w:rPr>
                <w:rFonts w:ascii="Aptos" w:hAnsi="Aptos" w:eastAsia="Aptos"/>
                <w:sz w:val="16"/>
              </w:rPr>
              <w:t>Retention/disposal workflow</w:t>
            </w:r>
          </w:p>
        </w:tc>
        <w:tc>
          <w:tcPr>
            <w:tcW w:type="dxa" w:w="2664"/>
            <w:vAlign w:val="center"/>
            <w:tcMar>
              <w:top w:w="50" w:type="dxa"/>
              <w:start w:w="70" w:type="dxa"/>
              <w:bottom w:w="50" w:type="dxa"/>
              <w:end w:w="70" w:type="dxa"/>
            </w:tcMar>
          </w:tcPr>
          <w:p>
            <w:pPr>
              <w:spacing w:after="20"/>
            </w:pPr>
            <w:r>
              <w:rPr>
                <w:rFonts w:ascii="Aptos" w:hAnsi="Aptos" w:eastAsia="Aptos"/>
                <w:sz w:val="16"/>
              </w:rPr>
              <w:t>Block closure.</w:t>
            </w:r>
          </w:p>
        </w:tc>
      </w:tr>
      <w:tr>
        <w:tc>
          <w:tcPr>
            <w:tcW w:type="dxa" w:w="2664"/>
            <w:vAlign w:val="center"/>
            <w:tcMar>
              <w:top w:w="50" w:type="dxa"/>
              <w:start w:w="70" w:type="dxa"/>
              <w:bottom w:w="50" w:type="dxa"/>
              <w:end w:w="70" w:type="dxa"/>
            </w:tcMar>
          </w:tcPr>
          <w:p>
            <w:pPr>
              <w:spacing w:after="20"/>
            </w:pPr>
            <w:r>
              <w:rPr>
                <w:rFonts w:ascii="Aptos" w:hAnsi="Aptos" w:eastAsia="Aptos"/>
                <w:sz w:val="16"/>
              </w:rPr>
              <w:t>DCRE-G10</w:t>
            </w:r>
          </w:p>
        </w:tc>
        <w:tc>
          <w:tcPr>
            <w:tcW w:type="dxa" w:w="2664"/>
            <w:vAlign w:val="center"/>
            <w:tcMar>
              <w:top w:w="50" w:type="dxa"/>
              <w:start w:w="70" w:type="dxa"/>
              <w:bottom w:w="50" w:type="dxa"/>
              <w:end w:w="70" w:type="dxa"/>
            </w:tcMar>
          </w:tcPr>
          <w:p>
            <w:pPr>
              <w:spacing w:after="20"/>
            </w:pPr>
            <w:r>
              <w:rPr>
                <w:rFonts w:ascii="Aptos" w:hAnsi="Aptos" w:eastAsia="Aptos"/>
                <w:sz w:val="16"/>
              </w:rPr>
              <w:t>Auto-Learn candidate cites approved evidence and classification state.</w:t>
            </w:r>
          </w:p>
        </w:tc>
        <w:tc>
          <w:tcPr>
            <w:tcW w:type="dxa" w:w="2664"/>
            <w:vAlign w:val="center"/>
            <w:tcMar>
              <w:top w:w="50" w:type="dxa"/>
              <w:start w:w="70" w:type="dxa"/>
              <w:bottom w:w="50" w:type="dxa"/>
              <w:end w:w="70" w:type="dxa"/>
            </w:tcMar>
          </w:tcPr>
          <w:p>
            <w:pPr>
              <w:spacing w:after="20"/>
            </w:pPr>
            <w:r>
              <w:rPr>
                <w:rFonts w:ascii="Aptos" w:hAnsi="Aptos" w:eastAsia="Aptos"/>
                <w:sz w:val="16"/>
              </w:rPr>
              <w:t>Knowledge promotion workflow</w:t>
            </w:r>
          </w:p>
        </w:tc>
        <w:tc>
          <w:tcPr>
            <w:tcW w:type="dxa" w:w="2664"/>
            <w:vAlign w:val="center"/>
            <w:tcMar>
              <w:top w:w="50" w:type="dxa"/>
              <w:start w:w="70" w:type="dxa"/>
              <w:bottom w:w="50" w:type="dxa"/>
              <w:end w:w="70" w:type="dxa"/>
            </w:tcMar>
          </w:tcPr>
          <w:p>
            <w:pPr>
              <w:spacing w:after="20"/>
            </w:pPr>
            <w:r>
              <w:rPr>
                <w:rFonts w:ascii="Aptos" w:hAnsi="Aptos" w:eastAsia="Aptos"/>
                <w:sz w:val="16"/>
              </w:rPr>
              <w:t>Block promotion.</w:t>
            </w:r>
          </w:p>
        </w:tc>
      </w:tr>
    </w:tbl>
    <w:p>
      <w:pPr/>
    </w:p>
    <w:p>
      <w:pPr>
        <w:pStyle w:val="Heading1"/>
        <w:pBdr>
          <w:bottom w:val="single" w:sz="8" w:space="1" w:color="D9EAF7"/>
        </w:pBdr>
      </w:pPr>
      <w:r>
        <w:t>15. RACI</w:t>
      </w:r>
    </w:p>
    <w:tbl>
      <w:tblPr>
        <w:tblStyle w:val="TableGrid"/>
        <w:tblW w:type="auto" w:w="0"/>
        <w:jc w:val="center"/>
        <w:tblLayout w:type="autofit"/>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Activity</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Solutions Architect</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Data Governance</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Security Admin</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Compliance</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DBA</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DevSecOps</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App Owner</w:t>
            </w:r>
          </w:p>
        </w:tc>
        <w:tc>
          <w:tcPr>
            <w:tcW w:type="dxa" w:w="1184"/>
            <w:vAlign w:val="center"/>
            <w:tcMar>
              <w:top w:w="50" w:type="dxa"/>
              <w:start w:w="70" w:type="dxa"/>
              <w:bottom w:w="50" w:type="dxa"/>
              <w:end w:w="70" w:type="dxa"/>
            </w:tcMar>
            <w:shd w:fill="1F4E79"/>
          </w:tcPr>
          <w:p>
            <w:pPr>
              <w:spacing w:after="20"/>
            </w:pPr>
            <w:r>
              <w:rPr>
                <w:rFonts w:ascii="Aptos" w:hAnsi="Aptos" w:eastAsia="Aptos"/>
                <w:b/>
                <w:color w:val="FFFFFF"/>
                <w:sz w:val="14"/>
              </w:rPr>
              <w:t>Internal Audit</w:t>
            </w:r>
          </w:p>
        </w:tc>
      </w:tr>
      <w:tr>
        <w:tc>
          <w:tcPr>
            <w:tcW w:type="dxa" w:w="1184"/>
            <w:vAlign w:val="center"/>
            <w:tcMar>
              <w:top w:w="50" w:type="dxa"/>
              <w:start w:w="70" w:type="dxa"/>
              <w:bottom w:w="50" w:type="dxa"/>
              <w:end w:w="70" w:type="dxa"/>
            </w:tcMar>
          </w:tcPr>
          <w:p>
            <w:pPr>
              <w:spacing w:after="20"/>
            </w:pPr>
            <w:r>
              <w:rPr>
                <w:rFonts w:ascii="Aptos" w:hAnsi="Aptos" w:eastAsia="Aptos"/>
                <w:sz w:val="14"/>
              </w:rPr>
              <w:t>Approve register standard</w:t>
            </w:r>
          </w:p>
        </w:tc>
        <w:tc>
          <w:tcPr>
            <w:tcW w:type="dxa" w:w="1184"/>
            <w:vAlign w:val="center"/>
            <w:tcMar>
              <w:top w:w="50" w:type="dxa"/>
              <w:start w:w="70" w:type="dxa"/>
              <w:bottom w:w="50" w:type="dxa"/>
              <w:end w:w="70" w:type="dxa"/>
            </w:tcMar>
          </w:tcPr>
          <w:p>
            <w:pPr>
              <w:spacing w:after="20"/>
            </w:pPr>
            <w:r>
              <w:rPr>
                <w:rFonts w:ascii="Aptos" w:hAnsi="Aptos" w:eastAsia="Aptos"/>
                <w:sz w:val="14"/>
              </w:rPr>
              <w:t>A</w:t>
            </w:r>
          </w:p>
        </w:tc>
        <w:tc>
          <w:tcPr>
            <w:tcW w:type="dxa" w:w="1184"/>
            <w:vAlign w:val="center"/>
            <w:tcMar>
              <w:top w:w="50" w:type="dxa"/>
              <w:start w:w="70" w:type="dxa"/>
              <w:bottom w:w="50" w:type="dxa"/>
              <w:end w:w="70" w:type="dxa"/>
            </w:tcMar>
          </w:tcPr>
          <w:p>
            <w:pPr>
              <w:spacing w:after="20"/>
            </w:pPr>
            <w:r>
              <w:rPr>
                <w:rFonts w:ascii="Aptos" w:hAnsi="Aptos" w:eastAsia="Aptos"/>
                <w:sz w:val="14"/>
              </w:rPr>
              <w:t>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r>
      <w:tr>
        <w:tc>
          <w:tcPr>
            <w:tcW w:type="dxa" w:w="1184"/>
            <w:vAlign w:val="center"/>
            <w:tcMar>
              <w:top w:w="50" w:type="dxa"/>
              <w:start w:w="70" w:type="dxa"/>
              <w:bottom w:w="50" w:type="dxa"/>
              <w:end w:w="70" w:type="dxa"/>
            </w:tcMar>
          </w:tcPr>
          <w:p>
            <w:pPr>
              <w:spacing w:after="20"/>
            </w:pPr>
            <w:r>
              <w:rPr>
                <w:rFonts w:ascii="Aptos" w:hAnsi="Aptos" w:eastAsia="Aptos"/>
                <w:sz w:val="14"/>
              </w:rPr>
              <w:t>Classify artifact class</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R</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r>
      <w:tr>
        <w:tc>
          <w:tcPr>
            <w:tcW w:type="dxa" w:w="1184"/>
            <w:vAlign w:val="center"/>
            <w:tcMar>
              <w:top w:w="50" w:type="dxa"/>
              <w:start w:w="70" w:type="dxa"/>
              <w:bottom w:w="50" w:type="dxa"/>
              <w:end w:w="70" w:type="dxa"/>
            </w:tcMar>
          </w:tcPr>
          <w:p>
            <w:pPr>
              <w:spacing w:after="20"/>
            </w:pPr>
            <w:r>
              <w:rPr>
                <w:rFonts w:ascii="Aptos" w:hAnsi="Aptos" w:eastAsia="Aptos"/>
                <w:sz w:val="14"/>
              </w:rPr>
              <w:t>Approve Restricted handling</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R</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r>
      <w:tr>
        <w:tc>
          <w:tcPr>
            <w:tcW w:type="dxa" w:w="1184"/>
            <w:vAlign w:val="center"/>
            <w:tcMar>
              <w:top w:w="50" w:type="dxa"/>
              <w:start w:w="70" w:type="dxa"/>
              <w:bottom w:w="50" w:type="dxa"/>
              <w:end w:w="70" w:type="dxa"/>
            </w:tcMar>
          </w:tcPr>
          <w:p>
            <w:pPr>
              <w:spacing w:after="20"/>
            </w:pPr>
            <w:r>
              <w:rPr>
                <w:rFonts w:ascii="Aptos" w:hAnsi="Aptos" w:eastAsia="Aptos"/>
                <w:sz w:val="14"/>
              </w:rPr>
              <w:t>Define retention rule</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r>
      <w:tr>
        <w:tc>
          <w:tcPr>
            <w:tcW w:type="dxa" w:w="1184"/>
            <w:vAlign w:val="center"/>
            <w:tcMar>
              <w:top w:w="50" w:type="dxa"/>
              <w:start w:w="70" w:type="dxa"/>
              <w:bottom w:w="50" w:type="dxa"/>
              <w:end w:w="70" w:type="dxa"/>
            </w:tcMar>
          </w:tcPr>
          <w:p>
            <w:pPr>
              <w:spacing w:after="20"/>
            </w:pPr>
            <w:r>
              <w:rPr>
                <w:rFonts w:ascii="Aptos" w:hAnsi="Aptos" w:eastAsia="Aptos"/>
                <w:sz w:val="14"/>
              </w:rPr>
              <w:t>Implement register tables</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r>
      <w:tr>
        <w:tc>
          <w:tcPr>
            <w:tcW w:type="dxa" w:w="1184"/>
            <w:vAlign w:val="center"/>
            <w:tcMar>
              <w:top w:w="50" w:type="dxa"/>
              <w:start w:w="70" w:type="dxa"/>
              <w:bottom w:w="50" w:type="dxa"/>
              <w:end w:w="70" w:type="dxa"/>
            </w:tcMar>
          </w:tcPr>
          <w:p>
            <w:pPr>
              <w:spacing w:after="20"/>
            </w:pPr>
            <w:r>
              <w:rPr>
                <w:rFonts w:ascii="Aptos" w:hAnsi="Aptos" w:eastAsia="Aptos"/>
                <w:sz w:val="14"/>
              </w:rPr>
              <w:t>Implement CI gates</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r>
      <w:tr>
        <w:tc>
          <w:tcPr>
            <w:tcW w:type="dxa" w:w="1184"/>
            <w:vAlign w:val="center"/>
            <w:tcMar>
              <w:top w:w="50" w:type="dxa"/>
              <w:start w:w="70" w:type="dxa"/>
              <w:bottom w:w="50" w:type="dxa"/>
              <w:end w:w="70" w:type="dxa"/>
            </w:tcMar>
          </w:tcPr>
          <w:p>
            <w:pPr>
              <w:spacing w:after="20"/>
            </w:pPr>
            <w:r>
              <w:rPr>
                <w:rFonts w:ascii="Aptos" w:hAnsi="Aptos" w:eastAsia="Aptos"/>
                <w:sz w:val="14"/>
              </w:rPr>
              <w:t>Approve model route</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R</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r>
      <w:tr>
        <w:tc>
          <w:tcPr>
            <w:tcW w:type="dxa" w:w="1184"/>
            <w:vAlign w:val="center"/>
            <w:tcMar>
              <w:top w:w="50" w:type="dxa"/>
              <w:start w:w="70" w:type="dxa"/>
              <w:bottom w:w="50" w:type="dxa"/>
              <w:end w:w="70" w:type="dxa"/>
            </w:tcMar>
          </w:tcPr>
          <w:p>
            <w:pPr>
              <w:spacing w:after="20"/>
            </w:pPr>
            <w:r>
              <w:rPr>
                <w:rFonts w:ascii="Aptos" w:hAnsi="Aptos" w:eastAsia="Aptos"/>
                <w:sz w:val="14"/>
              </w:rPr>
              <w:t>Legal hold release</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r>
      <w:tr>
        <w:tc>
          <w:tcPr>
            <w:tcW w:type="dxa" w:w="1184"/>
            <w:vAlign w:val="center"/>
            <w:tcMar>
              <w:top w:w="50" w:type="dxa"/>
              <w:start w:w="70" w:type="dxa"/>
              <w:bottom w:w="50" w:type="dxa"/>
              <w:end w:w="70" w:type="dxa"/>
            </w:tcMar>
          </w:tcPr>
          <w:p>
            <w:pPr>
              <w:spacing w:after="20"/>
            </w:pPr>
            <w:r>
              <w:rPr>
                <w:rFonts w:ascii="Aptos" w:hAnsi="Aptos" w:eastAsia="Aptos"/>
                <w:sz w:val="14"/>
              </w:rPr>
              <w:t>Audit review</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C</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I</w:t>
            </w:r>
          </w:p>
        </w:tc>
        <w:tc>
          <w:tcPr>
            <w:tcW w:type="dxa" w:w="1184"/>
            <w:vAlign w:val="center"/>
            <w:tcMar>
              <w:top w:w="50" w:type="dxa"/>
              <w:start w:w="70" w:type="dxa"/>
              <w:bottom w:w="50" w:type="dxa"/>
              <w:end w:w="70" w:type="dxa"/>
            </w:tcMar>
          </w:tcPr>
          <w:p>
            <w:pPr>
              <w:spacing w:after="20"/>
            </w:pPr>
            <w:r>
              <w:rPr>
                <w:rFonts w:ascii="Aptos" w:hAnsi="Aptos" w:eastAsia="Aptos"/>
                <w:sz w:val="14"/>
              </w:rPr>
              <w:t>A/R</w:t>
            </w:r>
          </w:p>
        </w:tc>
      </w:tr>
    </w:tbl>
    <w:p>
      <w:pPr/>
    </w:p>
    <w:p>
      <w:pPr/>
      <w:r>
        <w:rPr>
          <w:rFonts w:ascii="Aptos" w:hAnsi="Aptos" w:eastAsia="Aptos"/>
        </w:rPr>
        <w:t>A = Accountable, R = Responsible, C = Consulted, I = Informed.</w:t>
      </w:r>
    </w:p>
    <w:p>
      <w:pPr>
        <w:pStyle w:val="Heading1"/>
        <w:pBdr>
          <w:bottom w:val="single" w:sz="8" w:space="1" w:color="D9EAF7"/>
        </w:pBdr>
      </w:pPr>
      <w:r>
        <w:t>16. Implementation Roadmap</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Phase</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Activities</w:t>
            </w:r>
          </w:p>
        </w:tc>
        <w:tc>
          <w:tcPr>
            <w:tcW w:type="dxa" w:w="3552"/>
            <w:vAlign w:val="center"/>
            <w:tcMar>
              <w:top w:w="50" w:type="dxa"/>
              <w:start w:w="70" w:type="dxa"/>
              <w:bottom w:w="50" w:type="dxa"/>
              <w:end w:w="70" w:type="dxa"/>
            </w:tcMar>
            <w:shd w:fill="1F4E79"/>
          </w:tcPr>
          <w:p>
            <w:pPr>
              <w:spacing w:after="20"/>
            </w:pPr>
            <w:r>
              <w:rPr>
                <w:rFonts w:ascii="Aptos" w:hAnsi="Aptos" w:eastAsia="Aptos"/>
                <w:b/>
                <w:color w:val="FFFFFF"/>
                <w:sz w:val="16"/>
              </w:rPr>
              <w:t>Exit Criteria</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1 - Register Bootstrap</w:t>
            </w:r>
          </w:p>
        </w:tc>
        <w:tc>
          <w:tcPr>
            <w:tcW w:type="dxa" w:w="3552"/>
            <w:vAlign w:val="center"/>
            <w:tcMar>
              <w:top w:w="50" w:type="dxa"/>
              <w:start w:w="70" w:type="dxa"/>
              <w:bottom w:w="50" w:type="dxa"/>
              <w:end w:w="70" w:type="dxa"/>
            </w:tcMar>
          </w:tcPr>
          <w:p>
            <w:pPr>
              <w:spacing w:after="20"/>
            </w:pPr>
            <w:r>
              <w:rPr>
                <w:rFonts w:ascii="Aptos" w:hAnsi="Aptos" w:eastAsia="Aptos"/>
                <w:sz w:val="16"/>
              </w:rPr>
              <w:t>Create Git register repository, seed classification matrix, seed retention schedule, define evidence path schema.</w:t>
            </w:r>
          </w:p>
        </w:tc>
        <w:tc>
          <w:tcPr>
            <w:tcW w:type="dxa" w:w="3552"/>
            <w:vAlign w:val="center"/>
            <w:tcMar>
              <w:top w:w="50" w:type="dxa"/>
              <w:start w:w="70" w:type="dxa"/>
              <w:bottom w:w="50" w:type="dxa"/>
              <w:end w:w="70" w:type="dxa"/>
            </w:tcMar>
          </w:tcPr>
          <w:p>
            <w:pPr>
              <w:spacing w:after="20"/>
            </w:pPr>
            <w:r>
              <w:rPr>
                <w:rFonts w:ascii="Aptos" w:hAnsi="Aptos" w:eastAsia="Aptos"/>
                <w:sz w:val="16"/>
              </w:rPr>
              <w:t>Approved baseline register exists and is reviewed.</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2 - CI Policy Enforcement</w:t>
            </w:r>
          </w:p>
        </w:tc>
        <w:tc>
          <w:tcPr>
            <w:tcW w:type="dxa" w:w="3552"/>
            <w:vAlign w:val="center"/>
            <w:tcMar>
              <w:top w:w="50" w:type="dxa"/>
              <w:start w:w="70" w:type="dxa"/>
              <w:bottom w:w="50" w:type="dxa"/>
              <w:end w:w="70" w:type="dxa"/>
            </w:tcMar>
          </w:tcPr>
          <w:p>
            <w:pPr>
              <w:spacing w:after="20"/>
            </w:pPr>
            <w:r>
              <w:rPr>
                <w:rFonts w:ascii="Aptos" w:hAnsi="Aptos" w:eastAsia="Aptos"/>
                <w:sz w:val="16"/>
              </w:rPr>
              <w:t>Add Conftest/OPA checks for register completeness, model-route restrictions, evidence manifest quality.</w:t>
            </w:r>
          </w:p>
        </w:tc>
        <w:tc>
          <w:tcPr>
            <w:tcW w:type="dxa" w:w="3552"/>
            <w:vAlign w:val="center"/>
            <w:tcMar>
              <w:top w:w="50" w:type="dxa"/>
              <w:start w:w="70" w:type="dxa"/>
              <w:bottom w:w="50" w:type="dxa"/>
              <w:end w:w="70" w:type="dxa"/>
            </w:tcMar>
          </w:tcPr>
          <w:p>
            <w:pPr>
              <w:spacing w:after="20"/>
            </w:pPr>
            <w:r>
              <w:rPr>
                <w:rFonts w:ascii="Aptos" w:hAnsi="Aptos" w:eastAsia="Aptos"/>
                <w:sz w:val="16"/>
              </w:rPr>
              <w:t>MRs fail when required fields are missing.</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3 - PostgreSQL Runtime Register</w:t>
            </w:r>
          </w:p>
        </w:tc>
        <w:tc>
          <w:tcPr>
            <w:tcW w:type="dxa" w:w="3552"/>
            <w:vAlign w:val="center"/>
            <w:tcMar>
              <w:top w:w="50" w:type="dxa"/>
              <w:start w:w="70" w:type="dxa"/>
              <w:bottom w:w="50" w:type="dxa"/>
              <w:end w:w="70" w:type="dxa"/>
            </w:tcMar>
          </w:tcPr>
          <w:p>
            <w:pPr>
              <w:spacing w:after="20"/>
            </w:pPr>
            <w:r>
              <w:rPr>
                <w:rFonts w:ascii="Aptos" w:hAnsi="Aptos" w:eastAsia="Aptos"/>
                <w:sz w:val="16"/>
              </w:rPr>
              <w:t>Create Flyway migrations for register tables and derivative lineage.</w:t>
            </w:r>
          </w:p>
        </w:tc>
        <w:tc>
          <w:tcPr>
            <w:tcW w:type="dxa" w:w="3552"/>
            <w:vAlign w:val="center"/>
            <w:tcMar>
              <w:top w:w="50" w:type="dxa"/>
              <w:start w:w="70" w:type="dxa"/>
              <w:bottom w:w="50" w:type="dxa"/>
              <w:end w:w="70" w:type="dxa"/>
            </w:tcMar>
          </w:tcPr>
          <w:p>
            <w:pPr>
              <w:spacing w:after="20"/>
            </w:pPr>
            <w:r>
              <w:rPr>
                <w:rFonts w:ascii="Aptos" w:hAnsi="Aptos" w:eastAsia="Aptos"/>
                <w:sz w:val="16"/>
              </w:rPr>
              <w:t>Runtime services can query approved register entries.</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4 - OpenKM and Evidence Path Alignment</w:t>
            </w:r>
          </w:p>
        </w:tc>
        <w:tc>
          <w:tcPr>
            <w:tcW w:type="dxa" w:w="3552"/>
            <w:vAlign w:val="center"/>
            <w:tcMar>
              <w:top w:w="50" w:type="dxa"/>
              <w:start w:w="70" w:type="dxa"/>
              <w:bottom w:w="50" w:type="dxa"/>
              <w:end w:w="70" w:type="dxa"/>
            </w:tcMar>
          </w:tcPr>
          <w:p>
            <w:pPr>
              <w:spacing w:after="20"/>
            </w:pPr>
            <w:r>
              <w:rPr>
                <w:rFonts w:ascii="Aptos" w:hAnsi="Aptos" w:eastAsia="Aptos"/>
                <w:sz w:val="16"/>
              </w:rPr>
              <w:t>Create OpenKM folders and evidence path naming rules.</w:t>
            </w:r>
          </w:p>
        </w:tc>
        <w:tc>
          <w:tcPr>
            <w:tcW w:type="dxa" w:w="3552"/>
            <w:vAlign w:val="center"/>
            <w:tcMar>
              <w:top w:w="50" w:type="dxa"/>
              <w:start w:w="70" w:type="dxa"/>
              <w:bottom w:w="50" w:type="dxa"/>
              <w:end w:w="70" w:type="dxa"/>
            </w:tcMar>
          </w:tcPr>
          <w:p>
            <w:pPr>
              <w:spacing w:after="20"/>
            </w:pPr>
            <w:r>
              <w:rPr>
                <w:rFonts w:ascii="Aptos" w:hAnsi="Aptos" w:eastAsia="Aptos"/>
                <w:sz w:val="16"/>
              </w:rPr>
              <w:t>Evidence can be stored and retrieved by release, incident, service, and domain.</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5 - AI Routing Integration</w:t>
            </w:r>
          </w:p>
        </w:tc>
        <w:tc>
          <w:tcPr>
            <w:tcW w:type="dxa" w:w="3552"/>
            <w:vAlign w:val="center"/>
            <w:tcMar>
              <w:top w:w="50" w:type="dxa"/>
              <w:start w:w="70" w:type="dxa"/>
              <w:bottom w:w="50" w:type="dxa"/>
              <w:end w:w="70" w:type="dxa"/>
            </w:tcMar>
          </w:tcPr>
          <w:p>
            <w:pPr>
              <w:spacing w:after="20"/>
            </w:pPr>
            <w:r>
              <w:rPr>
                <w:rFonts w:ascii="Aptos" w:hAnsi="Aptos" w:eastAsia="Aptos"/>
                <w:sz w:val="16"/>
              </w:rPr>
              <w:t>Bind prompt eligibility to LiteLLM route policy, guardrails, and Harness.</w:t>
            </w:r>
          </w:p>
        </w:tc>
        <w:tc>
          <w:tcPr>
            <w:tcW w:type="dxa" w:w="3552"/>
            <w:vAlign w:val="center"/>
            <w:tcMar>
              <w:top w:w="50" w:type="dxa"/>
              <w:start w:w="70" w:type="dxa"/>
              <w:bottom w:w="50" w:type="dxa"/>
              <w:end w:w="70" w:type="dxa"/>
            </w:tcMar>
          </w:tcPr>
          <w:p>
            <w:pPr>
              <w:spacing w:after="20"/>
            </w:pPr>
            <w:r>
              <w:rPr>
                <w:rFonts w:ascii="Aptos" w:hAnsi="Aptos" w:eastAsia="Aptos"/>
                <w:sz w:val="16"/>
              </w:rPr>
              <w:t>Model calls fail closed when eligibility is unknown or prohibited.</w:t>
            </w:r>
          </w:p>
        </w:tc>
      </w:tr>
      <w:tr>
        <w:tc>
          <w:tcPr>
            <w:tcW w:type="dxa" w:w="3552"/>
            <w:vAlign w:val="center"/>
            <w:tcMar>
              <w:top w:w="50" w:type="dxa"/>
              <w:start w:w="70" w:type="dxa"/>
              <w:bottom w:w="50" w:type="dxa"/>
              <w:end w:w="70" w:type="dxa"/>
            </w:tcMar>
          </w:tcPr>
          <w:p>
            <w:pPr>
              <w:spacing w:after="20"/>
            </w:pPr>
            <w:r>
              <w:rPr>
                <w:rFonts w:ascii="Aptos" w:hAnsi="Aptos" w:eastAsia="Aptos"/>
                <w:sz w:val="16"/>
              </w:rPr>
              <w:t>Phase 6 - Retention Automation</w:t>
            </w:r>
          </w:p>
        </w:tc>
        <w:tc>
          <w:tcPr>
            <w:tcW w:type="dxa" w:w="3552"/>
            <w:vAlign w:val="center"/>
            <w:tcMar>
              <w:top w:w="50" w:type="dxa"/>
              <w:start w:w="70" w:type="dxa"/>
              <w:bottom w:w="50" w:type="dxa"/>
              <w:end w:w="70" w:type="dxa"/>
            </w:tcMar>
          </w:tcPr>
          <w:p>
            <w:pPr>
              <w:spacing w:after="20"/>
            </w:pPr>
            <w:r>
              <w:rPr>
                <w:rFonts w:ascii="Aptos" w:hAnsi="Aptos" w:eastAsia="Aptos"/>
                <w:sz w:val="16"/>
              </w:rPr>
              <w:t>Implement retention monitor, legal hold workflow, disposal evidence, derivative invalidation.</w:t>
            </w:r>
          </w:p>
        </w:tc>
        <w:tc>
          <w:tcPr>
            <w:tcW w:type="dxa" w:w="3552"/>
            <w:vAlign w:val="center"/>
            <w:tcMar>
              <w:top w:w="50" w:type="dxa"/>
              <w:start w:w="70" w:type="dxa"/>
              <w:bottom w:w="50" w:type="dxa"/>
              <w:end w:w="70" w:type="dxa"/>
            </w:tcMar>
          </w:tcPr>
          <w:p>
            <w:pPr>
              <w:spacing w:after="20"/>
            </w:pPr>
            <w:r>
              <w:rPr>
                <w:rFonts w:ascii="Aptos" w:hAnsi="Aptos" w:eastAsia="Aptos"/>
                <w:sz w:val="16"/>
              </w:rPr>
              <w:t>Controlled archival/purge is tested in non-production.</w:t>
            </w:r>
          </w:p>
        </w:tc>
      </w:tr>
    </w:tbl>
    <w:p>
      <w:pPr/>
    </w:p>
    <w:p>
      <w:pPr>
        <w:pStyle w:val="Heading1"/>
        <w:pBdr>
          <w:bottom w:val="single" w:sz="8" w:space="1" w:color="D9EAF7"/>
        </w:pBdr>
      </w:pPr>
      <w:r>
        <w:t>17. Acceptance Criteria</w:t>
      </w:r>
    </w:p>
    <w:p>
      <w:pPr>
        <w:pStyle w:val="Callout"/>
      </w:pPr>
      <w:r>
        <w:rPr>
          <w:rFonts w:ascii="Aptos" w:hAnsi="Aptos" w:eastAsia="Aptos"/>
        </w:rPr>
        <w:t>The register is ready for controlled use when:</w:t>
      </w:r>
    </w:p>
    <w:p>
      <w:pPr>
        <w:pStyle w:val="ListBullet"/>
        <w:spacing w:after="40"/>
      </w:pPr>
      <w:r>
        <w:rPr>
          <w:rFonts w:ascii="Aptos" w:hAnsi="Aptos" w:eastAsia="Aptos"/>
          <w:sz w:val="18"/>
        </w:rPr>
        <w:t>All mandatory register fields are defined and documented.</w:t>
      </w:r>
    </w:p>
    <w:p>
      <w:pPr>
        <w:pStyle w:val="ListBullet"/>
        <w:spacing w:after="40"/>
      </w:pPr>
      <w:r>
        <w:rPr>
          <w:rFonts w:ascii="Aptos" w:hAnsi="Aptos" w:eastAsia="Aptos"/>
          <w:sz w:val="18"/>
        </w:rPr>
        <w:t>The initial classification matrix and retention schedule are approved.</w:t>
      </w:r>
    </w:p>
    <w:p>
      <w:pPr>
        <w:pStyle w:val="ListBullet"/>
        <w:spacing w:after="40"/>
      </w:pPr>
      <w:r>
        <w:rPr>
          <w:rFonts w:ascii="Aptos" w:hAnsi="Aptos" w:eastAsia="Aptos"/>
          <w:sz w:val="18"/>
        </w:rPr>
        <w:t>Git-based register files exist and are protected by CODEOWNERS.</w:t>
      </w:r>
    </w:p>
    <w:p>
      <w:pPr>
        <w:pStyle w:val="ListBullet"/>
        <w:spacing w:after="40"/>
      </w:pPr>
      <w:r>
        <w:rPr>
          <w:rFonts w:ascii="Aptos" w:hAnsi="Aptos" w:eastAsia="Aptos"/>
          <w:sz w:val="18"/>
        </w:rPr>
        <w:t>PostgreSQL runtime register tables are designed and migration-ready.</w:t>
      </w:r>
    </w:p>
    <w:p>
      <w:pPr>
        <w:pStyle w:val="ListBullet"/>
        <w:spacing w:after="40"/>
      </w:pPr>
      <w:r>
        <w:rPr>
          <w:rFonts w:ascii="Aptos" w:hAnsi="Aptos" w:eastAsia="Aptos"/>
          <w:sz w:val="18"/>
        </w:rPr>
        <w:t>OpenKM evidence paths are defined.</w:t>
      </w:r>
    </w:p>
    <w:p>
      <w:pPr>
        <w:pStyle w:val="ListBullet"/>
        <w:spacing w:after="40"/>
      </w:pPr>
      <w:r>
        <w:rPr>
          <w:rFonts w:ascii="Aptos" w:hAnsi="Aptos" w:eastAsia="Aptos"/>
          <w:sz w:val="18"/>
        </w:rPr>
        <w:t>Prompt eligibility and model-routing rules are enforceable.</w:t>
      </w:r>
    </w:p>
    <w:p>
      <w:pPr>
        <w:pStyle w:val="ListBullet"/>
        <w:spacing w:after="40"/>
      </w:pPr>
      <w:r>
        <w:rPr>
          <w:rFonts w:ascii="Aptos" w:hAnsi="Aptos" w:eastAsia="Aptos"/>
          <w:sz w:val="18"/>
        </w:rPr>
        <w:t>CI policy gates prevent missing classification, retention, and evidence metadata.</w:t>
      </w:r>
    </w:p>
    <w:p>
      <w:pPr>
        <w:pStyle w:val="ListBullet"/>
        <w:spacing w:after="40"/>
      </w:pPr>
      <w:r>
        <w:rPr>
          <w:rFonts w:ascii="Aptos" w:hAnsi="Aptos" w:eastAsia="Aptos"/>
          <w:sz w:val="18"/>
        </w:rPr>
        <w:t>Legal hold and disposal workflows have human approval gates.</w:t>
      </w:r>
    </w:p>
    <w:p>
      <w:pPr>
        <w:pStyle w:val="ListBullet"/>
        <w:spacing w:after="40"/>
      </w:pPr>
      <w:r>
        <w:rPr>
          <w:rFonts w:ascii="Aptos" w:hAnsi="Aptos" w:eastAsia="Aptos"/>
          <w:sz w:val="18"/>
        </w:rPr>
        <w:t>Derivative invalidation rules are tested for pgvector, LightRAG, LLM Wiki, and Redis/Valkey.</w:t>
      </w:r>
    </w:p>
    <w:p>
      <w:pPr>
        <w:pStyle w:val="ListBullet"/>
        <w:spacing w:after="40"/>
      </w:pPr>
      <w:r>
        <w:rPr>
          <w:rFonts w:ascii="Aptos" w:hAnsi="Aptos" w:eastAsia="Aptos"/>
          <w:sz w:val="18"/>
        </w:rPr>
        <w:t>AVCI compliance summary is included in every register change.</w:t>
      </w:r>
    </w:p>
    <w:p>
      <w:pPr>
        <w:pStyle w:val="Heading1"/>
        <w:pBdr>
          <w:bottom w:val="single" w:sz="8" w:space="1" w:color="D9EAF7"/>
        </w:pBdr>
      </w:pPr>
      <w:r>
        <w:t>Appendix A. YAML Register Template</w:t>
      </w:r>
    </w:p>
    <w:p>
      <w:pPr>
        <w:pStyle w:val="CodeBlock"/>
        <w:shd w:fill="F5F5F5"/>
      </w:pPr>
      <w:r>
        <w:rPr>
          <w:rFonts w:ascii="Aptos" w:hAnsi="Aptos" w:eastAsia="Aptos"/>
        </w:rPr>
        <w:t>artifact_id: AIRA-EXAMPLE-001</w:t>
        <w:br/>
        <w:t>artifact_name: Example Artifact Class</w:t>
        <w:br/>
        <w:t>artifact_type: document | table | column | prompt | model_output | evidence | event | embedding | cache</w:t>
        <w:br/>
        <w:t>information_domain: D1-Governance</w:t>
        <w:br/>
        <w:t>source_tier: Tier-0</w:t>
        <w:br/>
        <w:t>owner: Solutions Architecture Office</w:t>
        <w:br/>
        <w:t>steward: Data Governance Lead</w:t>
        <w:br/>
        <w:t>classification: Confidential</w:t>
        <w:br/>
        <w:t>reason_for_classification: Contains non-public architecture and control design.</w:t>
        <w:br/>
        <w:t>storage_location: OpenKM Tier-0 / AIRA / Standards / Example</w:t>
        <w:br/>
        <w:t>retention_rule_id: RET-GOV-07Y</w:t>
        <w:br/>
        <w:t>access_policy_id: opa.policy.aira.example.read</w:t>
        <w:br/>
        <w:t>prompt_eligibility: redacted-only</w:t>
        <w:br/>
        <w:t>model_route_policy: litellm.route.internal-or-private</w:t>
        <w:br/>
        <w:t>logging_rule: no_raw_content; hash identifiers; redact sensitive fields</w:t>
        <w:br/>
        <w:t>derivative_policy:</w:t>
        <w:br/>
        <w:t xml:space="preserve">  chunks_allowed: true</w:t>
        <w:br/>
        <w:t xml:space="preserve">  embeddings_allowed: true</w:t>
        <w:br/>
        <w:t xml:space="preserve">  summaries_allowed: reviewed-only</w:t>
        <w:br/>
        <w:t xml:space="preserve">  cache_allowed: false</w:t>
        <w:br/>
        <w:t>legal_hold_status: none</w:t>
        <w:br/>
        <w:t>verification_evidence:</w:t>
        <w:br/>
        <w:t xml:space="preserve">  review_id: ARB-2026-001</w:t>
        <w:br/>
        <w:t xml:space="preserve">  evidence_path: OpenKM Tier-0 / AIRA / Evidence / Governance / 2026 / 2026-05</w:t>
        <w:br/>
        <w:t>status: active</w:t>
        <w:br/>
        <w:t>last_reviewed_at: 2026-04-27</w:t>
        <w:br/>
        <w:t>next_review_due: 2026-07-27</w:t>
      </w:r>
    </w:p>
    <w:p>
      <w:pPr>
        <w:pStyle w:val="Heading1"/>
        <w:pBdr>
          <w:bottom w:val="single" w:sz="8" w:space="1" w:color="D9EAF7"/>
        </w:pBdr>
      </w:pPr>
      <w:r>
        <w:t>Appendix B. Evidence Manifest Template</w:t>
      </w:r>
    </w:p>
    <w:p>
      <w:pPr>
        <w:pStyle w:val="CodeBlock"/>
        <w:shd w:fill="F5F5F5"/>
      </w:pPr>
      <w:r>
        <w:rPr>
          <w:rFonts w:ascii="Aptos" w:hAnsi="Aptos" w:eastAsia="Aptos"/>
        </w:rPr>
        <w:t>evidence_id: EVD-2026-000001</w:t>
        <w:br/>
        <w:t>evidence_type: ci_cd | test | security | ai_eval | audit | incident | release | access_review</w:t>
        <w:br/>
        <w:t>source_system: github-actions | gitlab-ci | sonarqube | semgrep | litellm | opentelemetry | keycloak | vault</w:t>
        <w:br/>
        <w:t>artifact_ref: release-2026.05.001</w:t>
        <w:br/>
        <w:t>owner: DevSecOps Lead</w:t>
        <w:br/>
        <w:t>classification: Internal</w:t>
        <w:br/>
        <w:t>retention_rule_id: RET-REL-07Y</w:t>
        <w:br/>
        <w:t>trace_id: 00000000000000000000000000000000</w:t>
        <w:br/>
        <w:t>request_id: req-2026-000001</w:t>
        <w:br/>
        <w:t>source_hash: sha256:&lt;hash&gt;</w:t>
        <w:br/>
        <w:t>storage_path: OpenKM Tier-0 / AIRA / Evidence / CI-CD / service / DEV / 2026 / 2026-05 /</w:t>
        <w:br/>
        <w:t>created_at: 2026-04-27T00:00:00Z</w:t>
        <w:br/>
        <w:t>verified_by: QA Lead</w:t>
        <w:br/>
        <w:t>verification_status: passed</w:t>
        <w:br/>
        <w:t>linked_requirements:</w:t>
        <w:br/>
        <w:t xml:space="preserve">  - REQ-FOUNDATION-001</w:t>
        <w:br/>
        <w:t>linked_decisions:</w:t>
        <w:br/>
        <w:t xml:space="preserve">  - ADR-AIRA-2026-001</w:t>
      </w:r>
    </w:p>
    <w:p>
      <w:pPr>
        <w:pStyle w:val="Heading1"/>
        <w:pBdr>
          <w:bottom w:val="single" w:sz="8" w:space="1" w:color="D9EAF7"/>
        </w:pBdr>
      </w:pPr>
      <w:r>
        <w:t>Appendix C. Copy-Ready Mermaid References</w:t>
      </w:r>
    </w:p>
    <w:p>
      <w:pPr>
        <w:pStyle w:val="Heading2"/>
      </w:pPr>
      <w:r>
        <w:t>C.1 Classification and Registration Flow</w:t>
      </w:r>
    </w:p>
    <w:p>
      <w:pPr>
        <w:pStyle w:val="CodeBlock"/>
        <w:shd w:fill="F5F5F5"/>
      </w:pPr>
      <w:r>
        <w:rPr>
          <w:rFonts w:ascii="Aptos" w:hAnsi="Aptos" w:eastAsia="Aptos"/>
        </w:rPr>
        <w:t>flowchart LR</w:t>
        <w:br/>
        <w:t xml:space="preserve">    A[Create or Receive Artifact] --&gt; B[Identify Owner, Domain, Source Tier, Purpose]</w:t>
        <w:br/>
        <w:t xml:space="preserve">    B --&gt; C[Classify: Public, Internal, Confidential, Restricted]</w:t>
        <w:br/>
        <w:t xml:space="preserve">    C --&gt; D[Apply Handling Rules: Storage, ACL, Retention, Logging, Model Route]</w:t>
        <w:br/>
        <w:t xml:space="preserve">    D --&gt; E[Register Metadata in Git or PostgreSQL]</w:t>
        <w:br/>
        <w:t xml:space="preserve">    E --&gt; F[Verify Evidence: Review, Tests, Policy Check]</w:t>
        <w:br/>
        <w:t xml:space="preserve">    F --&gt; G[Approve for Use or Return for Rework]</w:t>
      </w:r>
    </w:p>
    <w:p>
      <w:pPr>
        <w:pStyle w:val="Heading2"/>
      </w:pPr>
      <w:r>
        <w:t>C.2 Evidence Capture and Retention Flow</w:t>
      </w:r>
    </w:p>
    <w:p>
      <w:pPr>
        <w:pStyle w:val="CodeBlock"/>
        <w:shd w:fill="F5F5F5"/>
      </w:pPr>
      <w:r>
        <w:rPr>
          <w:rFonts w:ascii="Aptos" w:hAnsi="Aptos" w:eastAsia="Aptos"/>
        </w:rPr>
        <w:t>flowchart LR</w:t>
        <w:br/>
        <w:t xml:space="preserve">    A[Engineering or Runtime Event] --&gt; B[Evidence Producer]</w:t>
        <w:br/>
        <w:t xml:space="preserve">    B --&gt; C[Evidence Envelope]</w:t>
        <w:br/>
        <w:t xml:space="preserve">    C --&gt; D[Primary Store: OpenKM, Git, PostgreSQL, Audit Store]</w:t>
        <w:br/>
        <w:t xml:space="preserve">    D --&gt; E[Derivative Index: Obsidian, LLM Wiki, pgvector, LightRAG]</w:t>
        <w:br/>
        <w:t xml:space="preserve">    D --&gt; F[Retention Monitor]</w:t>
        <w:br/>
        <w:t xml:space="preserve">    F --&gt; G[Archive, Retain, or Purge with Approval]</w:t>
      </w:r>
    </w:p>
    <w:p>
      <w:pPr>
        <w:pStyle w:val="Heading2"/>
      </w:pPr>
      <w:r>
        <w:t>C.3 Classification-Aware Prompt and Model Routing</w:t>
      </w:r>
    </w:p>
    <w:p>
      <w:pPr>
        <w:pStyle w:val="CodeBlock"/>
        <w:shd w:fill="F5F5F5"/>
      </w:pPr>
      <w:r>
        <w:rPr>
          <w:rFonts w:ascii="Aptos" w:hAnsi="Aptos" w:eastAsia="Aptos"/>
        </w:rPr>
        <w:t>flowchart LR</w:t>
        <w:br/>
        <w:t xml:space="preserve">    A[Prompt or Retrieval Request] --&gt; B[Classify Content]</w:t>
        <w:br/>
        <w:t xml:space="preserve">    B --&gt; C[Check Prompt Eligibility]</w:t>
        <w:br/>
        <w:t xml:space="preserve">    C --&gt;|Eligible| D[NeMo Input and Retrieval Rails]</w:t>
        <w:br/>
        <w:t xml:space="preserve">    C --&gt;|Not Eligible| H[Block or Human Review]</w:t>
        <w:br/>
        <w:t xml:space="preserve">    D --&gt; E[LiteLLM Alias Selection]</w:t>
        <w:br/>
        <w:t xml:space="preserve">    E --&gt; F[Model Call and Usage Audit]</w:t>
        <w:br/>
        <w:t xml:space="preserve">    F --&gt; G[NeMo Output Rail and Evidence]</w:t>
      </w:r>
    </w:p>
    <w:p>
      <w:pPr>
        <w:pStyle w:val="Heading2"/>
      </w:pPr>
      <w:r>
        <w:t>C.4 Retention, Legal Hold, and Disposal Flow</w:t>
      </w:r>
    </w:p>
    <w:p>
      <w:pPr>
        <w:pStyle w:val="CodeBlock"/>
        <w:shd w:fill="F5F5F5"/>
      </w:pPr>
      <w:r>
        <w:rPr>
          <w:rFonts w:ascii="Aptos" w:hAnsi="Aptos" w:eastAsia="Aptos"/>
        </w:rPr>
        <w:t>flowchart LR</w:t>
        <w:br/>
        <w:t xml:space="preserve">    A[Retention Event] --&gt; B[Check Legal Hold]</w:t>
        <w:br/>
        <w:t xml:space="preserve">    B --&gt; C[Disposition Decision]</w:t>
        <w:br/>
        <w:t xml:space="preserve">    C --&gt; D[Owner, Compliance, Security Approval]</w:t>
        <w:br/>
        <w:t xml:space="preserve">    D --&gt; E[Execute Controlled Action]</w:t>
        <w:br/>
        <w:t xml:space="preserve">    E --&gt; F[Write Disposal Evidence]</w:t>
        <w:br/>
        <w:t xml:space="preserve">    F --&gt; G[Invalidate Derivatives]</w:t>
      </w:r>
    </w:p>
    <w:p>
      <w:pPr>
        <w:pStyle w:val="Heading1"/>
        <w:pBdr>
          <w:bottom w:val="single" w:sz="8" w:space="1" w:color="D9EAF7"/>
        </w:pBdr>
      </w:pPr>
      <w:r>
        <w:t>Appendix D. AVCI Compliance Summary</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AVCI Property</w:t>
            </w:r>
          </w:p>
        </w:tc>
        <w:tc>
          <w:tcPr>
            <w:tcW w:type="dxa" w:w="5328"/>
            <w:vAlign w:val="center"/>
            <w:tcMar>
              <w:top w:w="50" w:type="dxa"/>
              <w:start w:w="70" w:type="dxa"/>
              <w:bottom w:w="50" w:type="dxa"/>
              <w:end w:w="70" w:type="dxa"/>
            </w:tcMar>
            <w:shd w:fill="1F4E79"/>
          </w:tcPr>
          <w:p>
            <w:pPr>
              <w:spacing w:after="20"/>
            </w:pPr>
            <w:r>
              <w:rPr>
                <w:rFonts w:ascii="Aptos" w:hAnsi="Aptos" w:eastAsia="Aptos"/>
                <w:b/>
                <w:color w:val="FFFFFF"/>
                <w:sz w:val="16"/>
              </w:rPr>
              <w:t>Compliance Statement</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Attributable</w:t>
            </w:r>
          </w:p>
        </w:tc>
        <w:tc>
          <w:tcPr>
            <w:tcW w:type="dxa" w:w="5328"/>
            <w:vAlign w:val="center"/>
            <w:tcMar>
              <w:top w:w="50" w:type="dxa"/>
              <w:start w:w="70" w:type="dxa"/>
              <w:bottom w:w="50" w:type="dxa"/>
              <w:end w:w="70" w:type="dxa"/>
            </w:tcMar>
          </w:tcPr>
          <w:p>
            <w:pPr>
              <w:spacing w:after="20"/>
            </w:pPr>
            <w:r>
              <w:rPr>
                <w:rFonts w:ascii="Aptos" w:hAnsi="Aptos" w:eastAsia="Aptos"/>
                <w:sz w:val="16"/>
              </w:rPr>
              <w:t>Every register entry has owner, steward, source, version, approval, and evidence path.</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Verifiable</w:t>
            </w:r>
          </w:p>
        </w:tc>
        <w:tc>
          <w:tcPr>
            <w:tcW w:type="dxa" w:w="5328"/>
            <w:vAlign w:val="center"/>
            <w:tcMar>
              <w:top w:w="50" w:type="dxa"/>
              <w:start w:w="70" w:type="dxa"/>
              <w:bottom w:w="50" w:type="dxa"/>
              <w:end w:w="70" w:type="dxa"/>
            </w:tcMar>
          </w:tcPr>
          <w:p>
            <w:pPr>
              <w:spacing w:after="20"/>
            </w:pPr>
            <w:r>
              <w:rPr>
                <w:rFonts w:ascii="Aptos" w:hAnsi="Aptos" w:eastAsia="Aptos"/>
                <w:sz w:val="16"/>
              </w:rPr>
              <w:t>Register entries are validated by review, policy-as-code, CI gates, hashes, and audit evidence.</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Classifiable</w:t>
            </w:r>
          </w:p>
        </w:tc>
        <w:tc>
          <w:tcPr>
            <w:tcW w:type="dxa" w:w="5328"/>
            <w:vAlign w:val="center"/>
            <w:tcMar>
              <w:top w:w="50" w:type="dxa"/>
              <w:start w:w="70" w:type="dxa"/>
              <w:bottom w:w="50" w:type="dxa"/>
              <w:end w:w="70" w:type="dxa"/>
            </w:tcMar>
          </w:tcPr>
          <w:p>
            <w:pPr>
              <w:spacing w:after="20"/>
            </w:pPr>
            <w:r>
              <w:rPr>
                <w:rFonts w:ascii="Aptos" w:hAnsi="Aptos" w:eastAsia="Aptos"/>
                <w:sz w:val="16"/>
              </w:rPr>
              <w:t>Every artifact carries classification, domain, source tier, retention, access, routing, and logging rules.</w:t>
            </w:r>
          </w:p>
        </w:tc>
      </w:tr>
      <w:tr>
        <w:tc>
          <w:tcPr>
            <w:tcW w:type="dxa" w:w="5328"/>
            <w:vAlign w:val="center"/>
            <w:tcMar>
              <w:top w:w="50" w:type="dxa"/>
              <w:start w:w="70" w:type="dxa"/>
              <w:bottom w:w="50" w:type="dxa"/>
              <w:end w:w="70" w:type="dxa"/>
            </w:tcMar>
            <w:shd w:fill="D9EAF7"/>
          </w:tcPr>
          <w:p>
            <w:pPr>
              <w:spacing w:after="20"/>
            </w:pPr>
            <w:r>
              <w:rPr>
                <w:rFonts w:ascii="Aptos" w:hAnsi="Aptos" w:eastAsia="Aptos"/>
                <w:b/>
                <w:sz w:val="16"/>
              </w:rPr>
              <w:t>Improvable</w:t>
            </w:r>
          </w:p>
        </w:tc>
        <w:tc>
          <w:tcPr>
            <w:tcW w:type="dxa" w:w="5328"/>
            <w:vAlign w:val="center"/>
            <w:tcMar>
              <w:top w:w="50" w:type="dxa"/>
              <w:start w:w="70" w:type="dxa"/>
              <w:bottom w:w="50" w:type="dxa"/>
              <w:end w:w="70" w:type="dxa"/>
            </w:tcMar>
          </w:tcPr>
          <w:p>
            <w:pPr>
              <w:spacing w:after="20"/>
            </w:pPr>
            <w:r>
              <w:rPr>
                <w:rFonts w:ascii="Aptos" w:hAnsi="Aptos" w:eastAsia="Aptos"/>
                <w:sz w:val="16"/>
              </w:rPr>
              <w:t>Register entries have review cadence, change control, feedback path, and supersedence/disposal workflow.</w:t>
            </w:r>
          </w:p>
        </w:tc>
      </w:tr>
    </w:tbl>
    <w:p>
      <w:pP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Small"/>
      <w:jc w:val="right"/>
    </w:pPr>
    <w:r>
      <w:rPr>
        <w:color w:val="595959"/>
        <w:sz w:val="16"/>
      </w:rPr>
      <w:t xml:space="preserve">AIRA Data Classification, Retention, and Evidence Register | v1.0 - Regenerated Improved Format | </w:t>
    </w:r>
    <w:r>
      <w:t xml:space="preserve">Page </w:t>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Small"/>
      <w:jc w:val="right"/>
    </w:pPr>
    <w:r>
      <w:rPr>
        <w:color w:val="595959"/>
        <w:sz w:val="16"/>
      </w:rPr>
      <w:t>AIRA-DOC-026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8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rPr>
      <w:rFonts w:ascii="Aptos" w:hAnsi="Aptos"/>
      <w:color w:val="1F4E79"/>
      <w:sz w:val="22"/>
    </w:rPr>
  </w:style>
  <w:style w:type="paragraph" w:customStyle="1" w:styleId="Callout">
    <w:name w:val="Callout"/>
    <w:rPr>
      <w:rFonts w:ascii="Aptos" w:hAnsi="Aptos"/>
      <w:b/>
      <w:color w:val="1F4E79"/>
      <w:sz w:val="18"/>
    </w:rPr>
  </w:style>
  <w:style w:type="paragraph" w:customStyle="1" w:styleId="CompactBody">
    <w:name w:val="Compact Body"/>
    <w:pPr>
      <w:spacing w:after="80" w:line="252" w:lineRule="auto"/>
    </w:pPr>
  </w:style>
  <w:style w:type="paragraph" w:customStyle="1" w:styleId="CodeBlock">
    <w:name w:val="Code Block"/>
    <w:pPr>
      <w:spacing w:before="60" w:after="60"/>
      <w:ind w:left="216"/>
    </w:pPr>
    <w:rPr>
      <w:rFonts w:ascii="Consolas" w:hAnsi="Consolas" w:eastAsia="Consolas"/>
      <w:sz w:val="15"/>
    </w:rPr>
  </w:style>
  <w:style w:type="paragraph" w:customStyle="1" w:styleId="TableCaption">
    <w:name w:val="Table Caption"/>
    <w:rPr>
      <w:rFonts w:ascii="Aptos" w:hAnsi="Aptos"/>
      <w:i/>
      <w:color w:val="595959"/>
      <w:sz w:val="17"/>
    </w:rPr>
  </w:style>
  <w:style w:type="paragraph" w:customStyle="1" w:styleId="FooterSmall">
    <w:name w:val="Footer Smal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Data Classification, Retention, and Evidence Register</dc:title>
  <dc:subject>AIRA classification, retention, evidence, prompt eligibility, model routing, and AVCI governance</dc:subject>
  <dc:creator>Solutions Architecture Office</dc:creator>
  <cp:keywords/>
  <dc:description>Regenerated and format-improved version produced from user-provided source.</dc:description>
  <cp:lastModifiedBy/>
  <cp:revision>1</cp:revision>
  <dcterms:created xsi:type="dcterms:W3CDTF">2013-12-23T23:15:00Z</dcterms:created>
  <dcterms:modified xsi:type="dcterms:W3CDTF">2013-12-23T23:15:00Z</dcterms:modified>
  <cp:category/>
</cp:coreProperties>
</file>