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1F4E79"/>
          <w:sz w:val="34"/>
        </w:rPr>
        <w:t>AIRA</w:t>
      </w:r>
    </w:p>
    <w:p>
      <w:pPr>
        <w:jc w:val="center"/>
      </w:pPr>
      <w:r>
        <w:rPr>
          <w:rFonts w:ascii="Aptos" w:hAnsi="Aptos"/>
          <w:b/>
          <w:color w:val="666666"/>
          <w:sz w:val="22"/>
        </w:rPr>
        <w:t>AI-Native Enterprise Platform</w:t>
      </w:r>
    </w:p>
    <w:p>
      <w:pPr>
        <w:pStyle w:val="Title"/>
        <w:jc w:val="center"/>
      </w:pPr>
      <w:r>
        <w:rPr>
          <w:rFonts w:ascii="Aptos Display" w:hAnsi="Aptos Display"/>
          <w:b/>
          <w:color w:val="1F4E79"/>
          <w:sz w:val="42"/>
        </w:rPr>
        <w:t>Engineering Blueprint</w:t>
      </w:r>
    </w:p>
    <w:p>
      <w:pPr>
        <w:jc w:val="center"/>
      </w:pPr>
      <w:r>
        <w:rPr>
          <w:rFonts w:ascii="Aptos" w:hAnsi="Aptos"/>
          <w:b/>
          <w:color w:val="2F5597"/>
          <w:sz w:val="24"/>
        </w:rPr>
        <w:t>Build-Ready System Specification for the Software Development Team</w:t>
      </w:r>
    </w:p>
    <w:p>
      <w:pPr>
        <w:jc w:val="center"/>
      </w:pPr>
      <w:r>
        <w:rPr>
          <w:rFonts w:ascii="Aptos" w:hAnsi="Aptos"/>
          <w:b/>
          <w:color w:val="1F4E79"/>
          <w:sz w:val="22"/>
        </w:rPr>
        <w:t>Enterprise Design Principles and SOLID Enforcement Release</w:t>
      </w:r>
    </w:p>
    <w:p>
      <w:pPr>
        <w:jc w:val="center"/>
      </w:pPr>
      <w:r>
        <w:rPr>
          <w:rFonts w:ascii="Aptos" w:hAnsi="Aptos"/>
          <w:color w:val="666666"/>
          <w:sz w:val="20"/>
        </w:rPr>
        <w:t>Version 5.0 | April 2026</w:t>
      </w:r>
    </w:p>
    <w:p>
      <w:pPr>
        <w:spacing w:before="40" w:after="160"/>
        <w:pBdr>
          <w:bottom w:val="single" w:sz="10" w:space="1" w:color="1F4E79"/>
        </w:pBdr>
      </w:pPr>
    </w:p>
    <w:tbl>
      <w:tblPr>
        <w:tblStyle w:val="TableGrid"/>
        <w:tblW w:type="auto" w:w="0"/>
        <w:jc w:val="center"/>
        <w:tblLook w:firstColumn="1" w:firstRow="1" w:lastColumn="0" w:lastRow="0" w:noHBand="0" w:noVBand="1" w:val="04A0"/>
      </w:tblPr>
      <w:tblGrid>
        <w:gridCol w:w="10454"/>
      </w:tblGrid>
      <w:tr>
        <w:tc>
          <w:tcPr>
            <w:tcW w:type="dxa" w:w="10454"/>
            <w:shd w:fill="EAF2F8"/>
            <w:tcMar>
              <w:top w:w="145" w:type="dxa"/>
              <w:start w:w="160" w:type="dxa"/>
              <w:bottom w:w="145" w:type="dxa"/>
              <w:end w:w="160" w:type="dxa"/>
            </w:tcMar>
          </w:tcPr>
          <w:p>
            <w:pPr>
              <w:spacing w:after="60"/>
            </w:pPr>
            <w:r>
              <w:rPr>
                <w:rFonts w:ascii="Aptos" w:hAnsi="Aptos"/>
                <w:b/>
                <w:color w:val="1F4E79"/>
                <w:sz w:val="18"/>
              </w:rPr>
              <w:t>Mandatory Architecture Position</w:t>
            </w:r>
          </w:p>
          <w:p>
            <w:pPr>
              <w:spacing w:after="0"/>
            </w:pPr>
            <w:r>
              <w:rPr>
                <w:rFonts w:ascii="Aptos" w:hAnsi="Aptos"/>
                <w:sz w:val="17"/>
              </w:rPr>
              <w:t>AIRA is a governed AI-native enterprise platform. No architecture, service, MicroFunction, workflow, integration, model route, prompt, guardrail, remediation, or AI-assisted change is production-ready unless it preserves or improves AVCI, SOLID compliance, Clean Architecture boundaries, DDD bounded contexts, ports-and-adapters separation, testability, security posture, observability, resilience, reversibility, and architecture fitness evidence.</w:t>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shd w:fill="1F4E79"/>
            <w:tcMar>
              <w:top w:w="50" w:type="dxa"/>
              <w:start w:w="55" w:type="dxa"/>
              <w:bottom w:w="50" w:type="dxa"/>
              <w:end w:w="55" w:type="dxa"/>
            </w:tcMar>
          </w:tcPr>
          <w:p>
            <w:pPr>
              <w:spacing w:after="0"/>
              <w:jc w:val="center"/>
            </w:pPr>
            <w:r>
              <w:rPr>
                <w:rFonts w:ascii="Aptos" w:hAnsi="Aptos"/>
                <w:b/>
                <w:color w:val="FFFFFF"/>
                <w:sz w:val="14"/>
              </w:rPr>
              <w:t>Property</w:t>
            </w:r>
          </w:p>
        </w:tc>
        <w:tc>
          <w:tcPr>
            <w:tcW w:type="dxa" w:w="7200"/>
            <w:shd w:fill="1F4E79"/>
            <w:tcMar>
              <w:top w:w="50" w:type="dxa"/>
              <w:start w:w="55" w:type="dxa"/>
              <w:bottom w:w="50" w:type="dxa"/>
              <w:end w:w="55" w:type="dxa"/>
            </w:tcMar>
          </w:tcPr>
          <w:p>
            <w:pPr>
              <w:spacing w:after="0"/>
              <w:jc w:val="center"/>
            </w:pPr>
            <w:r>
              <w:rPr>
                <w:rFonts w:ascii="Aptos" w:hAnsi="Aptos"/>
                <w:b/>
                <w:color w:val="FFFFFF"/>
                <w:sz w:val="14"/>
              </w:rPr>
              <w:t>Value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Document Title</w:t>
            </w:r>
          </w:p>
        </w:tc>
        <w:tc>
          <w:tcPr>
            <w:tcW w:type="dxa" w:w="7200"/>
            <w:vAlign w:val="top"/>
            <w:tcMar>
              <w:top w:w="45" w:type="dxa"/>
              <w:start w:w="55" w:type="dxa"/>
              <w:bottom w:w="45" w:type="dxa"/>
              <w:end w:w="55" w:type="dxa"/>
            </w:tcMar>
          </w:tcPr>
          <w:p>
            <w:pPr>
              <w:spacing w:after="0" w:line="240" w:lineRule="auto"/>
            </w:pPr>
            <w:r>
              <w:rPr>
                <w:rFonts w:ascii="Aptos" w:hAnsi="Aptos"/>
                <w:sz w:val="14"/>
              </w:rPr>
              <w:t>AIRA AI-Native Engineering Blueprint</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Document Version</w:t>
            </w:r>
          </w:p>
        </w:tc>
        <w:tc>
          <w:tcPr>
            <w:tcW w:type="dxa" w:w="7200"/>
            <w:vAlign w:val="top"/>
            <w:tcMar>
              <w:top w:w="45" w:type="dxa"/>
              <w:start w:w="55" w:type="dxa"/>
              <w:bottom w:w="45" w:type="dxa"/>
              <w:end w:w="55" w:type="dxa"/>
            </w:tcMar>
          </w:tcPr>
          <w:p>
            <w:pPr>
              <w:spacing w:after="0" w:line="240" w:lineRule="auto"/>
            </w:pPr>
            <w:r>
              <w:rPr>
                <w:rFonts w:ascii="Aptos" w:hAnsi="Aptos"/>
                <w:sz w:val="14"/>
              </w:rPr>
              <w:t>v5.0 - Enterprise Design Principles and SOLID Enforcement Release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Supersedes</w:t>
            </w:r>
          </w:p>
        </w:tc>
        <w:tc>
          <w:tcPr>
            <w:tcW w:type="dxa" w:w="7200"/>
            <w:vAlign w:val="top"/>
            <w:tcMar>
              <w:top w:w="45" w:type="dxa"/>
              <w:start w:w="55" w:type="dxa"/>
              <w:bottom w:w="45" w:type="dxa"/>
              <w:end w:w="55" w:type="dxa"/>
            </w:tcMar>
          </w:tcPr>
          <w:p>
            <w:pPr>
              <w:spacing w:after="0" w:line="240" w:lineRule="auto"/>
            </w:pPr>
            <w:r>
              <w:rPr>
                <w:rFonts w:ascii="Aptos" w:hAnsi="Aptos"/>
                <w:sz w:val="14"/>
              </w:rPr>
              <w:t>02-AIRA_Engineering_Blueprint_v4.0</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Classification</w:t>
            </w:r>
          </w:p>
        </w:tc>
        <w:tc>
          <w:tcPr>
            <w:tcW w:type="dxa" w:w="7200"/>
            <w:vAlign w:val="top"/>
            <w:tcMar>
              <w:top w:w="45" w:type="dxa"/>
              <w:start w:w="55" w:type="dxa"/>
              <w:bottom w:w="45" w:type="dxa"/>
              <w:end w:w="55" w:type="dxa"/>
            </w:tcMar>
          </w:tcPr>
          <w:p>
            <w:pPr>
              <w:spacing w:after="0" w:line="240" w:lineRule="auto"/>
            </w:pPr>
            <w:r>
              <w:rPr>
                <w:rFonts w:ascii="Aptos" w:hAnsi="Aptos"/>
                <w:sz w:val="14"/>
              </w:rPr>
              <w:t>CONFIDENTIAL - Internal Use Only</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Status</w:t>
            </w:r>
          </w:p>
        </w:tc>
        <w:tc>
          <w:tcPr>
            <w:tcW w:type="dxa" w:w="7200"/>
            <w:vAlign w:val="top"/>
            <w:tcMar>
              <w:top w:w="45" w:type="dxa"/>
              <w:start w:w="55" w:type="dxa"/>
              <w:bottom w:w="45" w:type="dxa"/>
              <w:end w:w="55" w:type="dxa"/>
            </w:tcMar>
          </w:tcPr>
          <w:p>
            <w:pPr>
              <w:spacing w:after="0" w:line="240" w:lineRule="auto"/>
            </w:pPr>
            <w:r>
              <w:rPr>
                <w:rFonts w:ascii="Aptos" w:hAnsi="Aptos"/>
                <w:sz w:val="14"/>
              </w:rPr>
              <w:t>FOR ARCHITECTURE REVIEW BOARD / CAB APPROVAL</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Owner</w:t>
            </w:r>
          </w:p>
        </w:tc>
        <w:tc>
          <w:tcPr>
            <w:tcW w:type="dxa" w:w="7200"/>
            <w:vAlign w:val="top"/>
            <w:tcMar>
              <w:top w:w="45" w:type="dxa"/>
              <w:start w:w="55" w:type="dxa"/>
              <w:bottom w:w="45" w:type="dxa"/>
              <w:end w:w="55" w:type="dxa"/>
            </w:tcMar>
          </w:tcPr>
          <w:p>
            <w:pPr>
              <w:spacing w:after="0" w:line="240" w:lineRule="auto"/>
            </w:pPr>
            <w:r>
              <w:rPr>
                <w:rFonts w:ascii="Aptos" w:hAnsi="Aptos"/>
                <w:sz w:val="14"/>
              </w:rPr>
              <w:t>Solutions Architecture Office / AI Enterprise Architecture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Effective Date</w:t>
            </w:r>
          </w:p>
        </w:tc>
        <w:tc>
          <w:tcPr>
            <w:tcW w:type="dxa" w:w="7200"/>
            <w:vAlign w:val="top"/>
            <w:tcMar>
              <w:top w:w="45" w:type="dxa"/>
              <w:start w:w="55" w:type="dxa"/>
              <w:bottom w:w="45" w:type="dxa"/>
              <w:end w:w="55" w:type="dxa"/>
            </w:tcMar>
          </w:tcPr>
          <w:p>
            <w:pPr>
              <w:spacing w:after="0" w:line="240" w:lineRule="auto"/>
            </w:pPr>
            <w:r>
              <w:rPr>
                <w:rFonts w:ascii="Aptos" w:hAnsi="Aptos"/>
                <w:sz w:val="14"/>
              </w:rPr>
              <w:t>Upon Architecture Review Board / CAB approval</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Review Cadence</w:t>
            </w:r>
          </w:p>
        </w:tc>
        <w:tc>
          <w:tcPr>
            <w:tcW w:type="dxa" w:w="7200"/>
            <w:vAlign w:val="top"/>
            <w:tcMar>
              <w:top w:w="45" w:type="dxa"/>
              <w:start w:w="55" w:type="dxa"/>
              <w:bottom w:w="45" w:type="dxa"/>
              <w:end w:w="55" w:type="dxa"/>
            </w:tcMar>
          </w:tcPr>
          <w:p>
            <w:pPr>
              <w:spacing w:after="0" w:line="240" w:lineRule="auto"/>
            </w:pPr>
            <w:r>
              <w:rPr>
                <w:rFonts w:ascii="Aptos" w:hAnsi="Aptos"/>
                <w:sz w:val="14"/>
              </w:rPr>
              <w:t>Quarterly; unscheduled on material architecture, technology, security, regulatory, AI-risk, or operating-model change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Audience</w:t>
            </w:r>
          </w:p>
        </w:tc>
        <w:tc>
          <w:tcPr>
            <w:tcW w:type="dxa" w:w="7200"/>
            <w:vAlign w:val="top"/>
            <w:tcMar>
              <w:top w:w="45" w:type="dxa"/>
              <w:start w:w="55" w:type="dxa"/>
              <w:bottom w:w="45" w:type="dxa"/>
              <w:end w:w="55" w:type="dxa"/>
            </w:tcMar>
          </w:tcPr>
          <w:p>
            <w:pPr>
              <w:spacing w:after="0" w:line="240" w:lineRule="auto"/>
            </w:pPr>
            <w:r>
              <w:rPr>
                <w:rFonts w:ascii="Aptos" w:hAnsi="Aptos"/>
                <w:sz w:val="14"/>
              </w:rPr>
              <w:t>CTO, Solutions Architect / IT Head, Enterprise Architects, Development Leads, DevSecOps, QA/SDET, Security, DBA, Platform Engineering, Internal Audit</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Primary Governing Decision</w:t>
            </w:r>
          </w:p>
        </w:tc>
        <w:tc>
          <w:tcPr>
            <w:tcW w:type="dxa" w:w="7200"/>
            <w:vAlign w:val="top"/>
            <w:tcMar>
              <w:top w:w="45" w:type="dxa"/>
              <w:start w:w="55" w:type="dxa"/>
              <w:bottom w:w="45" w:type="dxa"/>
              <w:end w:w="55" w:type="dxa"/>
            </w:tcMar>
          </w:tcPr>
          <w:p>
            <w:pPr>
              <w:spacing w:after="0" w:line="240" w:lineRule="auto"/>
            </w:pPr>
            <w:r>
              <w:rPr>
                <w:rFonts w:ascii="Aptos" w:hAnsi="Aptos"/>
                <w:sz w:val="14"/>
              </w:rPr>
              <w:t>ADR-AIRA-2026-001 - Adoption of Enterprise Design Principles and SOLID Enforcement Layer</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Canonical Principle Reference</w:t>
            </w:r>
          </w:p>
        </w:tc>
        <w:tc>
          <w:tcPr>
            <w:tcW w:type="dxa" w:w="7200"/>
            <w:vAlign w:val="top"/>
            <w:tcMar>
              <w:top w:w="45" w:type="dxa"/>
              <w:start w:w="55" w:type="dxa"/>
              <w:bottom w:w="45" w:type="dxa"/>
              <w:end w:w="55" w:type="dxa"/>
            </w:tcMar>
          </w:tcPr>
          <w:p>
            <w:pPr>
              <w:spacing w:after="0" w:line="240" w:lineRule="auto"/>
            </w:pPr>
            <w:r>
              <w:rPr>
                <w:rFonts w:ascii="Aptos" w:hAnsi="Aptos"/>
                <w:sz w:val="14"/>
              </w:rPr>
              <w:t>01A-AIRA Enterprise Design Principles and SOLID Enforcement Layer v1.0</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Universal Quality Reference</w:t>
            </w:r>
          </w:p>
        </w:tc>
        <w:tc>
          <w:tcPr>
            <w:tcW w:type="dxa" w:w="7200"/>
            <w:vAlign w:val="top"/>
            <w:tcMar>
              <w:top w:w="45" w:type="dxa"/>
              <w:start w:w="55" w:type="dxa"/>
              <w:bottom w:w="45" w:type="dxa"/>
              <w:end w:w="55" w:type="dxa"/>
            </w:tcMar>
          </w:tcPr>
          <w:p>
            <w:pPr>
              <w:spacing w:after="0" w:line="240" w:lineRule="auto"/>
            </w:pPr>
            <w:r>
              <w:rPr>
                <w:rFonts w:ascii="Aptos" w:hAnsi="Aptos"/>
                <w:sz w:val="14"/>
              </w:rPr>
              <w:t>01-AIRA AVCI Engineering Standard v3.0</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Companion Documents</w:t>
            </w:r>
          </w:p>
        </w:tc>
        <w:tc>
          <w:tcPr>
            <w:tcW w:type="dxa" w:w="7200"/>
            <w:vAlign w:val="top"/>
            <w:tcMar>
              <w:top w:w="45" w:type="dxa"/>
              <w:start w:w="55" w:type="dxa"/>
              <w:bottom w:w="45" w:type="dxa"/>
              <w:end w:w="55" w:type="dxa"/>
            </w:tcMar>
          </w:tcPr>
          <w:p>
            <w:pPr>
              <w:spacing w:after="0" w:line="240" w:lineRule="auto"/>
            </w:pPr>
            <w:r>
              <w:rPr>
                <w:rFonts w:ascii="Aptos" w:hAnsi="Aptos"/>
                <w:sz w:val="14"/>
              </w:rPr>
              <w:t>03 Developer Guide; 04 Technology Stack; 05 Information Nervous System; 06 CLAUDE.md Reference; 07 Skills Framework; 08 Unit Testing; 09 Greenfield Environment; 10 MicroFunction Framework; 11 DevSecOps; 13 Knowledge Governance; 14 ADR/TDL; 15 API; 16 Database; 17 Security</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Purpose</w:t>
            </w:r>
          </w:p>
        </w:tc>
        <w:tc>
          <w:tcPr>
            <w:tcW w:type="dxa" w:w="7200"/>
            <w:vAlign w:val="top"/>
            <w:tcMar>
              <w:top w:w="45" w:type="dxa"/>
              <w:start w:w="55" w:type="dxa"/>
              <w:bottom w:w="45" w:type="dxa"/>
              <w:end w:w="55" w:type="dxa"/>
            </w:tcMar>
          </w:tcPr>
          <w:p>
            <w:pPr>
              <w:spacing w:after="0" w:line="240" w:lineRule="auto"/>
            </w:pPr>
            <w:r>
              <w:rPr>
                <w:rFonts w:ascii="Aptos" w:hAnsi="Aptos"/>
                <w:sz w:val="14"/>
              </w:rPr>
              <w:t>Define the build-ready architecture, service boundaries, governance flows, enforcement controls, and architecture fitness expectations for AIRA development.</w:t>
            </w:r>
          </w:p>
        </w:tc>
      </w:tr>
    </w:tbl>
    <w:p/>
    <w:p>
      <w:r>
        <w:br w:type="page"/>
      </w:r>
    </w:p>
    <w:p>
      <w:pPr>
        <w:pStyle w:val="Heading1"/>
        <w:keepNext/>
        <w:spacing w:before="160" w:after="80"/>
      </w:pPr>
    </w:p>
    <w:p>
      <w:pPr>
        <w:spacing w:after="80" w:line="250" w:lineRule="auto"/>
      </w:pPr>
      <w:r>
        <w:rPr>
          <w:rFonts w:ascii="Aptos" w:hAnsi="Aptos"/>
          <w:sz w:val="17"/>
        </w:rPr>
        <w:t>1. Executive Summary</w:t>
      </w:r>
    </w:p>
    <w:p>
      <w:pPr>
        <w:spacing w:after="80" w:line="250" w:lineRule="auto"/>
      </w:pPr>
      <w:r>
        <w:rPr>
          <w:rFonts w:ascii="Aptos" w:hAnsi="Aptos"/>
          <w:sz w:val="17"/>
        </w:rPr>
        <w:t>2. Authority, Scope, and Document Hierarchy</w:t>
      </w:r>
    </w:p>
    <w:p>
      <w:pPr>
        <w:spacing w:after="80" w:line="250" w:lineRule="auto"/>
      </w:pPr>
      <w:r>
        <w:rPr>
          <w:rFonts w:ascii="Aptos" w:hAnsi="Aptos"/>
          <w:sz w:val="17"/>
        </w:rPr>
        <w:t>3. Enterprise Design Principles and SOLID Enforcement Layer</w:t>
      </w:r>
    </w:p>
    <w:p>
      <w:pPr>
        <w:spacing w:after="80" w:line="250" w:lineRule="auto"/>
      </w:pPr>
      <w:r>
        <w:rPr>
          <w:rFonts w:ascii="Aptos" w:hAnsi="Aptos"/>
          <w:sz w:val="17"/>
        </w:rPr>
        <w:t>4. Target Architecture and Layered View</w:t>
      </w:r>
    </w:p>
    <w:p>
      <w:pPr>
        <w:spacing w:after="80" w:line="250" w:lineRule="auto"/>
      </w:pPr>
      <w:r>
        <w:rPr>
          <w:rFonts w:ascii="Aptos" w:hAnsi="Aptos"/>
          <w:sz w:val="17"/>
        </w:rPr>
        <w:t>5. Clean Architecture, DDD, and Service Boundary Model</w:t>
      </w:r>
    </w:p>
    <w:p>
      <w:pPr>
        <w:spacing w:after="80" w:line="250" w:lineRule="auto"/>
      </w:pPr>
      <w:r>
        <w:rPr>
          <w:rFonts w:ascii="Aptos" w:hAnsi="Aptos"/>
          <w:sz w:val="17"/>
        </w:rPr>
        <w:t>6. Component Responsibilities and Deployment Units</w:t>
      </w:r>
    </w:p>
    <w:p>
      <w:pPr>
        <w:spacing w:after="80" w:line="250" w:lineRule="auto"/>
      </w:pPr>
      <w:r>
        <w:rPr>
          <w:rFonts w:ascii="Aptos" w:hAnsi="Aptos"/>
          <w:sz w:val="17"/>
        </w:rPr>
        <w:t>7. API, Event, and Integration Architecture</w:t>
      </w:r>
    </w:p>
    <w:p>
      <w:pPr>
        <w:spacing w:after="80" w:line="250" w:lineRule="auto"/>
      </w:pPr>
      <w:r>
        <w:rPr>
          <w:rFonts w:ascii="Aptos" w:hAnsi="Aptos"/>
          <w:sz w:val="17"/>
        </w:rPr>
        <w:t>8. Workflow, MicroFunction, and Process Architecture</w:t>
      </w:r>
    </w:p>
    <w:p>
      <w:pPr>
        <w:spacing w:after="80" w:line="250" w:lineRule="auto"/>
      </w:pPr>
      <w:r>
        <w:rPr>
          <w:rFonts w:ascii="Aptos" w:hAnsi="Aptos"/>
          <w:sz w:val="17"/>
        </w:rPr>
        <w:t>9. AI Orchestration, Guardrails, Model Governance, and Agent Boundary</w:t>
      </w:r>
    </w:p>
    <w:p>
      <w:pPr>
        <w:spacing w:after="80" w:line="250" w:lineRule="auto"/>
      </w:pPr>
      <w:r>
        <w:rPr>
          <w:rFonts w:ascii="Aptos" w:hAnsi="Aptos"/>
          <w:sz w:val="17"/>
        </w:rPr>
        <w:t>10. Data, Knowledge, and Retrieval Architecture</w:t>
      </w:r>
    </w:p>
    <w:p>
      <w:pPr>
        <w:spacing w:after="80" w:line="250" w:lineRule="auto"/>
      </w:pPr>
      <w:r>
        <w:rPr>
          <w:rFonts w:ascii="Aptos" w:hAnsi="Aptos"/>
          <w:sz w:val="17"/>
        </w:rPr>
        <w:t>11. Security Architecture and Access Control</w:t>
      </w:r>
    </w:p>
    <w:p>
      <w:pPr>
        <w:spacing w:after="80" w:line="250" w:lineRule="auto"/>
      </w:pPr>
      <w:r>
        <w:rPr>
          <w:rFonts w:ascii="Aptos" w:hAnsi="Aptos"/>
          <w:sz w:val="17"/>
        </w:rPr>
        <w:t>12. Resilience, Idempotency, Determinism, and Concurrency</w:t>
      </w:r>
    </w:p>
    <w:p>
      <w:pPr>
        <w:spacing w:after="80" w:line="250" w:lineRule="auto"/>
      </w:pPr>
      <w:r>
        <w:rPr>
          <w:rFonts w:ascii="Aptos" w:hAnsi="Aptos"/>
          <w:sz w:val="17"/>
        </w:rPr>
        <w:t>13. Observability, Audit, Evidence, and AVCI Traceability</w:t>
      </w:r>
    </w:p>
    <w:p>
      <w:pPr>
        <w:spacing w:after="80" w:line="250" w:lineRule="auto"/>
      </w:pPr>
      <w:r>
        <w:rPr>
          <w:rFonts w:ascii="Aptos" w:hAnsi="Aptos"/>
          <w:sz w:val="17"/>
        </w:rPr>
        <w:t>14. Testing, Quality Engineering, and Architecture Fitness Functions</w:t>
      </w:r>
    </w:p>
    <w:p>
      <w:pPr>
        <w:spacing w:after="80" w:line="250" w:lineRule="auto"/>
      </w:pPr>
      <w:r>
        <w:rPr>
          <w:rFonts w:ascii="Aptos" w:hAnsi="Aptos"/>
          <w:sz w:val="17"/>
        </w:rPr>
        <w:t>15. Deployment, Configuration, Release, and Reversibility</w:t>
      </w:r>
    </w:p>
    <w:p>
      <w:pPr>
        <w:spacing w:after="80" w:line="250" w:lineRule="auto"/>
      </w:pPr>
      <w:r>
        <w:rPr>
          <w:rFonts w:ascii="Aptos" w:hAnsi="Aptos"/>
          <w:sz w:val="17"/>
        </w:rPr>
        <w:t>16. Auto-Heal, Auto-Learn, and Auto-Improve Architecture Governance</w:t>
      </w:r>
    </w:p>
    <w:p>
      <w:pPr>
        <w:spacing w:after="80" w:line="250" w:lineRule="auto"/>
      </w:pPr>
      <w:r>
        <w:rPr>
          <w:rFonts w:ascii="Aptos" w:hAnsi="Aptos"/>
          <w:sz w:val="17"/>
        </w:rPr>
        <w:t>17. Developer Working Rules and Enforcement Gates</w:t>
      </w:r>
    </w:p>
    <w:p>
      <w:pPr>
        <w:spacing w:after="80" w:line="250" w:lineRule="auto"/>
      </w:pPr>
      <w:r>
        <w:rPr>
          <w:rFonts w:ascii="Aptos" w:hAnsi="Aptos"/>
          <w:sz w:val="17"/>
        </w:rPr>
        <w:t>18. Cross-Document Revision Impact</w:t>
      </w:r>
    </w:p>
    <w:p>
      <w:pPr>
        <w:spacing w:after="80" w:line="250" w:lineRule="auto"/>
      </w:pPr>
      <w:r>
        <w:rPr>
          <w:rFonts w:ascii="Aptos" w:hAnsi="Aptos"/>
          <w:sz w:val="17"/>
        </w:rPr>
        <w:t>19. RACI and Operating Model</w:t>
      </w:r>
    </w:p>
    <w:p>
      <w:pPr>
        <w:spacing w:after="80" w:line="250" w:lineRule="auto"/>
      </w:pPr>
      <w:r>
        <w:rPr>
          <w:rFonts w:ascii="Aptos" w:hAnsi="Aptos"/>
          <w:sz w:val="17"/>
        </w:rPr>
        <w:t>20. Implementation Roadmap and Acceptance Criteria</w:t>
      </w:r>
    </w:p>
    <w:p>
      <w:pPr>
        <w:spacing w:after="80" w:line="250" w:lineRule="auto"/>
      </w:pPr>
      <w:r>
        <w:rPr>
          <w:rFonts w:ascii="Aptos" w:hAnsi="Aptos"/>
          <w:sz w:val="17"/>
        </w:rPr>
        <w:t>Appendices</w:t>
      </w:r>
    </w:p>
    <w:tbl>
      <w:tblPr>
        <w:tblStyle w:val="TableGrid"/>
        <w:tblW w:type="auto" w:w="0"/>
        <w:jc w:val="center"/>
        <w:tblLook w:firstColumn="1" w:firstRow="1" w:lastColumn="0" w:lastRow="0" w:noHBand="0" w:noVBand="1" w:val="04A0"/>
      </w:tblPr>
      <w:tblGrid>
        <w:gridCol w:w="10454"/>
      </w:tblGrid>
      <w:tr>
        <w:tc>
          <w:tcPr>
            <w:tcW w:type="dxa" w:w="10454"/>
            <w:shd w:fill="F8F9F9"/>
            <w:tcMar>
              <w:top w:w="145" w:type="dxa"/>
              <w:start w:w="160" w:type="dxa"/>
              <w:bottom w:w="145" w:type="dxa"/>
              <w:end w:w="160" w:type="dxa"/>
            </w:tcMar>
          </w:tcPr>
          <w:p>
            <w:pPr>
              <w:spacing w:after="60"/>
            </w:pPr>
            <w:r>
              <w:rPr>
                <w:rFonts w:ascii="Aptos" w:hAnsi="Aptos"/>
                <w:b/>
                <w:color w:val="666666"/>
                <w:sz w:val="18"/>
              </w:rPr>
              <w:t>Word TOC Note</w:t>
            </w:r>
          </w:p>
          <w:p>
            <w:pPr>
              <w:spacing w:after="0"/>
            </w:pPr>
            <w:r>
              <w:rPr>
                <w:rFonts w:ascii="Aptos" w:hAnsi="Aptos"/>
                <w:sz w:val="17"/>
              </w:rPr>
              <w:t>This document uses a static Table of Contents for deterministic rendering in headless environments. Before publication, Microsoft Word may be used to replace it with a dynamic TOC if desired.</w:t>
            </w:r>
          </w:p>
        </w:tc>
      </w:tr>
    </w:tbl>
    <w:p/>
    <w:p>
      <w:r>
        <w:br w:type="page"/>
      </w:r>
    </w:p>
    <w:p>
      <w:pPr>
        <w:pStyle w:val="Heading1"/>
        <w:keepNext/>
        <w:spacing w:before="160" w:after="80"/>
      </w:pPr>
    </w:p>
    <w:p>
      <w:pPr>
        <w:spacing w:after="80" w:line="250" w:lineRule="auto"/>
      </w:pPr>
      <w:r>
        <w:rPr>
          <w:rFonts w:ascii="Aptos" w:hAnsi="Aptos"/>
          <w:sz w:val="18"/>
        </w:rPr>
        <w:t>AIRA is a governed AI-native enterprise platform for regulated, mission-critical enterprise delivery. This Engineering Blueprint defines the build-ready architecture, service boundaries, data and knowledge design, workflow partition, AI governance controls, evidence model, and developer working rules required to build AIRA safely and consistently.</w:t>
      </w:r>
    </w:p>
    <w:p>
      <w:pPr>
        <w:spacing w:after="80" w:line="250" w:lineRule="auto"/>
      </w:pPr>
      <w:r>
        <w:rPr>
          <w:rFonts w:ascii="Aptos" w:hAnsi="Aptos"/>
          <w:sz w:val="18"/>
        </w:rPr>
        <w:t>Version 5.0 upgrades the previous blueprint by making the Enterprise Design Principles and SOLID Enforcement Layer an explicit architecture control. The design now treats SOLID, Clean Architecture, Domain-Driven Design, ports-and-adapters, idempotency, determinism, fail-safe behaviour, human-in-the-loop approval, least privilege, separation of duties, observability, policy as code, testability, secure-by-design discipline, resilience patterns, architecture fitness functions, progressive autonomy, reversibility, rollbackability, and AVCI as enforceable invariants.</w:t>
      </w:r>
    </w:p>
    <w:tbl>
      <w:tblPr>
        <w:tblStyle w:val="TableGrid"/>
        <w:tblW w:type="auto" w:w="0"/>
        <w:jc w:val="center"/>
        <w:tblLook w:firstColumn="1" w:firstRow="1" w:lastColumn="0" w:lastRow="0" w:noHBand="0" w:noVBand="1" w:val="04A0"/>
      </w:tblPr>
      <w:tblGrid>
        <w:gridCol w:w="10454"/>
      </w:tblGrid>
      <w:tr>
        <w:tc>
          <w:tcPr>
            <w:tcW w:type="dxa" w:w="10454"/>
            <w:shd w:fill="FDEDEC"/>
            <w:tcMar>
              <w:top w:w="145" w:type="dxa"/>
              <w:start w:w="160" w:type="dxa"/>
              <w:bottom w:w="145" w:type="dxa"/>
              <w:end w:w="160" w:type="dxa"/>
            </w:tcMar>
          </w:tcPr>
          <w:p>
            <w:pPr>
              <w:spacing w:after="60"/>
            </w:pPr>
            <w:r>
              <w:rPr>
                <w:rFonts w:ascii="Aptos" w:hAnsi="Aptos"/>
                <w:b/>
                <w:color w:val="943126"/>
                <w:sz w:val="18"/>
              </w:rPr>
              <w:t>Core Architecture Rule</w:t>
            </w:r>
          </w:p>
          <w:p>
            <w:pPr>
              <w:spacing w:after="0"/>
            </w:pPr>
            <w:r>
              <w:rPr>
                <w:rFonts w:ascii="Aptos" w:hAnsi="Aptos"/>
                <w:sz w:val="17"/>
              </w:rPr>
              <w:t>No service, agent, script, notebook, workflow, MicroFunction, or utility may call an LLM provider directly or execute production-impacting tool actions outside the governed control path. Model traffic routes through LiteLLM and safety rails. AI tool execution routes through Harness, SBAC, OPA, trust scoring, audit, and human approval where required.</w:t>
            </w:r>
          </w:p>
        </w:tc>
      </w:tr>
    </w:tbl>
    <w:p/>
    <w:p>
      <w:pPr>
        <w:pStyle w:val="Heading2"/>
        <w:keepNext/>
        <w:spacing w:before="12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shd w:fill="1F4E79"/>
            <w:tcMar>
              <w:top w:w="50" w:type="dxa"/>
              <w:start w:w="55" w:type="dxa"/>
              <w:bottom w:w="50" w:type="dxa"/>
              <w:end w:w="55" w:type="dxa"/>
            </w:tcMar>
          </w:tcPr>
          <w:p>
            <w:pPr>
              <w:spacing w:after="0"/>
              <w:jc w:val="center"/>
            </w:pPr>
            <w:r>
              <w:rPr>
                <w:rFonts w:ascii="Aptos" w:hAnsi="Aptos"/>
                <w:b/>
                <w:color w:val="FFFFFF"/>
                <w:sz w:val="14"/>
              </w:rPr>
              <w:t>Change Area</w:t>
            </w:r>
          </w:p>
        </w:tc>
        <w:tc>
          <w:tcPr>
            <w:tcW w:type="dxa" w:w="7200"/>
            <w:shd w:fill="1F4E79"/>
            <w:tcMar>
              <w:top w:w="50" w:type="dxa"/>
              <w:start w:w="55" w:type="dxa"/>
              <w:bottom w:w="50" w:type="dxa"/>
              <w:end w:w="55" w:type="dxa"/>
            </w:tcMar>
          </w:tcPr>
          <w:p>
            <w:pPr>
              <w:spacing w:after="0"/>
              <w:jc w:val="center"/>
            </w:pPr>
            <w:r>
              <w:rPr>
                <w:rFonts w:ascii="Aptos" w:hAnsi="Aptos"/>
                <w:b/>
                <w:color w:val="FFFFFF"/>
                <w:sz w:val="14"/>
              </w:rPr>
              <w:t>v5.0 Decision</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01A canonical reference</w:t>
            </w:r>
          </w:p>
        </w:tc>
        <w:tc>
          <w:tcPr>
            <w:tcW w:type="dxa" w:w="7200"/>
            <w:vAlign w:val="top"/>
            <w:tcMar>
              <w:top w:w="45" w:type="dxa"/>
              <w:start w:w="55" w:type="dxa"/>
              <w:bottom w:w="45" w:type="dxa"/>
              <w:end w:w="55" w:type="dxa"/>
            </w:tcMar>
          </w:tcPr>
          <w:p>
            <w:pPr>
              <w:spacing w:after="0" w:line="240" w:lineRule="auto"/>
            </w:pPr>
            <w:r>
              <w:rPr>
                <w:rFonts w:ascii="Aptos" w:hAnsi="Aptos"/>
                <w:sz w:val="14"/>
              </w:rPr>
              <w:t>Introduces 01A-AIRA Enterprise Design Principles and SOLID Enforcement Layer v1.0 as the canonical cross-document principle source.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AVCI alignment</w:t>
            </w:r>
          </w:p>
        </w:tc>
        <w:tc>
          <w:tcPr>
            <w:tcW w:type="dxa" w:w="7200"/>
            <w:vAlign w:val="top"/>
            <w:tcMar>
              <w:top w:w="45" w:type="dxa"/>
              <w:start w:w="55" w:type="dxa"/>
              <w:bottom w:w="45" w:type="dxa"/>
              <w:end w:w="55" w:type="dxa"/>
            </w:tcMar>
          </w:tcPr>
          <w:p>
            <w:pPr>
              <w:spacing w:after="0" w:line="240" w:lineRule="auto"/>
            </w:pPr>
            <w:r>
              <w:rPr>
                <w:rFonts w:ascii="Aptos" w:hAnsi="Aptos"/>
                <w:sz w:val="14"/>
              </w:rPr>
              <w:t>Aligns with 01-AIRA AVCI Engineering Standard v3.0 and extends production readiness to include design-principle impact evidence.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Architecture principles</w:t>
            </w:r>
          </w:p>
        </w:tc>
        <w:tc>
          <w:tcPr>
            <w:tcW w:type="dxa" w:w="7200"/>
            <w:vAlign w:val="top"/>
            <w:tcMar>
              <w:top w:w="45" w:type="dxa"/>
              <w:start w:w="55" w:type="dxa"/>
              <w:bottom w:w="45" w:type="dxa"/>
              <w:end w:w="55" w:type="dxa"/>
            </w:tcMar>
          </w:tcPr>
          <w:p>
            <w:pPr>
              <w:spacing w:after="0" w:line="240" w:lineRule="auto"/>
            </w:pPr>
            <w:r>
              <w:rPr>
                <w:rFonts w:ascii="Aptos" w:hAnsi="Aptos"/>
                <w:sz w:val="14"/>
              </w:rPr>
              <w:t>Expands architecture principles to all 20 enterprise design principles and marks them as design invariants.</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Auto-* governance</w:t>
            </w:r>
          </w:p>
        </w:tc>
        <w:tc>
          <w:tcPr>
            <w:tcW w:type="dxa" w:w="7200"/>
            <w:vAlign w:val="top"/>
            <w:tcMar>
              <w:top w:w="45" w:type="dxa"/>
              <w:start w:w="55" w:type="dxa"/>
              <w:bottom w:w="45" w:type="dxa"/>
              <w:end w:w="55" w:type="dxa"/>
            </w:tcMar>
          </w:tcPr>
          <w:p>
            <w:pPr>
              <w:spacing w:after="0" w:line="240" w:lineRule="auto"/>
            </w:pPr>
            <w:r>
              <w:rPr>
                <w:rFonts w:ascii="Aptos" w:hAnsi="Aptos"/>
                <w:sz w:val="14"/>
              </w:rPr>
              <w:t>Requires Auto-Heal, Auto-Learn, and Auto-Improve to preserve or improve architecture, security, testability, observability, reversibility, and AVCI evidence.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Fitness functions</w:t>
            </w:r>
          </w:p>
        </w:tc>
        <w:tc>
          <w:tcPr>
            <w:tcW w:type="dxa" w:w="7200"/>
            <w:vAlign w:val="top"/>
            <w:tcMar>
              <w:top w:w="45" w:type="dxa"/>
              <w:start w:w="55" w:type="dxa"/>
              <w:bottom w:w="45" w:type="dxa"/>
              <w:end w:w="55" w:type="dxa"/>
            </w:tcMar>
          </w:tcPr>
          <w:p>
            <w:pPr>
              <w:spacing w:after="0" w:line="240" w:lineRule="auto"/>
            </w:pPr>
            <w:r>
              <w:rPr>
                <w:rFonts w:ascii="Aptos" w:hAnsi="Aptos"/>
                <w:sz w:val="14"/>
              </w:rPr>
              <w:t>Adds mandatory architecture fitness functions that can be enforced by CI, policy tests, contract tests, and review gates.</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Boundary enforcement</w:t>
            </w:r>
          </w:p>
        </w:tc>
        <w:tc>
          <w:tcPr>
            <w:tcW w:type="dxa" w:w="7200"/>
            <w:vAlign w:val="top"/>
            <w:tcMar>
              <w:top w:w="45" w:type="dxa"/>
              <w:start w:w="55" w:type="dxa"/>
              <w:bottom w:w="45" w:type="dxa"/>
              <w:end w:w="55" w:type="dxa"/>
            </w:tcMar>
          </w:tcPr>
          <w:p>
            <w:pPr>
              <w:spacing w:after="0" w:line="240" w:lineRule="auto"/>
            </w:pPr>
            <w:r>
              <w:rPr>
                <w:rFonts w:ascii="Aptos" w:hAnsi="Aptos"/>
                <w:sz w:val="14"/>
              </w:rPr>
              <w:t>Strengthens Clean Architecture, DDD bounded contexts, ports-and-adapters, MicroFunction isolation, and service ownership rules.</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Decision governance</w:t>
            </w:r>
          </w:p>
        </w:tc>
        <w:tc>
          <w:tcPr>
            <w:tcW w:type="dxa" w:w="7200"/>
            <w:vAlign w:val="top"/>
            <w:tcMar>
              <w:top w:w="45" w:type="dxa"/>
              <w:start w:w="55" w:type="dxa"/>
              <w:bottom w:w="45" w:type="dxa"/>
              <w:end w:w="55" w:type="dxa"/>
            </w:tcMar>
          </w:tcPr>
          <w:p>
            <w:pPr>
              <w:spacing w:after="0" w:line="240" w:lineRule="auto"/>
            </w:pPr>
            <w:r>
              <w:rPr>
                <w:rFonts w:ascii="Aptos" w:hAnsi="Aptos"/>
                <w:sz w:val="14"/>
              </w:rPr>
              <w:t>Requires material boundary, autonomy, model routing, workflow partition, and principle exceptions to be captured by ADR or TDL.</w:t>
            </w:r>
          </w:p>
        </w:tc>
      </w:tr>
    </w:tbl>
    <w:p/>
    <w:p>
      <w:pPr>
        <w:pStyle w:val="Heading2"/>
        <w:keepNext/>
        <w:spacing w:before="12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shd w:fill="1F4E79"/>
            <w:tcMar>
              <w:top w:w="50" w:type="dxa"/>
              <w:start w:w="55" w:type="dxa"/>
              <w:bottom w:w="50" w:type="dxa"/>
              <w:end w:w="55" w:type="dxa"/>
            </w:tcMar>
          </w:tcPr>
          <w:p>
            <w:pPr>
              <w:spacing w:after="0"/>
              <w:jc w:val="center"/>
            </w:pPr>
            <w:r>
              <w:rPr>
                <w:rFonts w:ascii="Aptos" w:hAnsi="Aptos"/>
                <w:b/>
                <w:color w:val="FFFFFF"/>
                <w:sz w:val="14"/>
              </w:rPr>
              <w:t>Outcome</w:t>
            </w:r>
          </w:p>
        </w:tc>
        <w:tc>
          <w:tcPr>
            <w:tcW w:type="dxa" w:w="7200"/>
            <w:shd w:fill="1F4E79"/>
            <w:tcMar>
              <w:top w:w="50" w:type="dxa"/>
              <w:start w:w="55" w:type="dxa"/>
              <w:bottom w:w="50" w:type="dxa"/>
              <w:end w:w="55" w:type="dxa"/>
            </w:tcMar>
          </w:tcPr>
          <w:p>
            <w:pPr>
              <w:spacing w:after="0"/>
              <w:jc w:val="center"/>
            </w:pPr>
            <w:r>
              <w:rPr>
                <w:rFonts w:ascii="Aptos" w:hAnsi="Aptos"/>
                <w:b/>
                <w:color w:val="FFFFFF"/>
                <w:sz w:val="14"/>
              </w:rPr>
              <w:t>How v5.0 Delivers It</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Regulatory defensibility</w:t>
            </w:r>
          </w:p>
        </w:tc>
        <w:tc>
          <w:tcPr>
            <w:tcW w:type="dxa" w:w="7200"/>
            <w:vAlign w:val="top"/>
            <w:tcMar>
              <w:top w:w="45" w:type="dxa"/>
              <w:start w:w="55" w:type="dxa"/>
              <w:bottom w:w="45" w:type="dxa"/>
              <w:end w:w="55" w:type="dxa"/>
            </w:tcMar>
          </w:tcPr>
          <w:p>
            <w:pPr>
              <w:spacing w:after="0" w:line="240" w:lineRule="auto"/>
            </w:pPr>
            <w:r>
              <w:rPr>
                <w:rFonts w:ascii="Aptos" w:hAnsi="Aptos"/>
                <w:sz w:val="14"/>
              </w:rPr>
              <w:t>Every critical decision, change, runtime action, model route, and remediation has owner, evidence, classification, and improvement path.</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Maintainable extensibility</w:t>
            </w:r>
          </w:p>
        </w:tc>
        <w:tc>
          <w:tcPr>
            <w:tcW w:type="dxa" w:w="7200"/>
            <w:vAlign w:val="top"/>
            <w:tcMar>
              <w:top w:w="45" w:type="dxa"/>
              <w:start w:w="55" w:type="dxa"/>
              <w:bottom w:w="45" w:type="dxa"/>
              <w:end w:w="55" w:type="dxa"/>
            </w:tcMar>
          </w:tcPr>
          <w:p>
            <w:pPr>
              <w:spacing w:after="0" w:line="240" w:lineRule="auto"/>
            </w:pPr>
            <w:r>
              <w:rPr>
                <w:rFonts w:ascii="Aptos" w:hAnsi="Aptos"/>
                <w:sz w:val="14"/>
              </w:rPr>
              <w:t>Business capabilities are isolated by bounded context, ports, adapters, contracts, MicroFunctions, and reusable platform concerns.</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Safe AI acceleration</w:t>
            </w:r>
          </w:p>
        </w:tc>
        <w:tc>
          <w:tcPr>
            <w:tcW w:type="dxa" w:w="7200"/>
            <w:vAlign w:val="top"/>
            <w:tcMar>
              <w:top w:w="45" w:type="dxa"/>
              <w:start w:w="55" w:type="dxa"/>
              <w:bottom w:w="45" w:type="dxa"/>
              <w:end w:w="55" w:type="dxa"/>
            </w:tcMar>
          </w:tcPr>
          <w:p>
            <w:pPr>
              <w:spacing w:after="0" w:line="240" w:lineRule="auto"/>
            </w:pPr>
            <w:r>
              <w:rPr>
                <w:rFonts w:ascii="Aptos" w:hAnsi="Aptos"/>
                <w:sz w:val="14"/>
              </w:rPr>
              <w:t>Hermes may reason and draft, but Harness, SBAC, OPA, guardrails, trust scoring, and humans govern execution.</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Reduced architecture entropy</w:t>
            </w:r>
          </w:p>
        </w:tc>
        <w:tc>
          <w:tcPr>
            <w:tcW w:type="dxa" w:w="7200"/>
            <w:vAlign w:val="top"/>
            <w:tcMar>
              <w:top w:w="45" w:type="dxa"/>
              <w:start w:w="55" w:type="dxa"/>
              <w:bottom w:w="45" w:type="dxa"/>
              <w:end w:w="55" w:type="dxa"/>
            </w:tcMar>
          </w:tcPr>
          <w:p>
            <w:pPr>
              <w:spacing w:after="0" w:line="240" w:lineRule="auto"/>
            </w:pPr>
            <w:r>
              <w:rPr>
                <w:rFonts w:ascii="Aptos" w:hAnsi="Aptos"/>
                <w:sz w:val="14"/>
              </w:rPr>
              <w:t>Architecture fitness functions detect boundary erosion, direct provider calls, contract drift, and uncontrolled dependencies.</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Operational resilience</w:t>
            </w:r>
          </w:p>
        </w:tc>
        <w:tc>
          <w:tcPr>
            <w:tcW w:type="dxa" w:w="7200"/>
            <w:vAlign w:val="top"/>
            <w:tcMar>
              <w:top w:w="45" w:type="dxa"/>
              <w:start w:w="55" w:type="dxa"/>
              <w:bottom w:w="45" w:type="dxa"/>
              <w:end w:w="55" w:type="dxa"/>
            </w:tcMar>
          </w:tcPr>
          <w:p>
            <w:pPr>
              <w:spacing w:after="0" w:line="240" w:lineRule="auto"/>
            </w:pPr>
            <w:r>
              <w:rPr>
                <w:rFonts w:ascii="Aptos" w:hAnsi="Aptos"/>
                <w:sz w:val="14"/>
              </w:rPr>
              <w:t>Idempotency, outbox, retries, circuit breakers, compensation, DLQ, and rollbackability are part of the design, not afterthoughts.</w:t>
            </w:r>
          </w:p>
        </w:tc>
      </w:tr>
    </w:tbl>
    <w:p/>
    <w:p>
      <w:pPr>
        <w:pStyle w:val="Heading1"/>
        <w:keepNext/>
        <w:spacing w:before="160" w:after="80"/>
      </w:pPr>
    </w:p>
    <w:p>
      <w:pPr>
        <w:spacing w:after="80" w:line="250" w:lineRule="auto"/>
      </w:pPr>
      <w:r>
        <w:rPr>
          <w:rFonts w:ascii="Aptos" w:hAnsi="Aptos"/>
          <w:sz w:val="18"/>
        </w:rPr>
        <w:t>This blueprint is the build-ready architecture authority for AIRA after the Consolidated Architecture authority, where such consolidated authority exists. It translates executive architecture decisions, AVCI quality rules, 01A design principles, and specialist standards into a coherent engineering specification.</w:t>
      </w:r>
    </w:p>
    <w:p>
      <w:pPr>
        <w:pStyle w:val="Heading2"/>
        <w:keepNext/>
        <w:spacing w:before="120" w:after="80"/>
      </w:pPr>
    </w:p>
    <w:p>
      <w:pPr>
        <w:pStyle w:val="ListBullet"/>
        <w:spacing w:after="40"/>
        <w:ind w:left="259"/>
      </w:pPr>
      <w:r>
        <w:rPr>
          <w:rFonts w:ascii="Aptos" w:hAnsi="Aptos"/>
          <w:sz w:val="17"/>
        </w:rPr>
        <w:t>AIRA service boundaries, deployment units, logical layers, data and knowledge architecture, workflow partition, AI orchestration, safety controls, and agent execution boundaries.</w:t>
      </w:r>
    </w:p>
    <w:p>
      <w:pPr>
        <w:pStyle w:val="ListBullet"/>
        <w:spacing w:after="40"/>
        <w:ind w:left="259"/>
      </w:pPr>
      <w:r>
        <w:rPr>
          <w:rFonts w:ascii="Aptos" w:hAnsi="Aptos"/>
          <w:sz w:val="17"/>
        </w:rPr>
        <w:t>MicroFunction runtime architecture, standard step sequencing, configuration-driven assembly, error handling, compensation, audit, and runtime evidence.</w:t>
      </w:r>
    </w:p>
    <w:p>
      <w:pPr>
        <w:pStyle w:val="ListBullet"/>
        <w:spacing w:after="40"/>
        <w:ind w:left="259"/>
      </w:pPr>
      <w:r>
        <w:rPr>
          <w:rFonts w:ascii="Aptos" w:hAnsi="Aptos"/>
          <w:sz w:val="17"/>
        </w:rPr>
        <w:t>Architecture governance for Auto-Heal, Auto-Learn, Auto-Improve, controlled AutoResearch, and AI-assisted development.</w:t>
      </w:r>
    </w:p>
    <w:p>
      <w:pPr>
        <w:pStyle w:val="ListBullet"/>
        <w:spacing w:after="40"/>
        <w:ind w:left="259"/>
      </w:pPr>
      <w:r>
        <w:rPr>
          <w:rFonts w:ascii="Aptos" w:hAnsi="Aptos"/>
          <w:sz w:val="17"/>
        </w:rPr>
        <w:t>Architecture fitness functions, evidence requirements, release gates, and developer working rules necessary to preserve the target architecture.</w:t>
      </w:r>
    </w:p>
    <w:p>
      <w:pPr>
        <w:pStyle w:val="Heading2"/>
        <w:keepNext/>
        <w:spacing w:before="120" w:after="80"/>
      </w:pPr>
    </w:p>
    <w:p>
      <w:pPr>
        <w:pStyle w:val="ListBullet"/>
        <w:spacing w:after="40"/>
        <w:ind w:left="259"/>
      </w:pPr>
      <w:r>
        <w:rPr>
          <w:rFonts w:ascii="Aptos" w:hAnsi="Aptos"/>
          <w:sz w:val="17"/>
        </w:rPr>
        <w:t>Detailed syntax-level coding standards, which belong to the Developer Guide and CLAUDE.md hierarchy.</w:t>
      </w:r>
    </w:p>
    <w:p>
      <w:pPr>
        <w:pStyle w:val="ListBullet"/>
        <w:spacing w:after="40"/>
        <w:ind w:left="259"/>
      </w:pPr>
      <w:r>
        <w:rPr>
          <w:rFonts w:ascii="Aptos" w:hAnsi="Aptos"/>
          <w:sz w:val="17"/>
        </w:rPr>
        <w:t>Exact product patch versions, which belong to the Technology Stack and Golden Source repositories.</w:t>
      </w:r>
    </w:p>
    <w:p>
      <w:pPr>
        <w:pStyle w:val="ListBullet"/>
        <w:spacing w:after="40"/>
        <w:ind w:left="259"/>
      </w:pPr>
      <w:r>
        <w:rPr>
          <w:rFonts w:ascii="Aptos" w:hAnsi="Aptos"/>
          <w:sz w:val="17"/>
        </w:rPr>
        <w:t>Detailed human resource policy, procurement policy, and enterprise legal terms except where they affect architecture and control evidence.</w:t>
      </w:r>
    </w:p>
    <w:p>
      <w:pPr>
        <w:pStyle w:val="Heading2"/>
        <w:keepNext/>
        <w:spacing w:before="12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007"/>
            <w:shd w:fill="1F4E79"/>
            <w:tcMar>
              <w:top w:w="50" w:type="dxa"/>
              <w:start w:w="55" w:type="dxa"/>
              <w:bottom w:w="50" w:type="dxa"/>
              <w:end w:w="55" w:type="dxa"/>
            </w:tcMar>
          </w:tcPr>
          <w:p>
            <w:pPr>
              <w:spacing w:after="0"/>
              <w:jc w:val="center"/>
            </w:pPr>
            <w:r>
              <w:rPr>
                <w:rFonts w:ascii="Aptos" w:hAnsi="Aptos"/>
                <w:b/>
                <w:color w:val="FFFFFF"/>
                <w:sz w:val="14"/>
              </w:rPr>
              <w:t>Level</w:t>
            </w:r>
          </w:p>
        </w:tc>
        <w:tc>
          <w:tcPr>
            <w:tcW w:type="dxa" w:w="3888"/>
            <w:shd w:fill="1F4E79"/>
            <w:tcMar>
              <w:top w:w="50" w:type="dxa"/>
              <w:start w:w="55" w:type="dxa"/>
              <w:bottom w:w="50" w:type="dxa"/>
              <w:end w:w="55" w:type="dxa"/>
            </w:tcMar>
          </w:tcPr>
          <w:p>
            <w:pPr>
              <w:spacing w:after="0"/>
              <w:jc w:val="center"/>
            </w:pPr>
            <w:r>
              <w:rPr>
                <w:rFonts w:ascii="Aptos" w:hAnsi="Aptos"/>
                <w:b/>
                <w:color w:val="FFFFFF"/>
                <w:sz w:val="14"/>
              </w:rPr>
              <w:t>Document / Control</w:t>
            </w:r>
          </w:p>
        </w:tc>
        <w:tc>
          <w:tcPr>
            <w:tcW w:type="dxa" w:w="5184"/>
            <w:shd w:fill="1F4E79"/>
            <w:tcMar>
              <w:top w:w="50" w:type="dxa"/>
              <w:start w:w="55" w:type="dxa"/>
              <w:bottom w:w="50" w:type="dxa"/>
              <w:end w:w="55" w:type="dxa"/>
            </w:tcMar>
          </w:tcPr>
          <w:p>
            <w:pPr>
              <w:spacing w:after="0"/>
              <w:jc w:val="center"/>
            </w:pPr>
            <w:r>
              <w:rPr>
                <w:rFonts w:ascii="Aptos" w:hAnsi="Aptos"/>
                <w:b/>
                <w:color w:val="FFFFFF"/>
                <w:sz w:val="14"/>
              </w:rPr>
              <w:t>Architecture Role</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4"/>
              </w:rPr>
              <w:t>L0</w:t>
            </w:r>
          </w:p>
        </w:tc>
        <w:tc>
          <w:tcPr>
            <w:tcW w:type="dxa" w:w="3888"/>
            <w:vAlign w:val="top"/>
            <w:tcMar>
              <w:top w:w="45" w:type="dxa"/>
              <w:start w:w="55" w:type="dxa"/>
              <w:bottom w:w="45" w:type="dxa"/>
              <w:end w:w="55" w:type="dxa"/>
            </w:tcMar>
          </w:tcPr>
          <w:p>
            <w:pPr>
              <w:spacing w:after="0" w:line="240" w:lineRule="auto"/>
            </w:pPr>
            <w:r>
              <w:rPr>
                <w:rFonts w:ascii="Aptos" w:hAnsi="Aptos"/>
                <w:sz w:val="14"/>
              </w:rPr>
              <w:t>Consolidated Architecture Blueprint / Architecture Board</w:t>
            </w:r>
          </w:p>
        </w:tc>
        <w:tc>
          <w:tcPr>
            <w:tcW w:type="dxa" w:w="5184"/>
            <w:vAlign w:val="top"/>
            <w:tcMar>
              <w:top w:w="45" w:type="dxa"/>
              <w:start w:w="55" w:type="dxa"/>
              <w:bottom w:w="45" w:type="dxa"/>
              <w:end w:w="55" w:type="dxa"/>
            </w:tcMar>
          </w:tcPr>
          <w:p>
            <w:pPr>
              <w:spacing w:after="0" w:line="240" w:lineRule="auto"/>
            </w:pPr>
            <w:r>
              <w:rPr>
                <w:rFonts w:ascii="Aptos" w:hAnsi="Aptos"/>
                <w:sz w:val="14"/>
              </w:rPr>
              <w:t>Highest authority for end-to-end architecture and major conflicts.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4"/>
              </w:rPr>
              <w:t>L1</w:t>
            </w:r>
          </w:p>
        </w:tc>
        <w:tc>
          <w:tcPr>
            <w:tcW w:type="dxa" w:w="3888"/>
            <w:vAlign w:val="top"/>
            <w:tcMar>
              <w:top w:w="45" w:type="dxa"/>
              <w:start w:w="55" w:type="dxa"/>
              <w:bottom w:w="45" w:type="dxa"/>
              <w:end w:w="55" w:type="dxa"/>
            </w:tcMar>
          </w:tcPr>
          <w:p>
            <w:pPr>
              <w:spacing w:after="0" w:line="240" w:lineRule="auto"/>
            </w:pPr>
            <w:r>
              <w:rPr>
                <w:rFonts w:ascii="Aptos" w:hAnsi="Aptos"/>
                <w:sz w:val="14"/>
              </w:rPr>
              <w:t>02-AIRA Engineering Blueprint v5.0</w:t>
            </w:r>
          </w:p>
        </w:tc>
        <w:tc>
          <w:tcPr>
            <w:tcW w:type="dxa" w:w="5184"/>
            <w:vAlign w:val="top"/>
            <w:tcMar>
              <w:top w:w="45" w:type="dxa"/>
              <w:start w:w="55" w:type="dxa"/>
              <w:bottom w:w="45" w:type="dxa"/>
              <w:end w:w="55" w:type="dxa"/>
            </w:tcMar>
          </w:tcPr>
          <w:p>
            <w:pPr>
              <w:spacing w:after="0" w:line="240" w:lineRule="auto"/>
            </w:pPr>
            <w:r>
              <w:rPr>
                <w:rFonts w:ascii="Aptos" w:hAnsi="Aptos"/>
                <w:sz w:val="14"/>
              </w:rPr>
              <w:t>Build-ready system specification: boundaries, flows, architecture controls, and evidence model.</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4"/>
              </w:rPr>
              <w:t>L1</w:t>
            </w:r>
          </w:p>
        </w:tc>
        <w:tc>
          <w:tcPr>
            <w:tcW w:type="dxa" w:w="3888"/>
            <w:vAlign w:val="top"/>
            <w:tcMar>
              <w:top w:w="45" w:type="dxa"/>
              <w:start w:w="55" w:type="dxa"/>
              <w:bottom w:w="45" w:type="dxa"/>
              <w:end w:w="55" w:type="dxa"/>
            </w:tcMar>
          </w:tcPr>
          <w:p>
            <w:pPr>
              <w:spacing w:after="0" w:line="240" w:lineRule="auto"/>
            </w:pPr>
            <w:r>
              <w:rPr>
                <w:rFonts w:ascii="Aptos" w:hAnsi="Aptos"/>
                <w:sz w:val="14"/>
              </w:rPr>
              <w:t>11-AIRA AI-Native DevSecOps Standard</w:t>
            </w:r>
          </w:p>
        </w:tc>
        <w:tc>
          <w:tcPr>
            <w:tcW w:type="dxa" w:w="5184"/>
            <w:vAlign w:val="top"/>
            <w:tcMar>
              <w:top w:w="45" w:type="dxa"/>
              <w:start w:w="55" w:type="dxa"/>
              <w:bottom w:w="45" w:type="dxa"/>
              <w:end w:w="55" w:type="dxa"/>
            </w:tcMar>
          </w:tcPr>
          <w:p>
            <w:pPr>
              <w:spacing w:after="0" w:line="240" w:lineRule="auto"/>
            </w:pPr>
            <w:r>
              <w:rPr>
                <w:rFonts w:ascii="Aptos" w:hAnsi="Aptos"/>
                <w:sz w:val="14"/>
              </w:rPr>
              <w:t>Operating lifecycle, CI/CD gates, promotion discipline, and AI-assisted engineering procedures.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4"/>
              </w:rPr>
              <w:t>L2</w:t>
            </w:r>
          </w:p>
        </w:tc>
        <w:tc>
          <w:tcPr>
            <w:tcW w:type="dxa" w:w="3888"/>
            <w:vAlign w:val="top"/>
            <w:tcMar>
              <w:top w:w="45" w:type="dxa"/>
              <w:start w:w="55" w:type="dxa"/>
              <w:bottom w:w="45" w:type="dxa"/>
              <w:end w:w="55" w:type="dxa"/>
            </w:tcMar>
          </w:tcPr>
          <w:p>
            <w:pPr>
              <w:spacing w:after="0" w:line="240" w:lineRule="auto"/>
            </w:pPr>
            <w:r>
              <w:rPr>
                <w:rFonts w:ascii="Aptos" w:hAnsi="Aptos"/>
                <w:sz w:val="14"/>
              </w:rPr>
              <w:t>01-AIRA AVCI Engineering Standard v3.0</w:t>
            </w:r>
          </w:p>
        </w:tc>
        <w:tc>
          <w:tcPr>
            <w:tcW w:type="dxa" w:w="5184"/>
            <w:vAlign w:val="top"/>
            <w:tcMar>
              <w:top w:w="45" w:type="dxa"/>
              <w:start w:w="55" w:type="dxa"/>
              <w:bottom w:w="45" w:type="dxa"/>
              <w:end w:w="55" w:type="dxa"/>
            </w:tcMar>
          </w:tcPr>
          <w:p>
            <w:pPr>
              <w:spacing w:after="0" w:line="240" w:lineRule="auto"/>
            </w:pPr>
            <w:r>
              <w:rPr>
                <w:rFonts w:ascii="Aptos" w:hAnsi="Aptos"/>
                <w:sz w:val="14"/>
              </w:rPr>
              <w:t>Universal artifact quality, evidence, classification, and improvement discipline.</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4"/>
              </w:rPr>
              <w:t>L2</w:t>
            </w:r>
          </w:p>
        </w:tc>
        <w:tc>
          <w:tcPr>
            <w:tcW w:type="dxa" w:w="3888"/>
            <w:vAlign w:val="top"/>
            <w:tcMar>
              <w:top w:w="45" w:type="dxa"/>
              <w:start w:w="55" w:type="dxa"/>
              <w:bottom w:w="45" w:type="dxa"/>
              <w:end w:w="55" w:type="dxa"/>
            </w:tcMar>
          </w:tcPr>
          <w:p>
            <w:pPr>
              <w:spacing w:after="0" w:line="240" w:lineRule="auto"/>
            </w:pPr>
            <w:r>
              <w:rPr>
                <w:rFonts w:ascii="Aptos" w:hAnsi="Aptos"/>
                <w:sz w:val="14"/>
              </w:rPr>
              <w:t>01A Enterprise Design Principles and SOLID Enforcement Layer</w:t>
            </w:r>
          </w:p>
        </w:tc>
        <w:tc>
          <w:tcPr>
            <w:tcW w:type="dxa" w:w="5184"/>
            <w:vAlign w:val="top"/>
            <w:tcMar>
              <w:top w:w="45" w:type="dxa"/>
              <w:start w:w="55" w:type="dxa"/>
              <w:bottom w:w="45" w:type="dxa"/>
              <w:end w:w="55" w:type="dxa"/>
            </w:tcMar>
          </w:tcPr>
          <w:p>
            <w:pPr>
              <w:spacing w:after="0" w:line="240" w:lineRule="auto"/>
            </w:pPr>
            <w:r>
              <w:rPr>
                <w:rFonts w:ascii="Aptos" w:hAnsi="Aptos"/>
                <w:sz w:val="14"/>
              </w:rPr>
              <w:t>Canonical definition and evidence expectations for the 20 enterprise design principles.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4"/>
              </w:rPr>
              <w:t>L3</w:t>
            </w:r>
          </w:p>
        </w:tc>
        <w:tc>
          <w:tcPr>
            <w:tcW w:type="dxa" w:w="3888"/>
            <w:vAlign w:val="top"/>
            <w:tcMar>
              <w:top w:w="45" w:type="dxa"/>
              <w:start w:w="55" w:type="dxa"/>
              <w:bottom w:w="45" w:type="dxa"/>
              <w:end w:w="55" w:type="dxa"/>
            </w:tcMar>
          </w:tcPr>
          <w:p>
            <w:pPr>
              <w:spacing w:after="0" w:line="240" w:lineRule="auto"/>
            </w:pPr>
            <w:r>
              <w:rPr>
                <w:rFonts w:ascii="Aptos" w:hAnsi="Aptos"/>
                <w:sz w:val="14"/>
              </w:rPr>
              <w:t>Developer Guide, Technology Stack, Information Nervous System, CLAUDE.md, Unit Testing, MicroFunction, API, Database, Security standards</w:t>
            </w:r>
          </w:p>
        </w:tc>
        <w:tc>
          <w:tcPr>
            <w:tcW w:type="dxa" w:w="5184"/>
            <w:vAlign w:val="top"/>
            <w:tcMar>
              <w:top w:w="45" w:type="dxa"/>
              <w:start w:w="55" w:type="dxa"/>
              <w:bottom w:w="45" w:type="dxa"/>
              <w:end w:w="55" w:type="dxa"/>
            </w:tcMar>
          </w:tcPr>
          <w:p>
            <w:pPr>
              <w:spacing w:after="0" w:line="240" w:lineRule="auto"/>
            </w:pPr>
            <w:r>
              <w:rPr>
                <w:rFonts w:ascii="Aptos" w:hAnsi="Aptos"/>
                <w:sz w:val="14"/>
              </w:rPr>
              <w:t>Specialist implementation and enforcement details.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4"/>
              </w:rPr>
              <w:t>L4</w:t>
            </w:r>
          </w:p>
        </w:tc>
        <w:tc>
          <w:tcPr>
            <w:tcW w:type="dxa" w:w="3888"/>
            <w:vAlign w:val="top"/>
            <w:tcMar>
              <w:top w:w="45" w:type="dxa"/>
              <w:start w:w="55" w:type="dxa"/>
              <w:bottom w:w="45" w:type="dxa"/>
              <w:end w:w="55" w:type="dxa"/>
            </w:tcMar>
          </w:tcPr>
          <w:p>
            <w:pPr>
              <w:spacing w:after="0" w:line="240" w:lineRule="auto"/>
            </w:pPr>
            <w:r>
              <w:rPr>
                <w:rFonts w:ascii="Aptos" w:hAnsi="Aptos"/>
                <w:sz w:val="14"/>
              </w:rPr>
              <w:t>ADRs, TDLs, tickets, PRs/MRs, runbooks, evidence packs</w:t>
            </w:r>
          </w:p>
        </w:tc>
        <w:tc>
          <w:tcPr>
            <w:tcW w:type="dxa" w:w="5184"/>
            <w:vAlign w:val="top"/>
            <w:tcMar>
              <w:top w:w="45" w:type="dxa"/>
              <w:start w:w="55" w:type="dxa"/>
              <w:bottom w:w="45" w:type="dxa"/>
              <w:end w:w="55" w:type="dxa"/>
            </w:tcMar>
          </w:tcPr>
          <w:p>
            <w:pPr>
              <w:spacing w:after="0" w:line="240" w:lineRule="auto"/>
            </w:pPr>
            <w:r>
              <w:rPr>
                <w:rFonts w:ascii="Aptos" w:hAnsi="Aptos"/>
                <w:sz w:val="14"/>
              </w:rPr>
              <w:t>Implementation-specific decisions, work evidence, and controlled deviations.</w:t>
            </w:r>
          </w:p>
        </w:tc>
      </w:tr>
    </w:tbl>
    <w:p/>
    <w:tbl>
      <w:tblPr>
        <w:tblStyle w:val="TableGrid"/>
        <w:tblW w:type="auto" w:w="0"/>
        <w:jc w:val="center"/>
        <w:tblLook w:firstColumn="1" w:firstRow="1" w:lastColumn="0" w:lastRow="0" w:noHBand="0" w:noVBand="1" w:val="04A0"/>
      </w:tblPr>
      <w:tblGrid>
        <w:gridCol w:w="10454"/>
      </w:tblGrid>
      <w:tr>
        <w:tc>
          <w:tcPr>
            <w:tcW w:type="dxa" w:w="10454"/>
            <w:shd w:fill="FFF2CC"/>
            <w:tcMar>
              <w:top w:w="145" w:type="dxa"/>
              <w:start w:w="160" w:type="dxa"/>
              <w:bottom w:w="145" w:type="dxa"/>
              <w:end w:w="160" w:type="dxa"/>
            </w:tcMar>
          </w:tcPr>
          <w:p>
            <w:pPr>
              <w:spacing w:after="60"/>
            </w:pPr>
            <w:r>
              <w:rPr>
                <w:rFonts w:ascii="Aptos" w:hAnsi="Aptos"/>
                <w:b/>
                <w:color w:val="9A7D0A"/>
                <w:sz w:val="18"/>
              </w:rPr>
              <w:t>Conflict Resolution Rule</w:t>
            </w:r>
          </w:p>
          <w:p>
            <w:pPr>
              <w:spacing w:after="0"/>
            </w:pPr>
            <w:r>
              <w:rPr>
                <w:rFonts w:ascii="Aptos" w:hAnsi="Aptos"/>
                <w:sz w:val="17"/>
              </w:rPr>
              <w:t>Where this blueprint conflicts with a higher architecture authority, the higher authority governs and this blueprint is corrected through change control. Where a specialist document conflicts with this blueprint on service boundary, model route, workflow partition, or architecture invariant, this blueprint governs unless explicitly superseded by ADR.</w:t>
            </w:r>
          </w:p>
        </w:tc>
      </w:tr>
    </w:tbl>
    <w:p/>
    <w:p>
      <w:pPr>
        <w:pStyle w:val="Heading1"/>
        <w:keepNext/>
        <w:spacing w:before="160" w:after="80"/>
      </w:pPr>
    </w:p>
    <w:p>
      <w:pPr>
        <w:spacing w:after="80" w:line="250" w:lineRule="auto"/>
      </w:pPr>
      <w:r>
        <w:rPr>
          <w:rFonts w:ascii="Aptos" w:hAnsi="Aptos"/>
          <w:sz w:val="18"/>
        </w:rPr>
        <w:t>The principles below are architecture invariants for AIRA. They are not optional recommendations. A design, implementation, pipeline, prompt, guardrail, workflow, model route, MicroFunction, or AI-assisted remediation that violates these principles must be rejected, remediated, or covered by an approved time-bounded exception.</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1007"/>
            <w:shd w:fill="1F4E79"/>
            <w:tcMar>
              <w:top w:w="50" w:type="dxa"/>
              <w:start w:w="55" w:type="dxa"/>
              <w:bottom w:w="50" w:type="dxa"/>
              <w:end w:w="55" w:type="dxa"/>
            </w:tcMar>
          </w:tcPr>
          <w:p>
            <w:pPr>
              <w:spacing w:after="0"/>
              <w:jc w:val="center"/>
            </w:pPr>
            <w:r>
              <w:rPr>
                <w:rFonts w:ascii="Aptos" w:hAnsi="Aptos"/>
                <w:b/>
                <w:color w:val="FFFFFF"/>
                <w:sz w:val="11"/>
              </w:rPr>
              <w:t>ID</w:t>
            </w:r>
          </w:p>
        </w:tc>
        <w:tc>
          <w:tcPr>
            <w:tcW w:type="dxa" w:w="1944"/>
            <w:shd w:fill="1F4E79"/>
            <w:tcMar>
              <w:top w:w="50" w:type="dxa"/>
              <w:start w:w="55" w:type="dxa"/>
              <w:bottom w:w="50" w:type="dxa"/>
              <w:end w:w="55" w:type="dxa"/>
            </w:tcMar>
          </w:tcPr>
          <w:p>
            <w:pPr>
              <w:spacing w:after="0"/>
              <w:jc w:val="center"/>
            </w:pPr>
            <w:r>
              <w:rPr>
                <w:rFonts w:ascii="Aptos" w:hAnsi="Aptos"/>
                <w:b/>
                <w:color w:val="FFFFFF"/>
                <w:sz w:val="11"/>
              </w:rPr>
              <w:t>Principle</w:t>
            </w:r>
          </w:p>
        </w:tc>
        <w:tc>
          <w:tcPr>
            <w:tcW w:type="dxa" w:w="4464"/>
            <w:shd w:fill="1F4E79"/>
            <w:tcMar>
              <w:top w:w="50" w:type="dxa"/>
              <w:start w:w="55" w:type="dxa"/>
              <w:bottom w:w="50" w:type="dxa"/>
              <w:end w:w="55" w:type="dxa"/>
            </w:tcMar>
          </w:tcPr>
          <w:p>
            <w:pPr>
              <w:spacing w:after="0"/>
              <w:jc w:val="center"/>
            </w:pPr>
            <w:r>
              <w:rPr>
                <w:rFonts w:ascii="Aptos" w:hAnsi="Aptos"/>
                <w:b/>
                <w:color w:val="FFFFFF"/>
                <w:sz w:val="11"/>
              </w:rPr>
              <w:t>Architecture Meaning</w:t>
            </w:r>
          </w:p>
        </w:tc>
        <w:tc>
          <w:tcPr>
            <w:tcW w:type="dxa" w:w="2664"/>
            <w:shd w:fill="1F4E79"/>
            <w:tcMar>
              <w:top w:w="50" w:type="dxa"/>
              <w:start w:w="55" w:type="dxa"/>
              <w:bottom w:w="50" w:type="dxa"/>
              <w:end w:w="55" w:type="dxa"/>
            </w:tcMar>
          </w:tcPr>
          <w:p>
            <w:pPr>
              <w:spacing w:after="0"/>
              <w:jc w:val="center"/>
            </w:pPr>
            <w:r>
              <w:rPr>
                <w:rFonts w:ascii="Aptos" w:hAnsi="Aptos"/>
                <w:b/>
                <w:color w:val="FFFFFF"/>
                <w:sz w:val="11"/>
              </w:rPr>
              <w:t>Primary Enforcement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EDP-01</w:t>
            </w:r>
          </w:p>
        </w:tc>
        <w:tc>
          <w:tcPr>
            <w:tcW w:type="dxa" w:w="1944"/>
            <w:vAlign w:val="top"/>
            <w:tcMar>
              <w:top w:w="45" w:type="dxa"/>
              <w:start w:w="55" w:type="dxa"/>
              <w:bottom w:w="45" w:type="dxa"/>
              <w:end w:w="55" w:type="dxa"/>
            </w:tcMar>
          </w:tcPr>
          <w:p>
            <w:pPr>
              <w:spacing w:after="0" w:line="240" w:lineRule="auto"/>
            </w:pPr>
            <w:r>
              <w:rPr>
                <w:rFonts w:ascii="Aptos" w:hAnsi="Aptos"/>
                <w:sz w:val="11"/>
              </w:rPr>
              <w:t>SOLID</w:t>
            </w:r>
          </w:p>
        </w:tc>
        <w:tc>
          <w:tcPr>
            <w:tcW w:type="dxa" w:w="4464"/>
            <w:vAlign w:val="top"/>
            <w:tcMar>
              <w:top w:w="45" w:type="dxa"/>
              <w:start w:w="55" w:type="dxa"/>
              <w:bottom w:w="45" w:type="dxa"/>
              <w:end w:w="55" w:type="dxa"/>
            </w:tcMar>
          </w:tcPr>
          <w:p>
            <w:pPr>
              <w:spacing w:after="0" w:line="240" w:lineRule="auto"/>
            </w:pPr>
            <w:r>
              <w:rPr>
                <w:rFonts w:ascii="Aptos" w:hAnsi="Aptos"/>
                <w:sz w:val="11"/>
              </w:rPr>
              <w:t>Every component has one reason to change, stable abstractions, substitutable implementations, narrow interfaces, and dependency inversion.</w:t>
            </w:r>
          </w:p>
        </w:tc>
        <w:tc>
          <w:tcPr>
            <w:tcW w:type="dxa" w:w="2664"/>
            <w:vAlign w:val="top"/>
            <w:tcMar>
              <w:top w:w="45" w:type="dxa"/>
              <w:start w:w="55" w:type="dxa"/>
              <w:bottom w:w="45" w:type="dxa"/>
              <w:end w:w="55" w:type="dxa"/>
            </w:tcMar>
          </w:tcPr>
          <w:p>
            <w:pPr>
              <w:spacing w:after="0" w:line="240" w:lineRule="auto"/>
            </w:pPr>
            <w:r>
              <w:rPr>
                <w:rFonts w:ascii="Aptos" w:hAnsi="Aptos"/>
                <w:sz w:val="11"/>
              </w:rPr>
              <w:t>ArchUnit, code review, Sonar, package boundary checks, PR checklist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EDP-02</w:t>
            </w:r>
          </w:p>
        </w:tc>
        <w:tc>
          <w:tcPr>
            <w:tcW w:type="dxa" w:w="1944"/>
            <w:vAlign w:val="top"/>
            <w:tcMar>
              <w:top w:w="45" w:type="dxa"/>
              <w:start w:w="55" w:type="dxa"/>
              <w:bottom w:w="45" w:type="dxa"/>
              <w:end w:w="55" w:type="dxa"/>
            </w:tcMar>
          </w:tcPr>
          <w:p>
            <w:pPr>
              <w:spacing w:after="0" w:line="240" w:lineRule="auto"/>
            </w:pPr>
            <w:r>
              <w:rPr>
                <w:rFonts w:ascii="Aptos" w:hAnsi="Aptos"/>
                <w:sz w:val="11"/>
              </w:rPr>
              <w:t>Clean Architecture</w:t>
            </w:r>
          </w:p>
        </w:tc>
        <w:tc>
          <w:tcPr>
            <w:tcW w:type="dxa" w:w="4464"/>
            <w:vAlign w:val="top"/>
            <w:tcMar>
              <w:top w:w="45" w:type="dxa"/>
              <w:start w:w="55" w:type="dxa"/>
              <w:bottom w:w="45" w:type="dxa"/>
              <w:end w:w="55" w:type="dxa"/>
            </w:tcMar>
          </w:tcPr>
          <w:p>
            <w:pPr>
              <w:spacing w:after="0" w:line="240" w:lineRule="auto"/>
            </w:pPr>
            <w:r>
              <w:rPr>
                <w:rFonts w:ascii="Aptos" w:hAnsi="Aptos"/>
                <w:sz w:val="11"/>
              </w:rPr>
              <w:t>Domain logic remains independent from frameworks, UI, persistence, model providers, and infrastructure adapters.</w:t>
            </w:r>
          </w:p>
        </w:tc>
        <w:tc>
          <w:tcPr>
            <w:tcW w:type="dxa" w:w="2664"/>
            <w:vAlign w:val="top"/>
            <w:tcMar>
              <w:top w:w="45" w:type="dxa"/>
              <w:start w:w="55" w:type="dxa"/>
              <w:bottom w:w="45" w:type="dxa"/>
              <w:end w:w="55" w:type="dxa"/>
            </w:tcMar>
          </w:tcPr>
          <w:p>
            <w:pPr>
              <w:spacing w:after="0" w:line="240" w:lineRule="auto"/>
            </w:pPr>
            <w:r>
              <w:rPr>
                <w:rFonts w:ascii="Aptos" w:hAnsi="Aptos"/>
                <w:sz w:val="11"/>
              </w:rPr>
              <w:t>Layer rules, package rules, dependency graph checks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EDP-03</w:t>
            </w:r>
          </w:p>
        </w:tc>
        <w:tc>
          <w:tcPr>
            <w:tcW w:type="dxa" w:w="1944"/>
            <w:vAlign w:val="top"/>
            <w:tcMar>
              <w:top w:w="45" w:type="dxa"/>
              <w:start w:w="55" w:type="dxa"/>
              <w:bottom w:w="45" w:type="dxa"/>
              <w:end w:w="55" w:type="dxa"/>
            </w:tcMar>
          </w:tcPr>
          <w:p>
            <w:pPr>
              <w:spacing w:after="0" w:line="240" w:lineRule="auto"/>
            </w:pPr>
            <w:r>
              <w:rPr>
                <w:rFonts w:ascii="Aptos" w:hAnsi="Aptos"/>
                <w:sz w:val="11"/>
              </w:rPr>
              <w:t>DDD / Bounded Contexts</w:t>
            </w:r>
          </w:p>
        </w:tc>
        <w:tc>
          <w:tcPr>
            <w:tcW w:type="dxa" w:w="4464"/>
            <w:vAlign w:val="top"/>
            <w:tcMar>
              <w:top w:w="45" w:type="dxa"/>
              <w:start w:w="55" w:type="dxa"/>
              <w:bottom w:w="45" w:type="dxa"/>
              <w:end w:w="55" w:type="dxa"/>
            </w:tcMar>
          </w:tcPr>
          <w:p>
            <w:pPr>
              <w:spacing w:after="0" w:line="240" w:lineRule="auto"/>
            </w:pPr>
            <w:r>
              <w:rPr>
                <w:rFonts w:ascii="Aptos" w:hAnsi="Aptos"/>
                <w:sz w:val="11"/>
              </w:rPr>
              <w:t>Domain ownership, vocabulary, schema, events, and APIs are owned by explicit bounded contexts.</w:t>
            </w:r>
          </w:p>
        </w:tc>
        <w:tc>
          <w:tcPr>
            <w:tcW w:type="dxa" w:w="2664"/>
            <w:vAlign w:val="top"/>
            <w:tcMar>
              <w:top w:w="45" w:type="dxa"/>
              <w:start w:w="55" w:type="dxa"/>
              <w:bottom w:w="45" w:type="dxa"/>
              <w:end w:w="55" w:type="dxa"/>
            </w:tcMar>
          </w:tcPr>
          <w:p>
            <w:pPr>
              <w:spacing w:after="0" w:line="240" w:lineRule="auto"/>
            </w:pPr>
            <w:r>
              <w:rPr>
                <w:rFonts w:ascii="Aptos" w:hAnsi="Aptos"/>
                <w:sz w:val="11"/>
              </w:rPr>
              <w:t>Context map, CODEOWNERS, schema ownership, contract registry</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EDP-04</w:t>
            </w:r>
          </w:p>
        </w:tc>
        <w:tc>
          <w:tcPr>
            <w:tcW w:type="dxa" w:w="1944"/>
            <w:vAlign w:val="top"/>
            <w:tcMar>
              <w:top w:w="45" w:type="dxa"/>
              <w:start w:w="55" w:type="dxa"/>
              <w:bottom w:w="45" w:type="dxa"/>
              <w:end w:w="55" w:type="dxa"/>
            </w:tcMar>
          </w:tcPr>
          <w:p>
            <w:pPr>
              <w:spacing w:after="0" w:line="240" w:lineRule="auto"/>
            </w:pPr>
            <w:r>
              <w:rPr>
                <w:rFonts w:ascii="Aptos" w:hAnsi="Aptos"/>
                <w:sz w:val="11"/>
              </w:rPr>
              <w:t>Ports and Adapters</w:t>
            </w:r>
          </w:p>
        </w:tc>
        <w:tc>
          <w:tcPr>
            <w:tcW w:type="dxa" w:w="4464"/>
            <w:vAlign w:val="top"/>
            <w:tcMar>
              <w:top w:w="45" w:type="dxa"/>
              <w:start w:w="55" w:type="dxa"/>
              <w:bottom w:w="45" w:type="dxa"/>
              <w:end w:w="55" w:type="dxa"/>
            </w:tcMar>
          </w:tcPr>
          <w:p>
            <w:pPr>
              <w:spacing w:after="0" w:line="240" w:lineRule="auto"/>
            </w:pPr>
            <w:r>
              <w:rPr>
                <w:rFonts w:ascii="Aptos" w:hAnsi="Aptos"/>
                <w:sz w:val="11"/>
              </w:rPr>
              <w:t>Inbound and outbound dependencies pass through explicit ports; external systems remain adapters.</w:t>
            </w:r>
          </w:p>
        </w:tc>
        <w:tc>
          <w:tcPr>
            <w:tcW w:type="dxa" w:w="2664"/>
            <w:vAlign w:val="top"/>
            <w:tcMar>
              <w:top w:w="45" w:type="dxa"/>
              <w:start w:w="55" w:type="dxa"/>
              <w:bottom w:w="45" w:type="dxa"/>
              <w:end w:w="55" w:type="dxa"/>
            </w:tcMar>
          </w:tcPr>
          <w:p>
            <w:pPr>
              <w:spacing w:after="0" w:line="240" w:lineRule="auto"/>
            </w:pPr>
            <w:r>
              <w:rPr>
                <w:rFonts w:ascii="Aptos" w:hAnsi="Aptos"/>
                <w:sz w:val="11"/>
              </w:rPr>
              <w:t>Interface ownership, adapter tests, import bans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EDP-05</w:t>
            </w:r>
          </w:p>
        </w:tc>
        <w:tc>
          <w:tcPr>
            <w:tcW w:type="dxa" w:w="1944"/>
            <w:vAlign w:val="top"/>
            <w:tcMar>
              <w:top w:w="45" w:type="dxa"/>
              <w:start w:w="55" w:type="dxa"/>
              <w:bottom w:w="45" w:type="dxa"/>
              <w:end w:w="55" w:type="dxa"/>
            </w:tcMar>
          </w:tcPr>
          <w:p>
            <w:pPr>
              <w:spacing w:after="0" w:line="240" w:lineRule="auto"/>
            </w:pPr>
            <w:r>
              <w:rPr>
                <w:rFonts w:ascii="Aptos" w:hAnsi="Aptos"/>
                <w:sz w:val="11"/>
              </w:rPr>
              <w:t>DRY, KISS, YAGNI</w:t>
            </w:r>
          </w:p>
        </w:tc>
        <w:tc>
          <w:tcPr>
            <w:tcW w:type="dxa" w:w="4464"/>
            <w:vAlign w:val="top"/>
            <w:tcMar>
              <w:top w:w="45" w:type="dxa"/>
              <w:start w:w="55" w:type="dxa"/>
              <w:bottom w:w="45" w:type="dxa"/>
              <w:end w:w="55" w:type="dxa"/>
            </w:tcMar>
          </w:tcPr>
          <w:p>
            <w:pPr>
              <w:spacing w:after="0" w:line="240" w:lineRule="auto"/>
            </w:pPr>
            <w:r>
              <w:rPr>
                <w:rFonts w:ascii="Aptos" w:hAnsi="Aptos"/>
                <w:sz w:val="11"/>
              </w:rPr>
              <w:t>Common enterprise concerns are standardized; unnecessary abstractions and speculative features are rejected.</w:t>
            </w:r>
          </w:p>
        </w:tc>
        <w:tc>
          <w:tcPr>
            <w:tcW w:type="dxa" w:w="2664"/>
            <w:vAlign w:val="top"/>
            <w:tcMar>
              <w:top w:w="45" w:type="dxa"/>
              <w:start w:w="55" w:type="dxa"/>
              <w:bottom w:w="45" w:type="dxa"/>
              <w:end w:w="55" w:type="dxa"/>
            </w:tcMar>
          </w:tcPr>
          <w:p>
            <w:pPr>
              <w:spacing w:after="0" w:line="240" w:lineRule="auto"/>
            </w:pPr>
            <w:r>
              <w:rPr>
                <w:rFonts w:ascii="Aptos" w:hAnsi="Aptos"/>
                <w:sz w:val="11"/>
              </w:rPr>
              <w:t>Static analysis, review, MicroFunction reuse checks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EDP-06</w:t>
            </w:r>
          </w:p>
        </w:tc>
        <w:tc>
          <w:tcPr>
            <w:tcW w:type="dxa" w:w="1944"/>
            <w:vAlign w:val="top"/>
            <w:tcMar>
              <w:top w:w="45" w:type="dxa"/>
              <w:start w:w="55" w:type="dxa"/>
              <w:bottom w:w="45" w:type="dxa"/>
              <w:end w:w="55" w:type="dxa"/>
            </w:tcMar>
          </w:tcPr>
          <w:p>
            <w:pPr>
              <w:spacing w:after="0" w:line="240" w:lineRule="auto"/>
            </w:pPr>
            <w:r>
              <w:rPr>
                <w:rFonts w:ascii="Aptos" w:hAnsi="Aptos"/>
                <w:sz w:val="11"/>
              </w:rPr>
              <w:t>Idempotency by Design</w:t>
            </w:r>
          </w:p>
        </w:tc>
        <w:tc>
          <w:tcPr>
            <w:tcW w:type="dxa" w:w="4464"/>
            <w:vAlign w:val="top"/>
            <w:tcMar>
              <w:top w:w="45" w:type="dxa"/>
              <w:start w:w="55" w:type="dxa"/>
              <w:bottom w:w="45" w:type="dxa"/>
              <w:end w:w="55" w:type="dxa"/>
            </w:tcMar>
          </w:tcPr>
          <w:p>
            <w:pPr>
              <w:spacing w:after="0" w:line="240" w:lineRule="auto"/>
            </w:pPr>
            <w:r>
              <w:rPr>
                <w:rFonts w:ascii="Aptos" w:hAnsi="Aptos"/>
                <w:sz w:val="11"/>
              </w:rPr>
              <w:t>Mutations, events, workflows, external calls, remediation actions, and replays are retry-safe and deduplicated.</w:t>
            </w:r>
          </w:p>
        </w:tc>
        <w:tc>
          <w:tcPr>
            <w:tcW w:type="dxa" w:w="2664"/>
            <w:vAlign w:val="top"/>
            <w:tcMar>
              <w:top w:w="45" w:type="dxa"/>
              <w:start w:w="55" w:type="dxa"/>
              <w:bottom w:w="45" w:type="dxa"/>
              <w:end w:w="55" w:type="dxa"/>
            </w:tcMar>
          </w:tcPr>
          <w:p>
            <w:pPr>
              <w:spacing w:after="0" w:line="240" w:lineRule="auto"/>
            </w:pPr>
            <w:r>
              <w:rPr>
                <w:rFonts w:ascii="Aptos" w:hAnsi="Aptos"/>
                <w:sz w:val="11"/>
              </w:rPr>
              <w:t>Idempotency tests, outbox, processed-event registry</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EDP-07</w:t>
            </w:r>
          </w:p>
        </w:tc>
        <w:tc>
          <w:tcPr>
            <w:tcW w:type="dxa" w:w="1944"/>
            <w:vAlign w:val="top"/>
            <w:tcMar>
              <w:top w:w="45" w:type="dxa"/>
              <w:start w:w="55" w:type="dxa"/>
              <w:bottom w:w="45" w:type="dxa"/>
              <w:end w:w="55" w:type="dxa"/>
            </w:tcMar>
          </w:tcPr>
          <w:p>
            <w:pPr>
              <w:spacing w:after="0" w:line="240" w:lineRule="auto"/>
            </w:pPr>
            <w:r>
              <w:rPr>
                <w:rFonts w:ascii="Aptos" w:hAnsi="Aptos"/>
                <w:sz w:val="11"/>
              </w:rPr>
              <w:t>Determinism and Reproducibility</w:t>
            </w:r>
          </w:p>
        </w:tc>
        <w:tc>
          <w:tcPr>
            <w:tcW w:type="dxa" w:w="4464"/>
            <w:vAlign w:val="top"/>
            <w:tcMar>
              <w:top w:w="45" w:type="dxa"/>
              <w:start w:w="55" w:type="dxa"/>
              <w:bottom w:w="45" w:type="dxa"/>
              <w:end w:w="55" w:type="dxa"/>
            </w:tcMar>
          </w:tcPr>
          <w:p>
            <w:pPr>
              <w:spacing w:after="0" w:line="240" w:lineRule="auto"/>
            </w:pPr>
            <w:r>
              <w:rPr>
                <w:rFonts w:ascii="Aptos" w:hAnsi="Aptos"/>
                <w:sz w:val="11"/>
              </w:rPr>
              <w:t>Builds, tests, migrations, prompts, model routes, and workflows are reproducible from approved source.</w:t>
            </w:r>
          </w:p>
        </w:tc>
        <w:tc>
          <w:tcPr>
            <w:tcW w:type="dxa" w:w="2664"/>
            <w:vAlign w:val="top"/>
            <w:tcMar>
              <w:top w:w="45" w:type="dxa"/>
              <w:start w:w="55" w:type="dxa"/>
              <w:bottom w:w="45" w:type="dxa"/>
              <w:end w:w="55" w:type="dxa"/>
            </w:tcMar>
          </w:tcPr>
          <w:p>
            <w:pPr>
              <w:spacing w:after="0" w:line="240" w:lineRule="auto"/>
            </w:pPr>
            <w:r>
              <w:rPr>
                <w:rFonts w:ascii="Aptos" w:hAnsi="Aptos"/>
                <w:sz w:val="11"/>
              </w:rPr>
              <w:t>Pinned versions, signed builds, deterministic test gates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EDP-08</w:t>
            </w:r>
          </w:p>
        </w:tc>
        <w:tc>
          <w:tcPr>
            <w:tcW w:type="dxa" w:w="1944"/>
            <w:vAlign w:val="top"/>
            <w:tcMar>
              <w:top w:w="45" w:type="dxa"/>
              <w:start w:w="55" w:type="dxa"/>
              <w:bottom w:w="45" w:type="dxa"/>
              <w:end w:w="55" w:type="dxa"/>
            </w:tcMar>
          </w:tcPr>
          <w:p>
            <w:pPr>
              <w:spacing w:after="0" w:line="240" w:lineRule="auto"/>
            </w:pPr>
            <w:r>
              <w:rPr>
                <w:rFonts w:ascii="Aptos" w:hAnsi="Aptos"/>
                <w:sz w:val="11"/>
              </w:rPr>
              <w:t>Fail-Safe, Not Fail-Open</w:t>
            </w:r>
          </w:p>
        </w:tc>
        <w:tc>
          <w:tcPr>
            <w:tcW w:type="dxa" w:w="4464"/>
            <w:vAlign w:val="top"/>
            <w:tcMar>
              <w:top w:w="45" w:type="dxa"/>
              <w:start w:w="55" w:type="dxa"/>
              <w:bottom w:w="45" w:type="dxa"/>
              <w:end w:w="55" w:type="dxa"/>
            </w:tcMar>
          </w:tcPr>
          <w:p>
            <w:pPr>
              <w:spacing w:after="0" w:line="240" w:lineRule="auto"/>
            </w:pPr>
            <w:r>
              <w:rPr>
                <w:rFonts w:ascii="Aptos" w:hAnsi="Aptos"/>
                <w:sz w:val="11"/>
              </w:rPr>
              <w:t>Unavailability of policy, identity, guardrails, audit, gateway, or secrets blocks protected actions.</w:t>
            </w:r>
          </w:p>
        </w:tc>
        <w:tc>
          <w:tcPr>
            <w:tcW w:type="dxa" w:w="2664"/>
            <w:vAlign w:val="top"/>
            <w:tcMar>
              <w:top w:w="45" w:type="dxa"/>
              <w:start w:w="55" w:type="dxa"/>
              <w:bottom w:w="45" w:type="dxa"/>
              <w:end w:w="55" w:type="dxa"/>
            </w:tcMar>
          </w:tcPr>
          <w:p>
            <w:pPr>
              <w:spacing w:after="0" w:line="240" w:lineRule="auto"/>
            </w:pPr>
            <w:r>
              <w:rPr>
                <w:rFonts w:ascii="Aptos" w:hAnsi="Aptos"/>
                <w:sz w:val="11"/>
              </w:rPr>
              <w:t>Health gates, circuit breakers, readiness checks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EDP-09</w:t>
            </w:r>
          </w:p>
        </w:tc>
        <w:tc>
          <w:tcPr>
            <w:tcW w:type="dxa" w:w="1944"/>
            <w:vAlign w:val="top"/>
            <w:tcMar>
              <w:top w:w="45" w:type="dxa"/>
              <w:start w:w="55" w:type="dxa"/>
              <w:bottom w:w="45" w:type="dxa"/>
              <w:end w:w="55" w:type="dxa"/>
            </w:tcMar>
          </w:tcPr>
          <w:p>
            <w:pPr>
              <w:spacing w:after="0" w:line="240" w:lineRule="auto"/>
            </w:pPr>
            <w:r>
              <w:rPr>
                <w:rFonts w:ascii="Aptos" w:hAnsi="Aptos"/>
                <w:sz w:val="11"/>
              </w:rPr>
              <w:t>Human-in-the-Loop</w:t>
            </w:r>
          </w:p>
        </w:tc>
        <w:tc>
          <w:tcPr>
            <w:tcW w:type="dxa" w:w="4464"/>
            <w:vAlign w:val="top"/>
            <w:tcMar>
              <w:top w:w="45" w:type="dxa"/>
              <w:start w:w="55" w:type="dxa"/>
              <w:bottom w:w="45" w:type="dxa"/>
              <w:end w:w="55" w:type="dxa"/>
            </w:tcMar>
          </w:tcPr>
          <w:p>
            <w:pPr>
              <w:spacing w:after="0" w:line="240" w:lineRule="auto"/>
            </w:pPr>
            <w:r>
              <w:rPr>
                <w:rFonts w:ascii="Aptos" w:hAnsi="Aptos"/>
                <w:sz w:val="11"/>
              </w:rPr>
              <w:t>High-risk, low-confidence, production-impacting, Confidential, Restricted, or exception actions require named human accountability.</w:t>
            </w:r>
          </w:p>
        </w:tc>
        <w:tc>
          <w:tcPr>
            <w:tcW w:type="dxa" w:w="2664"/>
            <w:vAlign w:val="top"/>
            <w:tcMar>
              <w:top w:w="45" w:type="dxa"/>
              <w:start w:w="55" w:type="dxa"/>
              <w:bottom w:w="45" w:type="dxa"/>
              <w:end w:w="55" w:type="dxa"/>
            </w:tcMar>
          </w:tcPr>
          <w:p>
            <w:pPr>
              <w:spacing w:after="0" w:line="240" w:lineRule="auto"/>
            </w:pPr>
            <w:r>
              <w:rPr>
                <w:rFonts w:ascii="Aptos" w:hAnsi="Aptos"/>
                <w:sz w:val="11"/>
              </w:rPr>
              <w:t>Flowable approvals, SBAC, trust threshold, audit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EDP-10</w:t>
            </w:r>
          </w:p>
        </w:tc>
        <w:tc>
          <w:tcPr>
            <w:tcW w:type="dxa" w:w="1944"/>
            <w:vAlign w:val="top"/>
            <w:tcMar>
              <w:top w:w="45" w:type="dxa"/>
              <w:start w:w="55" w:type="dxa"/>
              <w:bottom w:w="45" w:type="dxa"/>
              <w:end w:w="55" w:type="dxa"/>
            </w:tcMar>
          </w:tcPr>
          <w:p>
            <w:pPr>
              <w:spacing w:after="0" w:line="240" w:lineRule="auto"/>
            </w:pPr>
            <w:r>
              <w:rPr>
                <w:rFonts w:ascii="Aptos" w:hAnsi="Aptos"/>
                <w:sz w:val="11"/>
              </w:rPr>
              <w:t>Least Privilege / SBAC</w:t>
            </w:r>
          </w:p>
        </w:tc>
        <w:tc>
          <w:tcPr>
            <w:tcW w:type="dxa" w:w="4464"/>
            <w:vAlign w:val="top"/>
            <w:tcMar>
              <w:top w:w="45" w:type="dxa"/>
              <w:start w:w="55" w:type="dxa"/>
              <w:bottom w:w="45" w:type="dxa"/>
              <w:end w:w="55" w:type="dxa"/>
            </w:tcMar>
          </w:tcPr>
          <w:p>
            <w:pPr>
              <w:spacing w:after="0" w:line="240" w:lineRule="auto"/>
            </w:pPr>
            <w:r>
              <w:rPr>
                <w:rFonts w:ascii="Aptos" w:hAnsi="Aptos"/>
                <w:sz w:val="11"/>
              </w:rPr>
              <w:t>Humans, services, and AI agents receive only task-necessary skills and permissions.</w:t>
            </w:r>
          </w:p>
        </w:tc>
        <w:tc>
          <w:tcPr>
            <w:tcW w:type="dxa" w:w="2664"/>
            <w:vAlign w:val="top"/>
            <w:tcMar>
              <w:top w:w="45" w:type="dxa"/>
              <w:start w:w="55" w:type="dxa"/>
              <w:bottom w:w="45" w:type="dxa"/>
              <w:end w:w="55" w:type="dxa"/>
            </w:tcMar>
          </w:tcPr>
          <w:p>
            <w:pPr>
              <w:spacing w:after="0" w:line="240" w:lineRule="auto"/>
            </w:pPr>
            <w:r>
              <w:rPr>
                <w:rFonts w:ascii="Aptos" w:hAnsi="Aptos"/>
                <w:sz w:val="11"/>
              </w:rPr>
              <w:t>OPA, Keycloak, SBAC, Vault, SPIFFE/SVID</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EDP-11</w:t>
            </w:r>
          </w:p>
        </w:tc>
        <w:tc>
          <w:tcPr>
            <w:tcW w:type="dxa" w:w="1944"/>
            <w:vAlign w:val="top"/>
            <w:tcMar>
              <w:top w:w="45" w:type="dxa"/>
              <w:start w:w="55" w:type="dxa"/>
              <w:bottom w:w="45" w:type="dxa"/>
              <w:end w:w="55" w:type="dxa"/>
            </w:tcMar>
          </w:tcPr>
          <w:p>
            <w:pPr>
              <w:spacing w:after="0" w:line="240" w:lineRule="auto"/>
            </w:pPr>
            <w:r>
              <w:rPr>
                <w:rFonts w:ascii="Aptos" w:hAnsi="Aptos"/>
                <w:sz w:val="11"/>
              </w:rPr>
              <w:t>Separation of Duties</w:t>
            </w:r>
          </w:p>
        </w:tc>
        <w:tc>
          <w:tcPr>
            <w:tcW w:type="dxa" w:w="4464"/>
            <w:vAlign w:val="top"/>
            <w:tcMar>
              <w:top w:w="45" w:type="dxa"/>
              <w:start w:w="55" w:type="dxa"/>
              <w:bottom w:w="45" w:type="dxa"/>
              <w:end w:w="55" w:type="dxa"/>
            </w:tcMar>
          </w:tcPr>
          <w:p>
            <w:pPr>
              <w:spacing w:after="0" w:line="240" w:lineRule="auto"/>
            </w:pPr>
            <w:r>
              <w:rPr>
                <w:rFonts w:ascii="Aptos" w:hAnsi="Aptos"/>
                <w:sz w:val="11"/>
              </w:rPr>
              <w:t>Maker, checker, approver, deployer, and auditor responsibilities are separated for high-risk changes.</w:t>
            </w:r>
          </w:p>
        </w:tc>
        <w:tc>
          <w:tcPr>
            <w:tcW w:type="dxa" w:w="2664"/>
            <w:vAlign w:val="top"/>
            <w:tcMar>
              <w:top w:w="45" w:type="dxa"/>
              <w:start w:w="55" w:type="dxa"/>
              <w:bottom w:w="45" w:type="dxa"/>
              <w:end w:w="55" w:type="dxa"/>
            </w:tcMar>
          </w:tcPr>
          <w:p>
            <w:pPr>
              <w:spacing w:after="0" w:line="240" w:lineRule="auto"/>
            </w:pPr>
            <w:r>
              <w:rPr>
                <w:rFonts w:ascii="Aptos" w:hAnsi="Aptos"/>
                <w:sz w:val="11"/>
              </w:rPr>
              <w:t>CODEOWNERS, MR approvals, CAB workflow</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EDP-12</w:t>
            </w:r>
          </w:p>
        </w:tc>
        <w:tc>
          <w:tcPr>
            <w:tcW w:type="dxa" w:w="1944"/>
            <w:vAlign w:val="top"/>
            <w:tcMar>
              <w:top w:w="45" w:type="dxa"/>
              <w:start w:w="55" w:type="dxa"/>
              <w:bottom w:w="45" w:type="dxa"/>
              <w:end w:w="55" w:type="dxa"/>
            </w:tcMar>
          </w:tcPr>
          <w:p>
            <w:pPr>
              <w:spacing w:after="0" w:line="240" w:lineRule="auto"/>
            </w:pPr>
            <w:r>
              <w:rPr>
                <w:rFonts w:ascii="Aptos" w:hAnsi="Aptos"/>
                <w:sz w:val="11"/>
              </w:rPr>
              <w:t>Observability by Design</w:t>
            </w:r>
          </w:p>
        </w:tc>
        <w:tc>
          <w:tcPr>
            <w:tcW w:type="dxa" w:w="4464"/>
            <w:vAlign w:val="top"/>
            <w:tcMar>
              <w:top w:w="45" w:type="dxa"/>
              <w:start w:w="55" w:type="dxa"/>
              <w:bottom w:w="45" w:type="dxa"/>
              <w:end w:w="55" w:type="dxa"/>
            </w:tcMar>
          </w:tcPr>
          <w:p>
            <w:pPr>
              <w:spacing w:after="0" w:line="240" w:lineRule="auto"/>
            </w:pPr>
            <w:r>
              <w:rPr>
                <w:rFonts w:ascii="Aptos" w:hAnsi="Aptos"/>
                <w:sz w:val="11"/>
              </w:rPr>
              <w:t>Every component emits trace, metric, log, audit, and evidence references without leaking sensitive data.</w:t>
            </w:r>
          </w:p>
        </w:tc>
        <w:tc>
          <w:tcPr>
            <w:tcW w:type="dxa" w:w="2664"/>
            <w:vAlign w:val="top"/>
            <w:tcMar>
              <w:top w:w="45" w:type="dxa"/>
              <w:start w:w="55" w:type="dxa"/>
              <w:bottom w:w="45" w:type="dxa"/>
              <w:end w:w="55" w:type="dxa"/>
            </w:tcMar>
          </w:tcPr>
          <w:p>
            <w:pPr>
              <w:spacing w:after="0" w:line="240" w:lineRule="auto"/>
            </w:pPr>
            <w:r>
              <w:rPr>
                <w:rFonts w:ascii="Aptos" w:hAnsi="Aptos"/>
                <w:sz w:val="11"/>
              </w:rPr>
              <w:t>OTel, logs, metrics, spans, audit evidence checks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EDP-13</w:t>
            </w:r>
          </w:p>
        </w:tc>
        <w:tc>
          <w:tcPr>
            <w:tcW w:type="dxa" w:w="1944"/>
            <w:vAlign w:val="top"/>
            <w:tcMar>
              <w:top w:w="45" w:type="dxa"/>
              <w:start w:w="55" w:type="dxa"/>
              <w:bottom w:w="45" w:type="dxa"/>
              <w:end w:w="55" w:type="dxa"/>
            </w:tcMar>
          </w:tcPr>
          <w:p>
            <w:pPr>
              <w:spacing w:after="0" w:line="240" w:lineRule="auto"/>
            </w:pPr>
            <w:r>
              <w:rPr>
                <w:rFonts w:ascii="Aptos" w:hAnsi="Aptos"/>
                <w:sz w:val="11"/>
              </w:rPr>
              <w:t>Policy as Code</w:t>
            </w:r>
          </w:p>
        </w:tc>
        <w:tc>
          <w:tcPr>
            <w:tcW w:type="dxa" w:w="4464"/>
            <w:vAlign w:val="top"/>
            <w:tcMar>
              <w:top w:w="45" w:type="dxa"/>
              <w:start w:w="55" w:type="dxa"/>
              <w:bottom w:w="45" w:type="dxa"/>
              <w:end w:w="55" w:type="dxa"/>
            </w:tcMar>
          </w:tcPr>
          <w:p>
            <w:pPr>
              <w:spacing w:after="0" w:line="240" w:lineRule="auto"/>
            </w:pPr>
            <w:r>
              <w:rPr>
                <w:rFonts w:ascii="Aptos" w:hAnsi="Aptos"/>
                <w:sz w:val="11"/>
              </w:rPr>
              <w:t>Access, admission, release, AI action, routing, and compliance rules are versioned and tested policies.</w:t>
            </w:r>
          </w:p>
        </w:tc>
        <w:tc>
          <w:tcPr>
            <w:tcW w:type="dxa" w:w="2664"/>
            <w:vAlign w:val="top"/>
            <w:tcMar>
              <w:top w:w="45" w:type="dxa"/>
              <w:start w:w="55" w:type="dxa"/>
              <w:bottom w:w="45" w:type="dxa"/>
              <w:end w:w="55" w:type="dxa"/>
            </w:tcMar>
          </w:tcPr>
          <w:p>
            <w:pPr>
              <w:spacing w:after="0" w:line="240" w:lineRule="auto"/>
            </w:pPr>
            <w:r>
              <w:rPr>
                <w:rFonts w:ascii="Aptos" w:hAnsi="Aptos"/>
                <w:sz w:val="11"/>
              </w:rPr>
              <w:t>OPA/Rego, Conftest, Gatekeeper, CI policy tests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EDP-14</w:t>
            </w:r>
          </w:p>
        </w:tc>
        <w:tc>
          <w:tcPr>
            <w:tcW w:type="dxa" w:w="1944"/>
            <w:vAlign w:val="top"/>
            <w:tcMar>
              <w:top w:w="45" w:type="dxa"/>
              <w:start w:w="55" w:type="dxa"/>
              <w:bottom w:w="45" w:type="dxa"/>
              <w:end w:w="55" w:type="dxa"/>
            </w:tcMar>
          </w:tcPr>
          <w:p>
            <w:pPr>
              <w:spacing w:after="0" w:line="240" w:lineRule="auto"/>
            </w:pPr>
            <w:r>
              <w:rPr>
                <w:rFonts w:ascii="Aptos" w:hAnsi="Aptos"/>
                <w:sz w:val="11"/>
              </w:rPr>
              <w:t>Testability by Design</w:t>
            </w:r>
          </w:p>
        </w:tc>
        <w:tc>
          <w:tcPr>
            <w:tcW w:type="dxa" w:w="4464"/>
            <w:vAlign w:val="top"/>
            <w:tcMar>
              <w:top w:w="45" w:type="dxa"/>
              <w:start w:w="55" w:type="dxa"/>
              <w:bottom w:w="45" w:type="dxa"/>
              <w:end w:w="55" w:type="dxa"/>
            </w:tcMar>
          </w:tcPr>
          <w:p>
            <w:pPr>
              <w:spacing w:after="0" w:line="240" w:lineRule="auto"/>
            </w:pPr>
            <w:r>
              <w:rPr>
                <w:rFonts w:ascii="Aptos" w:hAnsi="Aptos"/>
                <w:sz w:val="11"/>
              </w:rPr>
              <w:t>Units, contracts, workflows, policies, guardrails, AI prompts, and data flows are independently testable.</w:t>
            </w:r>
          </w:p>
        </w:tc>
        <w:tc>
          <w:tcPr>
            <w:tcW w:type="dxa" w:w="2664"/>
            <w:vAlign w:val="top"/>
            <w:tcMar>
              <w:top w:w="45" w:type="dxa"/>
              <w:start w:w="55" w:type="dxa"/>
              <w:bottom w:w="45" w:type="dxa"/>
              <w:end w:w="55" w:type="dxa"/>
            </w:tcMar>
          </w:tcPr>
          <w:p>
            <w:pPr>
              <w:spacing w:after="0" w:line="240" w:lineRule="auto"/>
            </w:pPr>
            <w:r>
              <w:rPr>
                <w:rFonts w:ascii="Aptos" w:hAnsi="Aptos"/>
                <w:sz w:val="11"/>
              </w:rPr>
              <w:t>TDD, mutation, contract, guardrail, policy tests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EDP-15</w:t>
            </w:r>
          </w:p>
        </w:tc>
        <w:tc>
          <w:tcPr>
            <w:tcW w:type="dxa" w:w="1944"/>
            <w:vAlign w:val="top"/>
            <w:tcMar>
              <w:top w:w="45" w:type="dxa"/>
              <w:start w:w="55" w:type="dxa"/>
              <w:bottom w:w="45" w:type="dxa"/>
              <w:end w:w="55" w:type="dxa"/>
            </w:tcMar>
          </w:tcPr>
          <w:p>
            <w:pPr>
              <w:spacing w:after="0" w:line="240" w:lineRule="auto"/>
            </w:pPr>
            <w:r>
              <w:rPr>
                <w:rFonts w:ascii="Aptos" w:hAnsi="Aptos"/>
                <w:sz w:val="11"/>
              </w:rPr>
              <w:t>Secure by Design</w:t>
            </w:r>
          </w:p>
        </w:tc>
        <w:tc>
          <w:tcPr>
            <w:tcW w:type="dxa" w:w="4464"/>
            <w:vAlign w:val="top"/>
            <w:tcMar>
              <w:top w:w="45" w:type="dxa"/>
              <w:start w:w="55" w:type="dxa"/>
              <w:bottom w:w="45" w:type="dxa"/>
              <w:end w:w="55" w:type="dxa"/>
            </w:tcMar>
          </w:tcPr>
          <w:p>
            <w:pPr>
              <w:spacing w:after="0" w:line="240" w:lineRule="auto"/>
            </w:pPr>
            <w:r>
              <w:rPr>
                <w:rFonts w:ascii="Aptos" w:hAnsi="Aptos"/>
                <w:sz w:val="11"/>
              </w:rPr>
              <w:t>Security is embedded in identity, secrets, validation, data, logging, CI/CD, and AI routing.</w:t>
            </w:r>
          </w:p>
        </w:tc>
        <w:tc>
          <w:tcPr>
            <w:tcW w:type="dxa" w:w="2664"/>
            <w:vAlign w:val="top"/>
            <w:tcMar>
              <w:top w:w="45" w:type="dxa"/>
              <w:start w:w="55" w:type="dxa"/>
              <w:bottom w:w="45" w:type="dxa"/>
              <w:end w:w="55" w:type="dxa"/>
            </w:tcMar>
          </w:tcPr>
          <w:p>
            <w:pPr>
              <w:spacing w:after="0" w:line="240" w:lineRule="auto"/>
            </w:pPr>
            <w:r>
              <w:rPr>
                <w:rFonts w:ascii="Aptos" w:hAnsi="Aptos"/>
                <w:sz w:val="11"/>
              </w:rPr>
              <w:t>SAST, DAST, SCA, secret scanning, threat modeling</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EDP-16</w:t>
            </w:r>
          </w:p>
        </w:tc>
        <w:tc>
          <w:tcPr>
            <w:tcW w:type="dxa" w:w="1944"/>
            <w:vAlign w:val="top"/>
            <w:tcMar>
              <w:top w:w="45" w:type="dxa"/>
              <w:start w:w="55" w:type="dxa"/>
              <w:bottom w:w="45" w:type="dxa"/>
              <w:end w:w="55" w:type="dxa"/>
            </w:tcMar>
          </w:tcPr>
          <w:p>
            <w:pPr>
              <w:spacing w:after="0" w:line="240" w:lineRule="auto"/>
            </w:pPr>
            <w:r>
              <w:rPr>
                <w:rFonts w:ascii="Aptos" w:hAnsi="Aptos"/>
                <w:sz w:val="11"/>
              </w:rPr>
              <w:t>Resilience Patterns</w:t>
            </w:r>
          </w:p>
        </w:tc>
        <w:tc>
          <w:tcPr>
            <w:tcW w:type="dxa" w:w="4464"/>
            <w:vAlign w:val="top"/>
            <w:tcMar>
              <w:top w:w="45" w:type="dxa"/>
              <w:start w:w="55" w:type="dxa"/>
              <w:bottom w:w="45" w:type="dxa"/>
              <w:end w:w="55" w:type="dxa"/>
            </w:tcMar>
          </w:tcPr>
          <w:p>
            <w:pPr>
              <w:spacing w:after="0" w:line="240" w:lineRule="auto"/>
            </w:pPr>
            <w:r>
              <w:rPr>
                <w:rFonts w:ascii="Aptos" w:hAnsi="Aptos"/>
                <w:sz w:val="11"/>
              </w:rPr>
              <w:t>Retries, timeouts, circuit breakers, bulkheads, compensation, DLQs, fallbacks, and graceful degradation are explicit.</w:t>
            </w:r>
          </w:p>
        </w:tc>
        <w:tc>
          <w:tcPr>
            <w:tcW w:type="dxa" w:w="2664"/>
            <w:vAlign w:val="top"/>
            <w:tcMar>
              <w:top w:w="45" w:type="dxa"/>
              <w:start w:w="55" w:type="dxa"/>
              <w:bottom w:w="45" w:type="dxa"/>
              <w:end w:w="55" w:type="dxa"/>
            </w:tcMar>
          </w:tcPr>
          <w:p>
            <w:pPr>
              <w:spacing w:after="0" w:line="240" w:lineRule="auto"/>
            </w:pPr>
            <w:r>
              <w:rPr>
                <w:rFonts w:ascii="Aptos" w:hAnsi="Aptos"/>
                <w:sz w:val="11"/>
              </w:rPr>
              <w:t>Resilience4j, Temporal, Kafka DLQ, chaos tests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EDP-17</w:t>
            </w:r>
          </w:p>
        </w:tc>
        <w:tc>
          <w:tcPr>
            <w:tcW w:type="dxa" w:w="1944"/>
            <w:vAlign w:val="top"/>
            <w:tcMar>
              <w:top w:w="45" w:type="dxa"/>
              <w:start w:w="55" w:type="dxa"/>
              <w:bottom w:w="45" w:type="dxa"/>
              <w:end w:w="55" w:type="dxa"/>
            </w:tcMar>
          </w:tcPr>
          <w:p>
            <w:pPr>
              <w:spacing w:after="0" w:line="240" w:lineRule="auto"/>
            </w:pPr>
            <w:r>
              <w:rPr>
                <w:rFonts w:ascii="Aptos" w:hAnsi="Aptos"/>
                <w:sz w:val="11"/>
              </w:rPr>
              <w:t>Architectural Fitness Functions</w:t>
            </w:r>
          </w:p>
        </w:tc>
        <w:tc>
          <w:tcPr>
            <w:tcW w:type="dxa" w:w="4464"/>
            <w:vAlign w:val="top"/>
            <w:tcMar>
              <w:top w:w="45" w:type="dxa"/>
              <w:start w:w="55" w:type="dxa"/>
              <w:bottom w:w="45" w:type="dxa"/>
              <w:end w:w="55" w:type="dxa"/>
            </w:tcMar>
          </w:tcPr>
          <w:p>
            <w:pPr>
              <w:spacing w:after="0" w:line="240" w:lineRule="auto"/>
            </w:pPr>
            <w:r>
              <w:rPr>
                <w:rFonts w:ascii="Aptos" w:hAnsi="Aptos"/>
                <w:sz w:val="11"/>
              </w:rPr>
              <w:t>Architecture rules are executable where possible and tracked as release gates.</w:t>
            </w:r>
          </w:p>
        </w:tc>
        <w:tc>
          <w:tcPr>
            <w:tcW w:type="dxa" w:w="2664"/>
            <w:vAlign w:val="top"/>
            <w:tcMar>
              <w:top w:w="45" w:type="dxa"/>
              <w:start w:w="55" w:type="dxa"/>
              <w:bottom w:w="45" w:type="dxa"/>
              <w:end w:w="55" w:type="dxa"/>
            </w:tcMar>
          </w:tcPr>
          <w:p>
            <w:pPr>
              <w:spacing w:after="0" w:line="240" w:lineRule="auto"/>
            </w:pPr>
            <w:r>
              <w:rPr>
                <w:rFonts w:ascii="Aptos" w:hAnsi="Aptos"/>
                <w:sz w:val="11"/>
              </w:rPr>
              <w:t>ArchUnit, dependency tests, CI evidence</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EDP-18</w:t>
            </w:r>
          </w:p>
        </w:tc>
        <w:tc>
          <w:tcPr>
            <w:tcW w:type="dxa" w:w="1944"/>
            <w:vAlign w:val="top"/>
            <w:tcMar>
              <w:top w:w="45" w:type="dxa"/>
              <w:start w:w="55" w:type="dxa"/>
              <w:bottom w:w="45" w:type="dxa"/>
              <w:end w:w="55" w:type="dxa"/>
            </w:tcMar>
          </w:tcPr>
          <w:p>
            <w:pPr>
              <w:spacing w:after="0" w:line="240" w:lineRule="auto"/>
            </w:pPr>
            <w:r>
              <w:rPr>
                <w:rFonts w:ascii="Aptos" w:hAnsi="Aptos"/>
                <w:sz w:val="11"/>
              </w:rPr>
              <w:t>Progressive Autonomy</w:t>
            </w:r>
          </w:p>
        </w:tc>
        <w:tc>
          <w:tcPr>
            <w:tcW w:type="dxa" w:w="4464"/>
            <w:vAlign w:val="top"/>
            <w:tcMar>
              <w:top w:w="45" w:type="dxa"/>
              <w:start w:w="55" w:type="dxa"/>
              <w:bottom w:w="45" w:type="dxa"/>
              <w:end w:w="55" w:type="dxa"/>
            </w:tcMar>
          </w:tcPr>
          <w:p>
            <w:pPr>
              <w:spacing w:after="0" w:line="240" w:lineRule="auto"/>
            </w:pPr>
            <w:r>
              <w:rPr>
                <w:rFonts w:ascii="Aptos" w:hAnsi="Aptos"/>
                <w:sz w:val="11"/>
              </w:rPr>
              <w:t>AI autonomy increases only through evidence, trust, skill, scope, policy, and human approval gates.</w:t>
            </w:r>
          </w:p>
        </w:tc>
        <w:tc>
          <w:tcPr>
            <w:tcW w:type="dxa" w:w="2664"/>
            <w:vAlign w:val="top"/>
            <w:tcMar>
              <w:top w:w="45" w:type="dxa"/>
              <w:start w:w="55" w:type="dxa"/>
              <w:bottom w:w="45" w:type="dxa"/>
              <w:end w:w="55" w:type="dxa"/>
            </w:tcMar>
          </w:tcPr>
          <w:p>
            <w:pPr>
              <w:spacing w:after="0" w:line="240" w:lineRule="auto"/>
            </w:pPr>
            <w:r>
              <w:rPr>
                <w:rFonts w:ascii="Aptos" w:hAnsi="Aptos"/>
                <w:sz w:val="11"/>
              </w:rPr>
              <w:t>Trust scoring, Harness, OPA, SBAC, guardrails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EDP-19</w:t>
            </w:r>
          </w:p>
        </w:tc>
        <w:tc>
          <w:tcPr>
            <w:tcW w:type="dxa" w:w="1944"/>
            <w:vAlign w:val="top"/>
            <w:tcMar>
              <w:top w:w="45" w:type="dxa"/>
              <w:start w:w="55" w:type="dxa"/>
              <w:bottom w:w="45" w:type="dxa"/>
              <w:end w:w="55" w:type="dxa"/>
            </w:tcMar>
          </w:tcPr>
          <w:p>
            <w:pPr>
              <w:spacing w:after="0" w:line="240" w:lineRule="auto"/>
            </w:pPr>
            <w:r>
              <w:rPr>
                <w:rFonts w:ascii="Aptos" w:hAnsi="Aptos"/>
                <w:sz w:val="11"/>
              </w:rPr>
              <w:t>Reversibility / Rollbackability</w:t>
            </w:r>
          </w:p>
        </w:tc>
        <w:tc>
          <w:tcPr>
            <w:tcW w:type="dxa" w:w="4464"/>
            <w:vAlign w:val="top"/>
            <w:tcMar>
              <w:top w:w="45" w:type="dxa"/>
              <w:start w:w="55" w:type="dxa"/>
              <w:bottom w:w="45" w:type="dxa"/>
              <w:end w:w="55" w:type="dxa"/>
            </w:tcMar>
          </w:tcPr>
          <w:p>
            <w:pPr>
              <w:spacing w:after="0" w:line="240" w:lineRule="auto"/>
            </w:pPr>
            <w:r>
              <w:rPr>
                <w:rFonts w:ascii="Aptos" w:hAnsi="Aptos"/>
                <w:sz w:val="11"/>
              </w:rPr>
              <w:t>Changes have forward-fix, rollback, compensation, or deactivation paths before release.</w:t>
            </w:r>
          </w:p>
        </w:tc>
        <w:tc>
          <w:tcPr>
            <w:tcW w:type="dxa" w:w="2664"/>
            <w:vAlign w:val="top"/>
            <w:tcMar>
              <w:top w:w="45" w:type="dxa"/>
              <w:start w:w="55" w:type="dxa"/>
              <w:bottom w:w="45" w:type="dxa"/>
              <w:end w:w="55" w:type="dxa"/>
            </w:tcMar>
          </w:tcPr>
          <w:p>
            <w:pPr>
              <w:spacing w:after="0" w:line="240" w:lineRule="auto"/>
            </w:pPr>
            <w:r>
              <w:rPr>
                <w:rFonts w:ascii="Aptos" w:hAnsi="Aptos"/>
                <w:sz w:val="11"/>
              </w:rPr>
              <w:t>Flyway expand/contract, GitOps rollback, feature flags</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1"/>
              </w:rPr>
              <w:t>EDP-20</w:t>
            </w:r>
          </w:p>
        </w:tc>
        <w:tc>
          <w:tcPr>
            <w:tcW w:type="dxa" w:w="1944"/>
            <w:vAlign w:val="top"/>
            <w:tcMar>
              <w:top w:w="45" w:type="dxa"/>
              <w:start w:w="55" w:type="dxa"/>
              <w:bottom w:w="45" w:type="dxa"/>
              <w:end w:w="55" w:type="dxa"/>
            </w:tcMar>
          </w:tcPr>
          <w:p>
            <w:pPr>
              <w:spacing w:after="0" w:line="240" w:lineRule="auto"/>
            </w:pPr>
            <w:r>
              <w:rPr>
                <w:rFonts w:ascii="Aptos" w:hAnsi="Aptos"/>
                <w:sz w:val="11"/>
              </w:rPr>
              <w:t>AVCI</w:t>
            </w:r>
          </w:p>
        </w:tc>
        <w:tc>
          <w:tcPr>
            <w:tcW w:type="dxa" w:w="4464"/>
            <w:vAlign w:val="top"/>
            <w:tcMar>
              <w:top w:w="45" w:type="dxa"/>
              <w:start w:w="55" w:type="dxa"/>
              <w:bottom w:w="45" w:type="dxa"/>
              <w:end w:w="55" w:type="dxa"/>
            </w:tcMar>
          </w:tcPr>
          <w:p>
            <w:pPr>
              <w:spacing w:after="0" w:line="240" w:lineRule="auto"/>
            </w:pPr>
            <w:r>
              <w:rPr>
                <w:rFonts w:ascii="Aptos" w:hAnsi="Aptos"/>
                <w:sz w:val="11"/>
              </w:rPr>
              <w:t>Every artifact is Attributable, Verifiable, Classifiable, and Improvable before production use.</w:t>
            </w:r>
          </w:p>
        </w:tc>
        <w:tc>
          <w:tcPr>
            <w:tcW w:type="dxa" w:w="2664"/>
            <w:vAlign w:val="top"/>
            <w:tcMar>
              <w:top w:w="45" w:type="dxa"/>
              <w:start w:w="55" w:type="dxa"/>
              <w:bottom w:w="45" w:type="dxa"/>
              <w:end w:w="55" w:type="dxa"/>
            </w:tcMar>
          </w:tcPr>
          <w:p>
            <w:pPr>
              <w:spacing w:after="0" w:line="240" w:lineRule="auto"/>
            </w:pPr>
            <w:r>
              <w:rPr>
                <w:rFonts w:ascii="Aptos" w:hAnsi="Aptos"/>
                <w:sz w:val="11"/>
              </w:rPr>
              <w:t>AVCI evidence schema, PR/MR summary, audit trail</w:t>
            </w:r>
          </w:p>
        </w:tc>
      </w:tr>
    </w:tbl>
    <w:p/>
    <w:p>
      <w:pPr>
        <w:pStyle w:val="Heading2"/>
        <w:keepNext/>
        <w:spacing w:before="12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72"/>
            <w:shd w:fill="1F4E79"/>
            <w:tcMar>
              <w:top w:w="50" w:type="dxa"/>
              <w:start w:w="55" w:type="dxa"/>
              <w:bottom w:w="50" w:type="dxa"/>
              <w:end w:w="55" w:type="dxa"/>
            </w:tcMar>
          </w:tcPr>
          <w:p>
            <w:pPr>
              <w:spacing w:after="0"/>
              <w:jc w:val="center"/>
            </w:pPr>
            <w:r>
              <w:rPr>
                <w:rFonts w:ascii="Aptos" w:hAnsi="Aptos"/>
                <w:b/>
                <w:color w:val="FFFFFF"/>
                <w:sz w:val="14"/>
              </w:rPr>
              <w:t>SOLID Principle</w:t>
            </w:r>
          </w:p>
        </w:tc>
        <w:tc>
          <w:tcPr>
            <w:tcW w:type="dxa" w:w="4608"/>
            <w:shd w:fill="1F4E79"/>
            <w:tcMar>
              <w:top w:w="50" w:type="dxa"/>
              <w:start w:w="55" w:type="dxa"/>
              <w:bottom w:w="50" w:type="dxa"/>
              <w:end w:w="55" w:type="dxa"/>
            </w:tcMar>
          </w:tcPr>
          <w:p>
            <w:pPr>
              <w:spacing w:after="0"/>
              <w:jc w:val="center"/>
            </w:pPr>
            <w:r>
              <w:rPr>
                <w:rFonts w:ascii="Aptos" w:hAnsi="Aptos"/>
                <w:b/>
                <w:color w:val="FFFFFF"/>
                <w:sz w:val="14"/>
              </w:rPr>
              <w:t>AIRA Interpretation</w:t>
            </w:r>
          </w:p>
        </w:tc>
        <w:tc>
          <w:tcPr>
            <w:tcW w:type="dxa" w:w="3600"/>
            <w:shd w:fill="1F4E79"/>
            <w:tcMar>
              <w:top w:w="50" w:type="dxa"/>
              <w:start w:w="55" w:type="dxa"/>
              <w:bottom w:w="50" w:type="dxa"/>
              <w:end w:w="55" w:type="dxa"/>
            </w:tcMar>
          </w:tcPr>
          <w:p>
            <w:pPr>
              <w:spacing w:after="0"/>
              <w:jc w:val="center"/>
            </w:pPr>
            <w:r>
              <w:rPr>
                <w:rFonts w:ascii="Aptos" w:hAnsi="Aptos"/>
                <w:b/>
                <w:color w:val="FFFFFF"/>
                <w:sz w:val="14"/>
              </w:rPr>
              <w:t>Reject Condition</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4"/>
              </w:rPr>
              <w:t>Single Responsibility</w:t>
            </w:r>
          </w:p>
        </w:tc>
        <w:tc>
          <w:tcPr>
            <w:tcW w:type="dxa" w:w="4608"/>
            <w:vAlign w:val="top"/>
            <w:tcMar>
              <w:top w:w="45" w:type="dxa"/>
              <w:start w:w="55" w:type="dxa"/>
              <w:bottom w:w="45" w:type="dxa"/>
              <w:end w:w="55" w:type="dxa"/>
            </w:tcMar>
          </w:tcPr>
          <w:p>
            <w:pPr>
              <w:spacing w:after="0" w:line="240" w:lineRule="auto"/>
            </w:pPr>
            <w:r>
              <w:rPr>
                <w:rFonts w:ascii="Aptos" w:hAnsi="Aptos"/>
                <w:sz w:val="14"/>
              </w:rPr>
              <w:t>Each service, module, MicroFunction, adapter, policy, and prompt has one coherent reason to change.</w:t>
            </w:r>
          </w:p>
        </w:tc>
        <w:tc>
          <w:tcPr>
            <w:tcW w:type="dxa" w:w="3600"/>
            <w:vAlign w:val="top"/>
            <w:tcMar>
              <w:top w:w="45" w:type="dxa"/>
              <w:start w:w="55" w:type="dxa"/>
              <w:bottom w:w="45" w:type="dxa"/>
              <w:end w:w="55" w:type="dxa"/>
            </w:tcMar>
          </w:tcPr>
          <w:p>
            <w:pPr>
              <w:spacing w:after="0" w:line="240" w:lineRule="auto"/>
            </w:pPr>
            <w:r>
              <w:rPr>
                <w:rFonts w:ascii="Aptos" w:hAnsi="Aptos"/>
                <w:sz w:val="14"/>
              </w:rPr>
              <w:t>A component mixes domain logic, persistence, model calls, UI concerns, and operational side effects.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4"/>
              </w:rPr>
              <w:t>Open / Closed</w:t>
            </w:r>
          </w:p>
        </w:tc>
        <w:tc>
          <w:tcPr>
            <w:tcW w:type="dxa" w:w="4608"/>
            <w:vAlign w:val="top"/>
            <w:tcMar>
              <w:top w:w="45" w:type="dxa"/>
              <w:start w:w="55" w:type="dxa"/>
              <w:bottom w:w="45" w:type="dxa"/>
              <w:end w:w="55" w:type="dxa"/>
            </w:tcMar>
          </w:tcPr>
          <w:p>
            <w:pPr>
              <w:spacing w:after="0" w:line="240" w:lineRule="auto"/>
            </w:pPr>
            <w:r>
              <w:rPr>
                <w:rFonts w:ascii="Aptos" w:hAnsi="Aptos"/>
                <w:sz w:val="14"/>
              </w:rPr>
              <w:t>Business variation is added through configuration, rules, adapters, or new bounded functions rather than modifying stable framework code.</w:t>
            </w:r>
          </w:p>
        </w:tc>
        <w:tc>
          <w:tcPr>
            <w:tcW w:type="dxa" w:w="3600"/>
            <w:vAlign w:val="top"/>
            <w:tcMar>
              <w:top w:w="45" w:type="dxa"/>
              <w:start w:w="55" w:type="dxa"/>
              <w:bottom w:w="45" w:type="dxa"/>
              <w:end w:w="55" w:type="dxa"/>
            </w:tcMar>
          </w:tcPr>
          <w:p>
            <w:pPr>
              <w:spacing w:after="0" w:line="240" w:lineRule="auto"/>
            </w:pPr>
            <w:r>
              <w:rPr>
                <w:rFonts w:ascii="Aptos" w:hAnsi="Aptos"/>
                <w:sz w:val="14"/>
              </w:rPr>
              <w:t>A new business feature requires editing unrelated standard plumbing or existing stable framework paths.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4"/>
              </w:rPr>
              <w:t>Liskov Substitution</w:t>
            </w:r>
          </w:p>
        </w:tc>
        <w:tc>
          <w:tcPr>
            <w:tcW w:type="dxa" w:w="4608"/>
            <w:vAlign w:val="top"/>
            <w:tcMar>
              <w:top w:w="45" w:type="dxa"/>
              <w:start w:w="55" w:type="dxa"/>
              <w:bottom w:w="45" w:type="dxa"/>
              <w:end w:w="55" w:type="dxa"/>
            </w:tcMar>
          </w:tcPr>
          <w:p>
            <w:pPr>
              <w:spacing w:after="0" w:line="240" w:lineRule="auto"/>
            </w:pPr>
            <w:r>
              <w:rPr>
                <w:rFonts w:ascii="Aptos" w:hAnsi="Aptos"/>
                <w:sz w:val="14"/>
              </w:rPr>
              <w:t>Alternative implementations of ports, adapters, repositories, model routes, and providers must preserve contracts and behaviour.</w:t>
            </w:r>
          </w:p>
        </w:tc>
        <w:tc>
          <w:tcPr>
            <w:tcW w:type="dxa" w:w="3600"/>
            <w:vAlign w:val="top"/>
            <w:tcMar>
              <w:top w:w="45" w:type="dxa"/>
              <w:start w:w="55" w:type="dxa"/>
              <w:bottom w:w="45" w:type="dxa"/>
              <w:end w:w="55" w:type="dxa"/>
            </w:tcMar>
          </w:tcPr>
          <w:p>
            <w:pPr>
              <w:spacing w:after="0" w:line="240" w:lineRule="auto"/>
            </w:pPr>
            <w:r>
              <w:rPr>
                <w:rFonts w:ascii="Aptos" w:hAnsi="Aptos"/>
                <w:sz w:val="14"/>
              </w:rPr>
              <w:t>A replacement adapter changes error semantics, retries, data classification, or response contract unexpectedly.</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4"/>
              </w:rPr>
              <w:t>Interface Segregation</w:t>
            </w:r>
          </w:p>
        </w:tc>
        <w:tc>
          <w:tcPr>
            <w:tcW w:type="dxa" w:w="4608"/>
            <w:vAlign w:val="top"/>
            <w:tcMar>
              <w:top w:w="45" w:type="dxa"/>
              <w:start w:w="55" w:type="dxa"/>
              <w:bottom w:w="45" w:type="dxa"/>
              <w:end w:w="55" w:type="dxa"/>
            </w:tcMar>
          </w:tcPr>
          <w:p>
            <w:pPr>
              <w:spacing w:after="0" w:line="240" w:lineRule="auto"/>
            </w:pPr>
            <w:r>
              <w:rPr>
                <w:rFonts w:ascii="Aptos" w:hAnsi="Aptos"/>
                <w:sz w:val="14"/>
              </w:rPr>
              <w:t>Ports are narrow, task-specific, and classification-aware; consumers are not forced to depend on capabilities they do not use.</w:t>
            </w:r>
          </w:p>
        </w:tc>
        <w:tc>
          <w:tcPr>
            <w:tcW w:type="dxa" w:w="3600"/>
            <w:vAlign w:val="top"/>
            <w:tcMar>
              <w:top w:w="45" w:type="dxa"/>
              <w:start w:w="55" w:type="dxa"/>
              <w:bottom w:w="45" w:type="dxa"/>
              <w:end w:w="55" w:type="dxa"/>
            </w:tcMar>
          </w:tcPr>
          <w:p>
            <w:pPr>
              <w:spacing w:after="0" w:line="240" w:lineRule="auto"/>
            </w:pPr>
            <w:r>
              <w:rPr>
                <w:rFonts w:ascii="Aptos" w:hAnsi="Aptos"/>
                <w:sz w:val="14"/>
              </w:rPr>
              <w:t>A service depends on broad manager interfaces or god services.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4"/>
              </w:rPr>
              <w:t>Dependency Inversion</w:t>
            </w:r>
          </w:p>
        </w:tc>
        <w:tc>
          <w:tcPr>
            <w:tcW w:type="dxa" w:w="4608"/>
            <w:vAlign w:val="top"/>
            <w:tcMar>
              <w:top w:w="45" w:type="dxa"/>
              <w:start w:w="55" w:type="dxa"/>
              <w:bottom w:w="45" w:type="dxa"/>
              <w:end w:w="55" w:type="dxa"/>
            </w:tcMar>
          </w:tcPr>
          <w:p>
            <w:pPr>
              <w:spacing w:after="0" w:line="240" w:lineRule="auto"/>
            </w:pPr>
            <w:r>
              <w:rPr>
                <w:rFonts w:ascii="Aptos" w:hAnsi="Aptos"/>
                <w:sz w:val="14"/>
              </w:rPr>
              <w:t>Domain and application logic depend on abstractions; infrastructure, providers, databases, queues, and model gateways are adapters.</w:t>
            </w:r>
          </w:p>
        </w:tc>
        <w:tc>
          <w:tcPr>
            <w:tcW w:type="dxa" w:w="3600"/>
            <w:vAlign w:val="top"/>
            <w:tcMar>
              <w:top w:w="45" w:type="dxa"/>
              <w:start w:w="55" w:type="dxa"/>
              <w:bottom w:w="45" w:type="dxa"/>
              <w:end w:w="55" w:type="dxa"/>
            </w:tcMar>
          </w:tcPr>
          <w:p>
            <w:pPr>
              <w:spacing w:after="0" w:line="240" w:lineRule="auto"/>
            </w:pPr>
            <w:r>
              <w:rPr>
                <w:rFonts w:ascii="Aptos" w:hAnsi="Aptos"/>
                <w:sz w:val="14"/>
              </w:rPr>
              <w:t>Domain code imports provider SDKs, database clients, framework-specific transport objects, or infrastructure classes.</w:t>
            </w:r>
          </w:p>
        </w:tc>
      </w:tr>
    </w:tbl>
    <w:p/>
    <w:p>
      <w:pPr>
        <w:pStyle w:val="Heading2"/>
        <w:keepNext/>
        <w:spacing w:before="120" w:after="80"/>
      </w:pPr>
    </w:p>
    <w:tbl>
      <w:tblPr>
        <w:tblStyle w:val="TableGrid"/>
        <w:tblW w:type="auto" w:w="0"/>
        <w:jc w:val="center"/>
        <w:tblLook w:firstColumn="1" w:firstRow="1" w:lastColumn="0" w:lastRow="0" w:noHBand="0" w:noVBand="1" w:val="04A0"/>
      </w:tblPr>
      <w:tblGrid>
        <w:gridCol w:w="10454"/>
      </w:tblGrid>
      <w:tr>
        <w:tc>
          <w:tcPr>
            <w:tcW w:type="dxa" w:w="10454"/>
            <w:shd w:fill="EAF2F8"/>
            <w:tcMar>
              <w:top w:w="145" w:type="dxa"/>
              <w:start w:w="160" w:type="dxa"/>
              <w:bottom w:w="145" w:type="dxa"/>
              <w:end w:w="160" w:type="dxa"/>
            </w:tcMar>
          </w:tcPr>
          <w:p>
            <w:pPr>
              <w:spacing w:after="60"/>
            </w:pPr>
            <w:r>
              <w:rPr>
                <w:rFonts w:ascii="Aptos" w:hAnsi="Aptos"/>
                <w:b/>
                <w:color w:val="1F4E79"/>
                <w:sz w:val="18"/>
              </w:rPr>
              <w:t>Design Principle Gate</w:t>
            </w:r>
          </w:p>
          <w:p>
            <w:pPr>
              <w:spacing w:after="0"/>
            </w:pPr>
            <w:r>
              <w:rPr>
                <w:rFonts w:ascii="Aptos" w:hAnsi="Aptos"/>
                <w:sz w:val="17"/>
              </w:rPr>
              <w:t>AIRA production readiness requires positive or neutral impact on the 20 Enterprise Design Principles. Any negative impact must be captured as a risk, waiver, ADR/TDL, remediation plan, expiry date, and named owner. Delivery pressure does not lower the gate.</w:t>
            </w:r>
          </w:p>
        </w:tc>
      </w:tr>
    </w:tbl>
    <w:p/>
    <w:p>
      <w:pPr>
        <w:pStyle w:val="Heading1"/>
        <w:keepNext/>
        <w:spacing w:before="160" w:after="80"/>
      </w:pPr>
    </w:p>
    <w:p>
      <w:pPr>
        <w:spacing w:after="80" w:line="250" w:lineRule="auto"/>
      </w:pPr>
      <w:r>
        <w:rPr>
          <w:rFonts w:ascii="Aptos" w:hAnsi="Aptos"/>
          <w:sz w:val="18"/>
        </w:rPr>
        <w:t>AIRA is organized as a multi-layer architecture with explicit boundaries. Cross-layer shortcuts are architecture defects unless explicitly defined as a controlled break-glass action and approved by policy.</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1728"/>
            <w:shd w:fill="1F4E79"/>
            <w:tcMar>
              <w:top w:w="50" w:type="dxa"/>
              <w:start w:w="55" w:type="dxa"/>
              <w:bottom w:w="50" w:type="dxa"/>
              <w:end w:w="55" w:type="dxa"/>
            </w:tcMar>
          </w:tcPr>
          <w:p>
            <w:pPr>
              <w:spacing w:after="0"/>
              <w:jc w:val="center"/>
            </w:pPr>
            <w:r>
              <w:rPr>
                <w:rFonts w:ascii="Aptos" w:hAnsi="Aptos"/>
                <w:b/>
                <w:color w:val="FFFFFF"/>
                <w:sz w:val="12"/>
              </w:rPr>
              <w:t>Layer</w:t>
            </w:r>
          </w:p>
        </w:tc>
        <w:tc>
          <w:tcPr>
            <w:tcW w:type="dxa" w:w="3168"/>
            <w:shd w:fill="1F4E79"/>
            <w:tcMar>
              <w:top w:w="50" w:type="dxa"/>
              <w:start w:w="55" w:type="dxa"/>
              <w:bottom w:w="50" w:type="dxa"/>
              <w:end w:w="55" w:type="dxa"/>
            </w:tcMar>
          </w:tcPr>
          <w:p>
            <w:pPr>
              <w:spacing w:after="0"/>
              <w:jc w:val="center"/>
            </w:pPr>
            <w:r>
              <w:rPr>
                <w:rFonts w:ascii="Aptos" w:hAnsi="Aptos"/>
                <w:b/>
                <w:color w:val="FFFFFF"/>
                <w:sz w:val="12"/>
              </w:rPr>
              <w:t>Primary Responsibility</w:t>
            </w:r>
          </w:p>
        </w:tc>
        <w:tc>
          <w:tcPr>
            <w:tcW w:type="dxa" w:w="3168"/>
            <w:shd w:fill="1F4E79"/>
            <w:tcMar>
              <w:top w:w="50" w:type="dxa"/>
              <w:start w:w="55" w:type="dxa"/>
              <w:bottom w:w="50" w:type="dxa"/>
              <w:end w:w="55" w:type="dxa"/>
            </w:tcMar>
          </w:tcPr>
          <w:p>
            <w:pPr>
              <w:spacing w:after="0"/>
              <w:jc w:val="center"/>
            </w:pPr>
            <w:r>
              <w:rPr>
                <w:rFonts w:ascii="Aptos" w:hAnsi="Aptos"/>
                <w:b/>
                <w:color w:val="FFFFFF"/>
                <w:sz w:val="12"/>
              </w:rPr>
              <w:t>Representative Components</w:t>
            </w:r>
          </w:p>
        </w:tc>
        <w:tc>
          <w:tcPr>
            <w:tcW w:type="dxa" w:w="2592"/>
            <w:shd w:fill="1F4E79"/>
            <w:tcMar>
              <w:top w:w="50" w:type="dxa"/>
              <w:start w:w="55" w:type="dxa"/>
              <w:bottom w:w="50" w:type="dxa"/>
              <w:end w:w="55" w:type="dxa"/>
            </w:tcMar>
          </w:tcPr>
          <w:p>
            <w:pPr>
              <w:spacing w:after="0"/>
              <w:jc w:val="center"/>
            </w:pPr>
            <w:r>
              <w:rPr>
                <w:rFonts w:ascii="Aptos" w:hAnsi="Aptos"/>
                <w:b/>
                <w:color w:val="FFFFFF"/>
                <w:sz w:val="12"/>
              </w:rPr>
              <w:t>Boundary Rule</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Presentation</w:t>
            </w:r>
          </w:p>
        </w:tc>
        <w:tc>
          <w:tcPr>
            <w:tcW w:type="dxa" w:w="3168"/>
            <w:vAlign w:val="top"/>
            <w:tcMar>
              <w:top w:w="45" w:type="dxa"/>
              <w:start w:w="55" w:type="dxa"/>
              <w:bottom w:w="45" w:type="dxa"/>
              <w:end w:w="55" w:type="dxa"/>
            </w:tcMar>
          </w:tcPr>
          <w:p>
            <w:pPr>
              <w:spacing w:after="0" w:line="240" w:lineRule="auto"/>
            </w:pPr>
            <w:r>
              <w:rPr>
                <w:rFonts w:ascii="Aptos" w:hAnsi="Aptos"/>
                <w:sz w:val="12"/>
              </w:rPr>
              <w:t>User interaction, accessibility, client-side validation, and display logic.</w:t>
            </w:r>
          </w:p>
        </w:tc>
        <w:tc>
          <w:tcPr>
            <w:tcW w:type="dxa" w:w="3168"/>
            <w:vAlign w:val="top"/>
            <w:tcMar>
              <w:top w:w="45" w:type="dxa"/>
              <w:start w:w="55" w:type="dxa"/>
              <w:bottom w:w="45" w:type="dxa"/>
              <w:end w:w="55" w:type="dxa"/>
            </w:tcMar>
          </w:tcPr>
          <w:p>
            <w:pPr>
              <w:spacing w:after="0" w:line="240" w:lineRule="auto"/>
            </w:pPr>
            <w:r>
              <w:rPr>
                <w:rFonts w:ascii="Aptos" w:hAnsi="Aptos"/>
                <w:sz w:val="12"/>
              </w:rPr>
              <w:t>React, Next.js, TypeScript, Tailwind</w:t>
            </w:r>
          </w:p>
        </w:tc>
        <w:tc>
          <w:tcPr>
            <w:tcW w:type="dxa" w:w="2592"/>
            <w:vAlign w:val="top"/>
            <w:tcMar>
              <w:top w:w="45" w:type="dxa"/>
              <w:start w:w="55" w:type="dxa"/>
              <w:bottom w:w="45" w:type="dxa"/>
              <w:end w:w="55" w:type="dxa"/>
            </w:tcMar>
          </w:tcPr>
          <w:p>
            <w:pPr>
              <w:spacing w:after="0" w:line="240" w:lineRule="auto"/>
            </w:pPr>
            <w:r>
              <w:rPr>
                <w:rFonts w:ascii="Aptos" w:hAnsi="Aptos"/>
                <w:sz w:val="12"/>
              </w:rPr>
              <w:t>No domain decisions, direct data access, model calls, or secrets.</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Enterprise Edge</w:t>
            </w:r>
          </w:p>
        </w:tc>
        <w:tc>
          <w:tcPr>
            <w:tcW w:type="dxa" w:w="3168"/>
            <w:vAlign w:val="top"/>
            <w:tcMar>
              <w:top w:w="45" w:type="dxa"/>
              <w:start w:w="55" w:type="dxa"/>
              <w:bottom w:w="45" w:type="dxa"/>
              <w:end w:w="55" w:type="dxa"/>
            </w:tcMar>
          </w:tcPr>
          <w:p>
            <w:pPr>
              <w:spacing w:after="0" w:line="240" w:lineRule="auto"/>
            </w:pPr>
            <w:r>
              <w:rPr>
                <w:rFonts w:ascii="Aptos" w:hAnsi="Aptos"/>
                <w:sz w:val="12"/>
              </w:rPr>
              <w:t>Ingress, authentication, route policy, request correlation, rate limiting, and edge observability.</w:t>
            </w:r>
          </w:p>
        </w:tc>
        <w:tc>
          <w:tcPr>
            <w:tcW w:type="dxa" w:w="3168"/>
            <w:vAlign w:val="top"/>
            <w:tcMar>
              <w:top w:w="45" w:type="dxa"/>
              <w:start w:w="55" w:type="dxa"/>
              <w:bottom w:w="45" w:type="dxa"/>
              <w:end w:w="55" w:type="dxa"/>
            </w:tcMar>
          </w:tcPr>
          <w:p>
            <w:pPr>
              <w:spacing w:after="0" w:line="240" w:lineRule="auto"/>
            </w:pPr>
            <w:r>
              <w:rPr>
                <w:rFonts w:ascii="Aptos" w:hAnsi="Aptos"/>
                <w:sz w:val="12"/>
              </w:rPr>
              <w:t>Spring Cloud Gateway, TLS, OIDC/JWT</w:t>
            </w:r>
          </w:p>
        </w:tc>
        <w:tc>
          <w:tcPr>
            <w:tcW w:type="dxa" w:w="2592"/>
            <w:vAlign w:val="top"/>
            <w:tcMar>
              <w:top w:w="45" w:type="dxa"/>
              <w:start w:w="55" w:type="dxa"/>
              <w:bottom w:w="45" w:type="dxa"/>
              <w:end w:w="55" w:type="dxa"/>
            </w:tcMar>
          </w:tcPr>
          <w:p>
            <w:pPr>
              <w:spacing w:after="0" w:line="240" w:lineRule="auto"/>
            </w:pPr>
            <w:r>
              <w:rPr>
                <w:rFonts w:ascii="Aptos" w:hAnsi="Aptos"/>
                <w:sz w:val="12"/>
              </w:rPr>
              <w:t>No business rules or prompt construction.</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Application / Domain Services</w:t>
            </w:r>
          </w:p>
        </w:tc>
        <w:tc>
          <w:tcPr>
            <w:tcW w:type="dxa" w:w="3168"/>
            <w:vAlign w:val="top"/>
            <w:tcMar>
              <w:top w:w="45" w:type="dxa"/>
              <w:start w:w="55" w:type="dxa"/>
              <w:bottom w:w="45" w:type="dxa"/>
              <w:end w:w="55" w:type="dxa"/>
            </w:tcMar>
          </w:tcPr>
          <w:p>
            <w:pPr>
              <w:spacing w:after="0" w:line="240" w:lineRule="auto"/>
            </w:pPr>
            <w:r>
              <w:rPr>
                <w:rFonts w:ascii="Aptos" w:hAnsi="Aptos"/>
                <w:sz w:val="12"/>
              </w:rPr>
              <w:t>Bounded-context APIs, domain orchestration, domain events, validation, and business invariants.</w:t>
            </w:r>
          </w:p>
        </w:tc>
        <w:tc>
          <w:tcPr>
            <w:tcW w:type="dxa" w:w="3168"/>
            <w:vAlign w:val="top"/>
            <w:tcMar>
              <w:top w:w="45" w:type="dxa"/>
              <w:start w:w="55" w:type="dxa"/>
              <w:bottom w:w="45" w:type="dxa"/>
              <w:end w:w="55" w:type="dxa"/>
            </w:tcMar>
          </w:tcPr>
          <w:p>
            <w:pPr>
              <w:spacing w:after="0" w:line="240" w:lineRule="auto"/>
            </w:pPr>
            <w:r>
              <w:rPr>
                <w:rFonts w:ascii="Aptos" w:hAnsi="Aptos"/>
                <w:sz w:val="12"/>
              </w:rPr>
              <w:t>Spring Boot, Spring Security, Resilience4j</w:t>
            </w:r>
          </w:p>
        </w:tc>
        <w:tc>
          <w:tcPr>
            <w:tcW w:type="dxa" w:w="2592"/>
            <w:vAlign w:val="top"/>
            <w:tcMar>
              <w:top w:w="45" w:type="dxa"/>
              <w:start w:w="55" w:type="dxa"/>
              <w:bottom w:w="45" w:type="dxa"/>
              <w:end w:w="55" w:type="dxa"/>
            </w:tcMar>
          </w:tcPr>
          <w:p>
            <w:pPr>
              <w:spacing w:after="0" w:line="240" w:lineRule="auto"/>
            </w:pPr>
            <w:r>
              <w:rPr>
                <w:rFonts w:ascii="Aptos" w:hAnsi="Aptos"/>
                <w:sz w:val="12"/>
              </w:rPr>
              <w:t>Depend on ports and domain abstractions, not provider SDKs or infrastructure details.</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Workflow and Process</w:t>
            </w:r>
          </w:p>
        </w:tc>
        <w:tc>
          <w:tcPr>
            <w:tcW w:type="dxa" w:w="3168"/>
            <w:vAlign w:val="top"/>
            <w:tcMar>
              <w:top w:w="45" w:type="dxa"/>
              <w:start w:w="55" w:type="dxa"/>
              <w:bottom w:w="45" w:type="dxa"/>
              <w:end w:w="55" w:type="dxa"/>
            </w:tcMar>
          </w:tcPr>
          <w:p>
            <w:pPr>
              <w:spacing w:after="0" w:line="240" w:lineRule="auto"/>
            </w:pPr>
            <w:r>
              <w:rPr>
                <w:rFonts w:ascii="Aptos" w:hAnsi="Aptos"/>
                <w:sz w:val="12"/>
              </w:rPr>
              <w:t>Machine durability, sagas, compensation, human approvals, DMN, and configurable MicroFunction execution.</w:t>
            </w:r>
          </w:p>
        </w:tc>
        <w:tc>
          <w:tcPr>
            <w:tcW w:type="dxa" w:w="3168"/>
            <w:vAlign w:val="top"/>
            <w:tcMar>
              <w:top w:w="45" w:type="dxa"/>
              <w:start w:w="55" w:type="dxa"/>
              <w:bottom w:w="45" w:type="dxa"/>
              <w:end w:w="55" w:type="dxa"/>
            </w:tcMar>
          </w:tcPr>
          <w:p>
            <w:pPr>
              <w:spacing w:after="0" w:line="240" w:lineRule="auto"/>
            </w:pPr>
            <w:r>
              <w:rPr>
                <w:rFonts w:ascii="Aptos" w:hAnsi="Aptos"/>
                <w:sz w:val="12"/>
              </w:rPr>
              <w:t>Temporal, Flowable, MicroFunction runtime</w:t>
            </w:r>
          </w:p>
        </w:tc>
        <w:tc>
          <w:tcPr>
            <w:tcW w:type="dxa" w:w="2592"/>
            <w:vAlign w:val="top"/>
            <w:tcMar>
              <w:top w:w="45" w:type="dxa"/>
              <w:start w:w="55" w:type="dxa"/>
              <w:bottom w:w="45" w:type="dxa"/>
              <w:end w:w="55" w:type="dxa"/>
            </w:tcMar>
          </w:tcPr>
          <w:p>
            <w:pPr>
              <w:spacing w:after="0" w:line="240" w:lineRule="auto"/>
            </w:pPr>
            <w:r>
              <w:rPr>
                <w:rFonts w:ascii="Aptos" w:hAnsi="Aptos"/>
                <w:sz w:val="12"/>
              </w:rPr>
              <w:t>Temporal handles machine durability; Flowable handles humans and approvals.</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AI Orchestration and Safety</w:t>
            </w:r>
          </w:p>
        </w:tc>
        <w:tc>
          <w:tcPr>
            <w:tcW w:type="dxa" w:w="3168"/>
            <w:vAlign w:val="top"/>
            <w:tcMar>
              <w:top w:w="45" w:type="dxa"/>
              <w:start w:w="55" w:type="dxa"/>
              <w:bottom w:w="45" w:type="dxa"/>
              <w:end w:w="55" w:type="dxa"/>
            </w:tcMar>
          </w:tcPr>
          <w:p>
            <w:pPr>
              <w:spacing w:after="0" w:line="240" w:lineRule="auto"/>
            </w:pPr>
            <w:r>
              <w:rPr>
                <w:rFonts w:ascii="Aptos" w:hAnsi="Aptos"/>
                <w:sz w:val="12"/>
              </w:rPr>
              <w:t>Prompt assembly, retrieval coordination, guardrail sequencing, model routing, and tool-action boundary.</w:t>
            </w:r>
          </w:p>
        </w:tc>
        <w:tc>
          <w:tcPr>
            <w:tcW w:type="dxa" w:w="3168"/>
            <w:vAlign w:val="top"/>
            <w:tcMar>
              <w:top w:w="45" w:type="dxa"/>
              <w:start w:w="55" w:type="dxa"/>
              <w:bottom w:w="45" w:type="dxa"/>
              <w:end w:w="55" w:type="dxa"/>
            </w:tcMar>
          </w:tcPr>
          <w:p>
            <w:pPr>
              <w:spacing w:after="0" w:line="240" w:lineRule="auto"/>
            </w:pPr>
            <w:r>
              <w:rPr>
                <w:rFonts w:ascii="Aptos" w:hAnsi="Aptos"/>
                <w:sz w:val="12"/>
              </w:rPr>
              <w:t>Spring AI, Hermes, NeMo Guardrails, LiteLLM, Harness, OPA, SBAC</w:t>
            </w:r>
          </w:p>
        </w:tc>
        <w:tc>
          <w:tcPr>
            <w:tcW w:type="dxa" w:w="2592"/>
            <w:vAlign w:val="top"/>
            <w:tcMar>
              <w:top w:w="45" w:type="dxa"/>
              <w:start w:w="55" w:type="dxa"/>
              <w:bottom w:w="45" w:type="dxa"/>
              <w:end w:w="55" w:type="dxa"/>
            </w:tcMar>
          </w:tcPr>
          <w:p>
            <w:pPr>
              <w:spacing w:after="0" w:line="240" w:lineRule="auto"/>
            </w:pPr>
            <w:r>
              <w:rPr>
                <w:rFonts w:ascii="Aptos" w:hAnsi="Aptos"/>
                <w:sz w:val="12"/>
              </w:rPr>
              <w:t>Reasoning and execution remain separated.</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Data, Knowledge, and Retrieval</w:t>
            </w:r>
          </w:p>
        </w:tc>
        <w:tc>
          <w:tcPr>
            <w:tcW w:type="dxa" w:w="3168"/>
            <w:vAlign w:val="top"/>
            <w:tcMar>
              <w:top w:w="45" w:type="dxa"/>
              <w:start w:w="55" w:type="dxa"/>
              <w:bottom w:w="45" w:type="dxa"/>
              <w:end w:w="55" w:type="dxa"/>
            </w:tcMar>
          </w:tcPr>
          <w:p>
            <w:pPr>
              <w:spacing w:after="0" w:line="240" w:lineRule="auto"/>
            </w:pPr>
            <w:r>
              <w:rPr>
                <w:rFonts w:ascii="Aptos" w:hAnsi="Aptos"/>
                <w:sz w:val="12"/>
              </w:rPr>
              <w:t>Authoritative records, document storage, embeddings, retrieval, curated knowledge, and caches.</w:t>
            </w:r>
          </w:p>
        </w:tc>
        <w:tc>
          <w:tcPr>
            <w:tcW w:type="dxa" w:w="3168"/>
            <w:vAlign w:val="top"/>
            <w:tcMar>
              <w:top w:w="45" w:type="dxa"/>
              <w:start w:w="55" w:type="dxa"/>
              <w:bottom w:w="45" w:type="dxa"/>
              <w:end w:w="55" w:type="dxa"/>
            </w:tcMar>
          </w:tcPr>
          <w:p>
            <w:pPr>
              <w:spacing w:after="0" w:line="240" w:lineRule="auto"/>
            </w:pPr>
            <w:r>
              <w:rPr>
                <w:rFonts w:ascii="Aptos" w:hAnsi="Aptos"/>
                <w:sz w:val="12"/>
              </w:rPr>
              <w:t>OpenKM, PostgreSQL, pgvector, LightRAG, LLM Wiki, Obsidian, Redis/Caffeine</w:t>
            </w:r>
          </w:p>
        </w:tc>
        <w:tc>
          <w:tcPr>
            <w:tcW w:type="dxa" w:w="2592"/>
            <w:vAlign w:val="top"/>
            <w:tcMar>
              <w:top w:w="45" w:type="dxa"/>
              <w:start w:w="55" w:type="dxa"/>
              <w:bottom w:w="45" w:type="dxa"/>
              <w:end w:w="55" w:type="dxa"/>
            </w:tcMar>
          </w:tcPr>
          <w:p>
            <w:pPr>
              <w:spacing w:after="0" w:line="240" w:lineRule="auto"/>
            </w:pPr>
            <w:r>
              <w:rPr>
                <w:rFonts w:ascii="Aptos" w:hAnsi="Aptos"/>
                <w:sz w:val="12"/>
              </w:rPr>
              <w:t>Raw authoritative sources govern; derivatives rebuild from source.</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Integration and Eventing</w:t>
            </w:r>
          </w:p>
        </w:tc>
        <w:tc>
          <w:tcPr>
            <w:tcW w:type="dxa" w:w="3168"/>
            <w:vAlign w:val="top"/>
            <w:tcMar>
              <w:top w:w="45" w:type="dxa"/>
              <w:start w:w="55" w:type="dxa"/>
              <w:bottom w:w="45" w:type="dxa"/>
              <w:end w:w="55" w:type="dxa"/>
            </w:tcMar>
          </w:tcPr>
          <w:p>
            <w:pPr>
              <w:spacing w:after="0" w:line="240" w:lineRule="auto"/>
            </w:pPr>
            <w:r>
              <w:rPr>
                <w:rFonts w:ascii="Aptos" w:hAnsi="Aptos"/>
                <w:sz w:val="12"/>
              </w:rPr>
              <w:t>Asynchronous integration, lifecycle events, schemas, retries, DLQs, and external adapters.</w:t>
            </w:r>
          </w:p>
        </w:tc>
        <w:tc>
          <w:tcPr>
            <w:tcW w:type="dxa" w:w="3168"/>
            <w:vAlign w:val="top"/>
            <w:tcMar>
              <w:top w:w="45" w:type="dxa"/>
              <w:start w:w="55" w:type="dxa"/>
              <w:bottom w:w="45" w:type="dxa"/>
              <w:end w:w="55" w:type="dxa"/>
            </w:tcMar>
          </w:tcPr>
          <w:p>
            <w:pPr>
              <w:spacing w:after="0" w:line="240" w:lineRule="auto"/>
            </w:pPr>
            <w:r>
              <w:rPr>
                <w:rFonts w:ascii="Aptos" w:hAnsi="Aptos"/>
                <w:sz w:val="12"/>
              </w:rPr>
              <w:t>Kafka, Avro, CloudEvents, schema registry</w:t>
            </w:r>
          </w:p>
        </w:tc>
        <w:tc>
          <w:tcPr>
            <w:tcW w:type="dxa" w:w="2592"/>
            <w:vAlign w:val="top"/>
            <w:tcMar>
              <w:top w:w="45" w:type="dxa"/>
              <w:start w:w="55" w:type="dxa"/>
              <w:bottom w:w="45" w:type="dxa"/>
              <w:end w:w="55" w:type="dxa"/>
            </w:tcMar>
          </w:tcPr>
          <w:p>
            <w:pPr>
              <w:spacing w:after="0" w:line="240" w:lineRule="auto"/>
            </w:pPr>
            <w:r>
              <w:rPr>
                <w:rFonts w:ascii="Aptos" w:hAnsi="Aptos"/>
                <w:sz w:val="12"/>
              </w:rPr>
              <w:t>Events are contracts, not logs.</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2"/>
              </w:rPr>
              <w:t>Platform, Security, and Observability</w:t>
            </w:r>
          </w:p>
        </w:tc>
        <w:tc>
          <w:tcPr>
            <w:tcW w:type="dxa" w:w="3168"/>
            <w:vAlign w:val="top"/>
            <w:tcMar>
              <w:top w:w="45" w:type="dxa"/>
              <w:start w:w="55" w:type="dxa"/>
              <w:bottom w:w="45" w:type="dxa"/>
              <w:end w:w="55" w:type="dxa"/>
            </w:tcMar>
          </w:tcPr>
          <w:p>
            <w:pPr>
              <w:spacing w:after="0" w:line="240" w:lineRule="auto"/>
            </w:pPr>
            <w:r>
              <w:rPr>
                <w:rFonts w:ascii="Aptos" w:hAnsi="Aptos"/>
                <w:sz w:val="12"/>
              </w:rPr>
              <w:t>Runtime platform, identity, secrets, telemetry, evidence, policy, and operations.</w:t>
            </w:r>
          </w:p>
        </w:tc>
        <w:tc>
          <w:tcPr>
            <w:tcW w:type="dxa" w:w="3168"/>
            <w:vAlign w:val="top"/>
            <w:tcMar>
              <w:top w:w="45" w:type="dxa"/>
              <w:start w:w="55" w:type="dxa"/>
              <w:bottom w:w="45" w:type="dxa"/>
              <w:end w:w="55" w:type="dxa"/>
            </w:tcMar>
          </w:tcPr>
          <w:p>
            <w:pPr>
              <w:spacing w:after="0" w:line="240" w:lineRule="auto"/>
            </w:pPr>
            <w:r>
              <w:rPr>
                <w:rFonts w:ascii="Aptos" w:hAnsi="Aptos"/>
                <w:sz w:val="12"/>
              </w:rPr>
              <w:t>Linux, Proxmox, Kubernetes, Vault, SPIFFE/SVID, OpenTelemetry, Prometheus, Loki, Tempo, Sentry, Grafana</w:t>
            </w:r>
          </w:p>
        </w:tc>
        <w:tc>
          <w:tcPr>
            <w:tcW w:type="dxa" w:w="2592"/>
            <w:vAlign w:val="top"/>
            <w:tcMar>
              <w:top w:w="45" w:type="dxa"/>
              <w:start w:w="55" w:type="dxa"/>
              <w:bottom w:w="45" w:type="dxa"/>
              <w:end w:w="55" w:type="dxa"/>
            </w:tcMar>
          </w:tcPr>
          <w:p>
            <w:pPr>
              <w:spacing w:after="0" w:line="240" w:lineRule="auto"/>
            </w:pPr>
            <w:r>
              <w:rPr>
                <w:rFonts w:ascii="Aptos" w:hAnsi="Aptos"/>
                <w:sz w:val="12"/>
              </w:rPr>
              <w:t>Desired state comes from Git and approved operational workflows.</w:t>
            </w:r>
          </w:p>
        </w:tc>
      </w:tr>
    </w:tbl>
    <w:p/>
    <w:p>
      <w:pPr>
        <w:spacing w:after="40"/>
      </w:pPr>
      <w:r>
        <w:rPr>
          <w:rFonts w:ascii="Aptos" w:hAnsi="Aptos"/>
          <w:b/>
          <w:color w:val="1F4E79"/>
          <w:sz w:val="17"/>
        </w:rPr>
        <w:t>Figure 1. Copy-ready Mermaid - Layered architecture overview</w:t>
      </w:r>
    </w:p>
    <w:tbl>
      <w:tblPr>
        <w:tblStyle w:val="TableGrid"/>
        <w:tblW w:type="auto" w:w="0"/>
        <w:tblLook w:firstColumn="1" w:firstRow="1" w:lastColumn="0" w:lastRow="0" w:noHBand="0" w:noVBand="1" w:val="04A0"/>
      </w:tblPr>
      <w:tblGrid>
        <w:gridCol w:w="10454"/>
      </w:tblGrid>
      <w:tr>
        <w:tc>
          <w:tcPr>
            <w:tcW w:type="dxa" w:w="10454"/>
            <w:shd w:fill="F4F6F7"/>
            <w:tcMar>
              <w:top w:w="100" w:type="dxa"/>
              <w:start w:w="120" w:type="dxa"/>
              <w:bottom w:w="100" w:type="dxa"/>
              <w:end w:w="120" w:type="dxa"/>
            </w:tcMar>
          </w:tcPr>
          <w:p>
            <w:pPr>
              <w:spacing w:after="0"/>
            </w:pPr>
            <w:r>
              <w:rPr>
                <w:rFonts w:ascii="Courier New" w:hAnsi="Courier New"/>
                <w:color w:val="333333"/>
                <w:sz w:val="12"/>
              </w:rPr>
              <w:t>flowchart TD</w:t>
            </w:r>
            <w:r>
              <w:br/>
            </w:r>
            <w:r>
              <w:rPr>
                <w:rFonts w:ascii="Courier New" w:hAnsi="Courier New"/>
                <w:color w:val="333333"/>
                <w:sz w:val="12"/>
              </w:rPr>
              <w:t xml:space="preserve">  UI[Presentation Layer] --&gt; GW[Enterprise Edge / Spring Cloud Gateway]</w:t>
            </w:r>
            <w:r>
              <w:br/>
            </w:r>
            <w:r>
              <w:rPr>
                <w:rFonts w:ascii="Courier New" w:hAnsi="Courier New"/>
                <w:color w:val="333333"/>
                <w:sz w:val="12"/>
              </w:rPr>
              <w:t xml:space="preserve">  GW --&gt; APP[Application and Domain Services]</w:t>
            </w:r>
            <w:r>
              <w:br/>
            </w:r>
            <w:r>
              <w:rPr>
                <w:rFonts w:ascii="Courier New" w:hAnsi="Courier New"/>
                <w:color w:val="333333"/>
                <w:sz w:val="12"/>
              </w:rPr>
              <w:t xml:space="preserve">  APP --&gt; WF[Workflow and Process: Temporal + Flowable + MicroFunctions]</w:t>
            </w:r>
            <w:r>
              <w:br/>
            </w:r>
            <w:r>
              <w:rPr>
                <w:rFonts w:ascii="Courier New" w:hAnsi="Courier New"/>
                <w:color w:val="333333"/>
                <w:sz w:val="12"/>
              </w:rPr>
              <w:t xml:space="preserve">  APP --&gt; AI[AI Orchestration and Safety: Hermes + Guardrails + LiteLLM + Harness]</w:t>
            </w:r>
            <w:r>
              <w:br/>
            </w:r>
            <w:r>
              <w:rPr>
                <w:rFonts w:ascii="Courier New" w:hAnsi="Courier New"/>
                <w:color w:val="333333"/>
                <w:sz w:val="12"/>
              </w:rPr>
              <w:t xml:space="preserve">  APP --&gt; DATA[Data, Knowledge and Retrieval: OpenKM + PostgreSQL + pgvector + LightRAG + LLM Wiki]</w:t>
            </w:r>
            <w:r>
              <w:br/>
            </w:r>
            <w:r>
              <w:rPr>
                <w:rFonts w:ascii="Courier New" w:hAnsi="Courier New"/>
                <w:color w:val="333333"/>
                <w:sz w:val="12"/>
              </w:rPr>
              <w:t xml:space="preserve">  APP --&gt; EVT[Integration and Eventing: Kafka + Avro + CloudEvents]</w:t>
            </w:r>
            <w:r>
              <w:br/>
            </w:r>
            <w:r>
              <w:rPr>
                <w:rFonts w:ascii="Courier New" w:hAnsi="Courier New"/>
                <w:color w:val="333333"/>
                <w:sz w:val="12"/>
              </w:rPr>
              <w:t xml:space="preserve">  AI --&gt; POL[OPA + SBAC + Trust + Audit]</w:t>
            </w:r>
            <w:r>
              <w:br/>
            </w:r>
            <w:r>
              <w:rPr>
                <w:rFonts w:ascii="Courier New" w:hAnsi="Courier New"/>
                <w:color w:val="333333"/>
                <w:sz w:val="12"/>
              </w:rPr>
              <w:t xml:space="preserve">  WF --&gt; AUD[Evidence and Audit]</w:t>
            </w:r>
            <w:r>
              <w:br/>
            </w:r>
            <w:r>
              <w:rPr>
                <w:rFonts w:ascii="Courier New" w:hAnsi="Courier New"/>
                <w:color w:val="333333"/>
                <w:sz w:val="12"/>
              </w:rPr>
              <w:t xml:space="preserve">  DATA --&gt; AUD</w:t>
            </w:r>
            <w:r>
              <w:br/>
            </w:r>
            <w:r>
              <w:rPr>
                <w:rFonts w:ascii="Courier New" w:hAnsi="Courier New"/>
                <w:color w:val="333333"/>
                <w:sz w:val="12"/>
              </w:rPr>
              <w:t xml:space="preserve">  EVT --&gt; AUD</w:t>
            </w:r>
          </w:p>
        </w:tc>
      </w:tr>
    </w:tbl>
    <w:p/>
    <w:p>
      <w:pPr>
        <w:pStyle w:val="Heading2"/>
        <w:keepNext/>
        <w:spacing w:before="120" w:after="80"/>
      </w:pPr>
    </w:p>
    <w:p>
      <w:pPr>
        <w:spacing w:after="80" w:line="250" w:lineRule="auto"/>
      </w:pPr>
      <w:r>
        <w:rPr>
          <w:rFonts w:ascii="Aptos" w:hAnsi="Aptos"/>
          <w:sz w:val="18"/>
        </w:rPr>
        <w:t>AIRA engineering artifacts move from source and policy to runtime through one governed path: Git change -&gt; MR/PR review -&gt; CI evidence -&gt; signed artifact -&gt; registry -&gt; GitOps reconciliation -&gt; admission policy -&gt; runtime. Workstations and AI agents do not push directly to clusters, databases, model backends, document stores, or operational tools.</w:t>
      </w:r>
    </w:p>
    <w:p>
      <w:pPr>
        <w:pStyle w:val="ListBullet"/>
        <w:spacing w:after="40"/>
        <w:ind w:left="259"/>
      </w:pPr>
      <w:r>
        <w:rPr>
          <w:rFonts w:ascii="Aptos" w:hAnsi="Aptos"/>
          <w:sz w:val="17"/>
        </w:rPr>
        <w:t>Desired state is declared in Git and reconciled by GitOps tooling.</w:t>
      </w:r>
    </w:p>
    <w:p>
      <w:pPr>
        <w:pStyle w:val="ListBullet"/>
        <w:spacing w:after="40"/>
        <w:ind w:left="259"/>
      </w:pPr>
      <w:r>
        <w:rPr>
          <w:rFonts w:ascii="Aptos" w:hAnsi="Aptos"/>
          <w:sz w:val="17"/>
        </w:rPr>
        <w:t>Runtime state must be explainable as a projection of approved source state, approved configuration, and approved operational workflow history.</w:t>
      </w:r>
    </w:p>
    <w:p>
      <w:pPr>
        <w:pStyle w:val="ListBullet"/>
        <w:spacing w:after="40"/>
        <w:ind w:left="259"/>
      </w:pPr>
      <w:r>
        <w:rPr>
          <w:rFonts w:ascii="Aptos" w:hAnsi="Aptos"/>
          <w:sz w:val="17"/>
        </w:rPr>
        <w:t>Manual emergency actions are read-only by default and write-capable only under break-glass workflow with named approval, time-boxed access, and post-action reconciliation.</w:t>
      </w:r>
    </w:p>
    <w:p>
      <w:pPr>
        <w:pStyle w:val="Heading1"/>
        <w:keepNext/>
        <w:spacing w:before="160" w:after="80"/>
      </w:pPr>
    </w:p>
    <w:p>
      <w:pPr>
        <w:spacing w:after="80" w:line="250" w:lineRule="auto"/>
      </w:pPr>
      <w:r>
        <w:rPr>
          <w:rFonts w:ascii="Aptos" w:hAnsi="Aptos"/>
          <w:sz w:val="18"/>
        </w:rPr>
        <w:t>AIRA uses bounded contexts and clean architectural boundaries to prevent long-term entropy. Each bounded context owns its domain model, language, APIs, events, schema, policies, tests, and evidence. Shared data ownership is prohibited unless explicitly approved as a platform concern.</w:t>
      </w:r>
    </w:p>
    <w:p>
      <w:pPr>
        <w:pStyle w:val="Heading2"/>
        <w:keepNext/>
        <w:spacing w:before="12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72"/>
            <w:shd w:fill="1F4E79"/>
            <w:tcMar>
              <w:top w:w="50" w:type="dxa"/>
              <w:start w:w="55" w:type="dxa"/>
              <w:bottom w:w="50" w:type="dxa"/>
              <w:end w:w="55" w:type="dxa"/>
            </w:tcMar>
          </w:tcPr>
          <w:p>
            <w:pPr>
              <w:spacing w:after="0"/>
              <w:jc w:val="center"/>
            </w:pPr>
            <w:r>
              <w:rPr>
                <w:rFonts w:ascii="Aptos" w:hAnsi="Aptos"/>
                <w:b/>
                <w:color w:val="FFFFFF"/>
                <w:sz w:val="13"/>
              </w:rPr>
              <w:t>Package / Layer</w:t>
            </w:r>
          </w:p>
        </w:tc>
        <w:tc>
          <w:tcPr>
            <w:tcW w:type="dxa" w:w="4320"/>
            <w:shd w:fill="1F4E79"/>
            <w:tcMar>
              <w:top w:w="50" w:type="dxa"/>
              <w:start w:w="55" w:type="dxa"/>
              <w:bottom w:w="50" w:type="dxa"/>
              <w:end w:w="55" w:type="dxa"/>
            </w:tcMar>
          </w:tcPr>
          <w:p>
            <w:pPr>
              <w:spacing w:after="0"/>
              <w:jc w:val="center"/>
            </w:pPr>
            <w:r>
              <w:rPr>
                <w:rFonts w:ascii="Aptos" w:hAnsi="Aptos"/>
                <w:b/>
                <w:color w:val="FFFFFF"/>
                <w:sz w:val="13"/>
              </w:rPr>
              <w:t>May Depend On</w:t>
            </w:r>
          </w:p>
        </w:tc>
        <w:tc>
          <w:tcPr>
            <w:tcW w:type="dxa" w:w="3888"/>
            <w:shd w:fill="1F4E79"/>
            <w:tcMar>
              <w:top w:w="50" w:type="dxa"/>
              <w:start w:w="55" w:type="dxa"/>
              <w:bottom w:w="50" w:type="dxa"/>
              <w:end w:w="55" w:type="dxa"/>
            </w:tcMar>
          </w:tcPr>
          <w:p>
            <w:pPr>
              <w:spacing w:after="0"/>
              <w:jc w:val="center"/>
            </w:pPr>
            <w:r>
              <w:rPr>
                <w:rFonts w:ascii="Aptos" w:hAnsi="Aptos"/>
                <w:b/>
                <w:color w:val="FFFFFF"/>
                <w:sz w:val="13"/>
              </w:rPr>
              <w:t>Must Not Depend On</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domain</w:t>
            </w:r>
          </w:p>
        </w:tc>
        <w:tc>
          <w:tcPr>
            <w:tcW w:type="dxa" w:w="4320"/>
            <w:vAlign w:val="top"/>
            <w:tcMar>
              <w:top w:w="45" w:type="dxa"/>
              <w:start w:w="55" w:type="dxa"/>
              <w:bottom w:w="45" w:type="dxa"/>
              <w:end w:w="55" w:type="dxa"/>
            </w:tcMar>
          </w:tcPr>
          <w:p>
            <w:pPr>
              <w:spacing w:after="0" w:line="240" w:lineRule="auto"/>
            </w:pPr>
            <w:r>
              <w:rPr>
                <w:rFonts w:ascii="Aptos" w:hAnsi="Aptos"/>
                <w:sz w:val="13"/>
              </w:rPr>
              <w:t>Domain primitives, value objects, domain services, domain events, domain policies</w:t>
            </w:r>
          </w:p>
        </w:tc>
        <w:tc>
          <w:tcPr>
            <w:tcW w:type="dxa" w:w="3888"/>
            <w:vAlign w:val="top"/>
            <w:tcMar>
              <w:top w:w="45" w:type="dxa"/>
              <w:start w:w="55" w:type="dxa"/>
              <w:bottom w:w="45" w:type="dxa"/>
              <w:end w:w="55" w:type="dxa"/>
            </w:tcMar>
          </w:tcPr>
          <w:p>
            <w:pPr>
              <w:spacing w:after="0" w:line="240" w:lineRule="auto"/>
            </w:pPr>
            <w:r>
              <w:rPr>
                <w:rFonts w:ascii="Aptos" w:hAnsi="Aptos"/>
                <w:sz w:val="13"/>
              </w:rPr>
              <w:t>Spring controllers, repositories, Kafka, HTTP clients, provider SDKs, database clients, LiteLLM, Vault</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application</w:t>
            </w:r>
          </w:p>
        </w:tc>
        <w:tc>
          <w:tcPr>
            <w:tcW w:type="dxa" w:w="4320"/>
            <w:vAlign w:val="top"/>
            <w:tcMar>
              <w:top w:w="45" w:type="dxa"/>
              <w:start w:w="55" w:type="dxa"/>
              <w:bottom w:w="45" w:type="dxa"/>
              <w:end w:w="55" w:type="dxa"/>
            </w:tcMar>
          </w:tcPr>
          <w:p>
            <w:pPr>
              <w:spacing w:after="0" w:line="240" w:lineRule="auto"/>
            </w:pPr>
            <w:r>
              <w:rPr>
                <w:rFonts w:ascii="Aptos" w:hAnsi="Aptos"/>
                <w:sz w:val="13"/>
              </w:rPr>
              <w:t>Domain, application ports, DTOs, command/query handlers, use-case orchestration</w:t>
            </w:r>
          </w:p>
        </w:tc>
        <w:tc>
          <w:tcPr>
            <w:tcW w:type="dxa" w:w="3888"/>
            <w:vAlign w:val="top"/>
            <w:tcMar>
              <w:top w:w="45" w:type="dxa"/>
              <w:start w:w="55" w:type="dxa"/>
              <w:bottom w:w="45" w:type="dxa"/>
              <w:end w:w="55" w:type="dxa"/>
            </w:tcMar>
          </w:tcPr>
          <w:p>
            <w:pPr>
              <w:spacing w:after="0" w:line="240" w:lineRule="auto"/>
            </w:pPr>
            <w:r>
              <w:rPr>
                <w:rFonts w:ascii="Aptos" w:hAnsi="Aptos"/>
                <w:sz w:val="13"/>
              </w:rPr>
              <w:t>Provider-specific SDKs, direct SQL construction, direct model calls, direct infrastructure actions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adapter.in</w:t>
            </w:r>
          </w:p>
        </w:tc>
        <w:tc>
          <w:tcPr>
            <w:tcW w:type="dxa" w:w="4320"/>
            <w:vAlign w:val="top"/>
            <w:tcMar>
              <w:top w:w="45" w:type="dxa"/>
              <w:start w:w="55" w:type="dxa"/>
              <w:bottom w:w="45" w:type="dxa"/>
              <w:end w:w="55" w:type="dxa"/>
            </w:tcMar>
          </w:tcPr>
          <w:p>
            <w:pPr>
              <w:spacing w:after="0" w:line="240" w:lineRule="auto"/>
            </w:pPr>
            <w:r>
              <w:rPr>
                <w:rFonts w:ascii="Aptos" w:hAnsi="Aptos"/>
                <w:sz w:val="13"/>
              </w:rPr>
              <w:t>Application ports, controllers, message consumers, workflow entry points</w:t>
            </w:r>
          </w:p>
        </w:tc>
        <w:tc>
          <w:tcPr>
            <w:tcW w:type="dxa" w:w="3888"/>
            <w:vAlign w:val="top"/>
            <w:tcMar>
              <w:top w:w="45" w:type="dxa"/>
              <w:start w:w="55" w:type="dxa"/>
              <w:bottom w:w="45" w:type="dxa"/>
              <w:end w:w="55" w:type="dxa"/>
            </w:tcMar>
          </w:tcPr>
          <w:p>
            <w:pPr>
              <w:spacing w:after="0" w:line="240" w:lineRule="auto"/>
            </w:pPr>
            <w:r>
              <w:rPr>
                <w:rFonts w:ascii="Aptos" w:hAnsi="Aptos"/>
                <w:sz w:val="13"/>
              </w:rPr>
              <w:t>Domain internals not exposed through application use cases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adapter.out</w:t>
            </w:r>
          </w:p>
        </w:tc>
        <w:tc>
          <w:tcPr>
            <w:tcW w:type="dxa" w:w="4320"/>
            <w:vAlign w:val="top"/>
            <w:tcMar>
              <w:top w:w="45" w:type="dxa"/>
              <w:start w:w="55" w:type="dxa"/>
              <w:bottom w:w="45" w:type="dxa"/>
              <w:end w:w="55" w:type="dxa"/>
            </w:tcMar>
          </w:tcPr>
          <w:p>
            <w:pPr>
              <w:spacing w:after="0" w:line="240" w:lineRule="auto"/>
            </w:pPr>
            <w:r>
              <w:rPr>
                <w:rFonts w:ascii="Aptos" w:hAnsi="Aptos"/>
                <w:sz w:val="13"/>
              </w:rPr>
              <w:t>Outbound ports, repositories, HTTP/Kafka/OpenKM/Vault/LiteLLM clients</w:t>
            </w:r>
          </w:p>
        </w:tc>
        <w:tc>
          <w:tcPr>
            <w:tcW w:type="dxa" w:w="3888"/>
            <w:vAlign w:val="top"/>
            <w:tcMar>
              <w:top w:w="45" w:type="dxa"/>
              <w:start w:w="55" w:type="dxa"/>
              <w:bottom w:w="45" w:type="dxa"/>
              <w:end w:w="55" w:type="dxa"/>
            </w:tcMar>
          </w:tcPr>
          <w:p>
            <w:pPr>
              <w:spacing w:after="0" w:line="240" w:lineRule="auto"/>
            </w:pPr>
            <w:r>
              <w:rPr>
                <w:rFonts w:ascii="Aptos" w:hAnsi="Aptos"/>
                <w:sz w:val="13"/>
              </w:rPr>
              <w:t>Business decision ownership</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infrastructure</w:t>
            </w:r>
          </w:p>
        </w:tc>
        <w:tc>
          <w:tcPr>
            <w:tcW w:type="dxa" w:w="4320"/>
            <w:vAlign w:val="top"/>
            <w:tcMar>
              <w:top w:w="45" w:type="dxa"/>
              <w:start w:w="55" w:type="dxa"/>
              <w:bottom w:w="45" w:type="dxa"/>
              <w:end w:w="55" w:type="dxa"/>
            </w:tcMar>
          </w:tcPr>
          <w:p>
            <w:pPr>
              <w:spacing w:after="0" w:line="240" w:lineRule="auto"/>
            </w:pPr>
            <w:r>
              <w:rPr>
                <w:rFonts w:ascii="Aptos" w:hAnsi="Aptos"/>
                <w:sz w:val="13"/>
              </w:rPr>
              <w:t>Framework configuration, security, observability, persistence configuration</w:t>
            </w:r>
          </w:p>
        </w:tc>
        <w:tc>
          <w:tcPr>
            <w:tcW w:type="dxa" w:w="3888"/>
            <w:vAlign w:val="top"/>
            <w:tcMar>
              <w:top w:w="45" w:type="dxa"/>
              <w:start w:w="55" w:type="dxa"/>
              <w:bottom w:w="45" w:type="dxa"/>
              <w:end w:w="55" w:type="dxa"/>
            </w:tcMar>
          </w:tcPr>
          <w:p>
            <w:pPr>
              <w:spacing w:after="0" w:line="240" w:lineRule="auto"/>
            </w:pPr>
            <w:r>
              <w:rPr>
                <w:rFonts w:ascii="Aptos" w:hAnsi="Aptos"/>
                <w:sz w:val="13"/>
              </w:rPr>
              <w:t>Domain business rules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tests</w:t>
            </w:r>
          </w:p>
        </w:tc>
        <w:tc>
          <w:tcPr>
            <w:tcW w:type="dxa" w:w="4320"/>
            <w:vAlign w:val="top"/>
            <w:tcMar>
              <w:top w:w="45" w:type="dxa"/>
              <w:start w:w="55" w:type="dxa"/>
              <w:bottom w:w="45" w:type="dxa"/>
              <w:end w:w="55" w:type="dxa"/>
            </w:tcMar>
          </w:tcPr>
          <w:p>
            <w:pPr>
              <w:spacing w:after="0" w:line="240" w:lineRule="auto"/>
            </w:pPr>
            <w:r>
              <w:rPr>
                <w:rFonts w:ascii="Aptos" w:hAnsi="Aptos"/>
                <w:sz w:val="13"/>
              </w:rPr>
              <w:t>All layers through approved test boundaries</w:t>
            </w:r>
          </w:p>
        </w:tc>
        <w:tc>
          <w:tcPr>
            <w:tcW w:type="dxa" w:w="3888"/>
            <w:vAlign w:val="top"/>
            <w:tcMar>
              <w:top w:w="45" w:type="dxa"/>
              <w:start w:w="55" w:type="dxa"/>
              <w:bottom w:w="45" w:type="dxa"/>
              <w:end w:w="55" w:type="dxa"/>
            </w:tcMar>
          </w:tcPr>
          <w:p>
            <w:pPr>
              <w:spacing w:after="0" w:line="240" w:lineRule="auto"/>
            </w:pPr>
            <w:r>
              <w:rPr>
                <w:rFonts w:ascii="Aptos" w:hAnsi="Aptos"/>
                <w:sz w:val="13"/>
              </w:rPr>
              <w:t>Real PII, production secrets, uncontrolled networks, nondeterministic clocks</w:t>
            </w:r>
          </w:p>
        </w:tc>
      </w:tr>
    </w:tbl>
    <w:p/>
    <w:p>
      <w:pPr>
        <w:pStyle w:val="Heading2"/>
        <w:keepNext/>
        <w:spacing w:before="12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592"/>
            <w:shd w:fill="1F4E79"/>
            <w:tcMar>
              <w:top w:w="50" w:type="dxa"/>
              <w:start w:w="55" w:type="dxa"/>
              <w:bottom w:w="50" w:type="dxa"/>
              <w:end w:w="55" w:type="dxa"/>
            </w:tcMar>
          </w:tcPr>
          <w:p>
            <w:pPr>
              <w:spacing w:after="0"/>
              <w:jc w:val="center"/>
            </w:pPr>
            <w:r>
              <w:rPr>
                <w:rFonts w:ascii="Aptos" w:hAnsi="Aptos"/>
                <w:b/>
                <w:color w:val="FFFFFF"/>
                <w:sz w:val="13"/>
              </w:rPr>
              <w:t>Bounded Context</w:t>
            </w:r>
          </w:p>
        </w:tc>
        <w:tc>
          <w:tcPr>
            <w:tcW w:type="dxa" w:w="4608"/>
            <w:shd w:fill="1F4E79"/>
            <w:tcMar>
              <w:top w:w="50" w:type="dxa"/>
              <w:start w:w="55" w:type="dxa"/>
              <w:bottom w:w="50" w:type="dxa"/>
              <w:end w:w="55" w:type="dxa"/>
            </w:tcMar>
          </w:tcPr>
          <w:p>
            <w:pPr>
              <w:spacing w:after="0"/>
              <w:jc w:val="center"/>
            </w:pPr>
            <w:r>
              <w:rPr>
                <w:rFonts w:ascii="Aptos" w:hAnsi="Aptos"/>
                <w:b/>
                <w:color w:val="FFFFFF"/>
                <w:sz w:val="13"/>
              </w:rPr>
              <w:t>Owns</w:t>
            </w:r>
          </w:p>
        </w:tc>
        <w:tc>
          <w:tcPr>
            <w:tcW w:type="dxa" w:w="2880"/>
            <w:shd w:fill="1F4E79"/>
            <w:tcMar>
              <w:top w:w="50" w:type="dxa"/>
              <w:start w:w="55" w:type="dxa"/>
              <w:bottom w:w="50" w:type="dxa"/>
              <w:end w:w="55" w:type="dxa"/>
            </w:tcMar>
          </w:tcPr>
          <w:p>
            <w:pPr>
              <w:spacing w:after="0"/>
              <w:jc w:val="center"/>
            </w:pPr>
            <w:r>
              <w:rPr>
                <w:rFonts w:ascii="Aptos" w:hAnsi="Aptos"/>
                <w:b/>
                <w:color w:val="FFFFFF"/>
                <w:sz w:val="13"/>
              </w:rPr>
              <w:t>Integration Style</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3"/>
              </w:rPr>
              <w:t>Identity and Access</w:t>
            </w:r>
          </w:p>
        </w:tc>
        <w:tc>
          <w:tcPr>
            <w:tcW w:type="dxa" w:w="4608"/>
            <w:vAlign w:val="top"/>
            <w:tcMar>
              <w:top w:w="45" w:type="dxa"/>
              <w:start w:w="55" w:type="dxa"/>
              <w:bottom w:w="45" w:type="dxa"/>
              <w:end w:w="55" w:type="dxa"/>
            </w:tcMar>
          </w:tcPr>
          <w:p>
            <w:pPr>
              <w:spacing w:after="0" w:line="240" w:lineRule="auto"/>
            </w:pPr>
            <w:r>
              <w:rPr>
                <w:rFonts w:ascii="Aptos" w:hAnsi="Aptos"/>
                <w:sz w:val="13"/>
              </w:rPr>
              <w:t>Human/service identity mappings, roles, skills, trust, access evidence</w:t>
            </w:r>
          </w:p>
        </w:tc>
        <w:tc>
          <w:tcPr>
            <w:tcW w:type="dxa" w:w="2880"/>
            <w:vAlign w:val="top"/>
            <w:tcMar>
              <w:top w:w="45" w:type="dxa"/>
              <w:start w:w="55" w:type="dxa"/>
              <w:bottom w:w="45" w:type="dxa"/>
              <w:end w:w="55" w:type="dxa"/>
            </w:tcMar>
          </w:tcPr>
          <w:p>
            <w:pPr>
              <w:spacing w:after="0" w:line="240" w:lineRule="auto"/>
            </w:pPr>
            <w:r>
              <w:rPr>
                <w:rFonts w:ascii="Aptos" w:hAnsi="Aptos"/>
                <w:sz w:val="13"/>
              </w:rPr>
              <w:t>OIDC/OAuth, OPA, SBAC, audit events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3"/>
              </w:rPr>
              <w:t>Document and Records</w:t>
            </w:r>
          </w:p>
        </w:tc>
        <w:tc>
          <w:tcPr>
            <w:tcW w:type="dxa" w:w="4608"/>
            <w:vAlign w:val="top"/>
            <w:tcMar>
              <w:top w:w="45" w:type="dxa"/>
              <w:start w:w="55" w:type="dxa"/>
              <w:bottom w:w="45" w:type="dxa"/>
              <w:end w:w="55" w:type="dxa"/>
            </w:tcMar>
          </w:tcPr>
          <w:p>
            <w:pPr>
              <w:spacing w:after="0" w:line="240" w:lineRule="auto"/>
            </w:pPr>
            <w:r>
              <w:rPr>
                <w:rFonts w:ascii="Aptos" w:hAnsi="Aptos"/>
                <w:sz w:val="13"/>
              </w:rPr>
              <w:t>Original documents, versions, registry, metadata, retention references</w:t>
            </w:r>
          </w:p>
        </w:tc>
        <w:tc>
          <w:tcPr>
            <w:tcW w:type="dxa" w:w="2880"/>
            <w:vAlign w:val="top"/>
            <w:tcMar>
              <w:top w:w="45" w:type="dxa"/>
              <w:start w:w="55" w:type="dxa"/>
              <w:bottom w:w="45" w:type="dxa"/>
              <w:end w:w="55" w:type="dxa"/>
            </w:tcMar>
          </w:tcPr>
          <w:p>
            <w:pPr>
              <w:spacing w:after="0" w:line="240" w:lineRule="auto"/>
            </w:pPr>
            <w:r>
              <w:rPr>
                <w:rFonts w:ascii="Aptos" w:hAnsi="Aptos"/>
                <w:sz w:val="13"/>
              </w:rPr>
              <w:t>OpenKM adapter, events, document registry APIs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3"/>
              </w:rPr>
              <w:t>Workflow and Process</w:t>
            </w:r>
          </w:p>
        </w:tc>
        <w:tc>
          <w:tcPr>
            <w:tcW w:type="dxa" w:w="4608"/>
            <w:vAlign w:val="top"/>
            <w:tcMar>
              <w:top w:w="45" w:type="dxa"/>
              <w:start w:w="55" w:type="dxa"/>
              <w:bottom w:w="45" w:type="dxa"/>
              <w:end w:w="55" w:type="dxa"/>
            </w:tcMar>
          </w:tcPr>
          <w:p>
            <w:pPr>
              <w:spacing w:after="0" w:line="240" w:lineRule="auto"/>
            </w:pPr>
            <w:r>
              <w:rPr>
                <w:rFonts w:ascii="Aptos" w:hAnsi="Aptos"/>
                <w:sz w:val="13"/>
              </w:rPr>
              <w:t>Durable workflows, approvals, process status, compensation, execution history</w:t>
            </w:r>
          </w:p>
        </w:tc>
        <w:tc>
          <w:tcPr>
            <w:tcW w:type="dxa" w:w="2880"/>
            <w:vAlign w:val="top"/>
            <w:tcMar>
              <w:top w:w="45" w:type="dxa"/>
              <w:start w:w="55" w:type="dxa"/>
              <w:bottom w:w="45" w:type="dxa"/>
              <w:end w:w="55" w:type="dxa"/>
            </w:tcMar>
          </w:tcPr>
          <w:p>
            <w:pPr>
              <w:spacing w:after="0" w:line="240" w:lineRule="auto"/>
            </w:pPr>
            <w:r>
              <w:rPr>
                <w:rFonts w:ascii="Aptos" w:hAnsi="Aptos"/>
                <w:sz w:val="13"/>
              </w:rPr>
              <w:t>Temporal workflows, Flowable BPMN/DMN, events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3"/>
              </w:rPr>
              <w:t>MicroFunction Runtime</w:t>
            </w:r>
          </w:p>
        </w:tc>
        <w:tc>
          <w:tcPr>
            <w:tcW w:type="dxa" w:w="4608"/>
            <w:vAlign w:val="top"/>
            <w:tcMar>
              <w:top w:w="45" w:type="dxa"/>
              <w:start w:w="55" w:type="dxa"/>
              <w:bottom w:w="45" w:type="dxa"/>
              <w:end w:w="55" w:type="dxa"/>
            </w:tcMar>
          </w:tcPr>
          <w:p>
            <w:pPr>
              <w:spacing w:after="0" w:line="240" w:lineRule="auto"/>
            </w:pPr>
            <w:r>
              <w:rPr>
                <w:rFonts w:ascii="Aptos" w:hAnsi="Aptos"/>
                <w:sz w:val="13"/>
              </w:rPr>
              <w:t>Runtime assembly definitions, step catalog, execution envelope, standard functions</w:t>
            </w:r>
          </w:p>
        </w:tc>
        <w:tc>
          <w:tcPr>
            <w:tcW w:type="dxa" w:w="2880"/>
            <w:vAlign w:val="top"/>
            <w:tcMar>
              <w:top w:w="45" w:type="dxa"/>
              <w:start w:w="55" w:type="dxa"/>
              <w:bottom w:w="45" w:type="dxa"/>
              <w:end w:w="55" w:type="dxa"/>
            </w:tcMar>
          </w:tcPr>
          <w:p>
            <w:pPr>
              <w:spacing w:after="0" w:line="240" w:lineRule="auto"/>
            </w:pPr>
            <w:r>
              <w:rPr>
                <w:rFonts w:ascii="Aptos" w:hAnsi="Aptos"/>
                <w:sz w:val="13"/>
              </w:rPr>
              <w:t>Configuration APIs, Postgres definitions, audit events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3"/>
              </w:rPr>
              <w:t>Retrieval and Knowledge</w:t>
            </w:r>
          </w:p>
        </w:tc>
        <w:tc>
          <w:tcPr>
            <w:tcW w:type="dxa" w:w="4608"/>
            <w:vAlign w:val="top"/>
            <w:tcMar>
              <w:top w:w="45" w:type="dxa"/>
              <w:start w:w="55" w:type="dxa"/>
              <w:bottom w:w="45" w:type="dxa"/>
              <w:end w:w="55" w:type="dxa"/>
            </w:tcMar>
          </w:tcPr>
          <w:p>
            <w:pPr>
              <w:spacing w:after="0" w:line="240" w:lineRule="auto"/>
            </w:pPr>
            <w:r>
              <w:rPr>
                <w:rFonts w:ascii="Aptos" w:hAnsi="Aptos"/>
                <w:sz w:val="13"/>
              </w:rPr>
              <w:t>Chunks, embeddings, evidence packs, graph relationships, curated wiki artifacts</w:t>
            </w:r>
          </w:p>
        </w:tc>
        <w:tc>
          <w:tcPr>
            <w:tcW w:type="dxa" w:w="2880"/>
            <w:vAlign w:val="top"/>
            <w:tcMar>
              <w:top w:w="45" w:type="dxa"/>
              <w:start w:w="55" w:type="dxa"/>
              <w:bottom w:w="45" w:type="dxa"/>
              <w:end w:w="55" w:type="dxa"/>
            </w:tcMar>
          </w:tcPr>
          <w:p>
            <w:pPr>
              <w:spacing w:after="0" w:line="240" w:lineRule="auto"/>
            </w:pPr>
            <w:r>
              <w:rPr>
                <w:rFonts w:ascii="Aptos" w:hAnsi="Aptos"/>
                <w:sz w:val="13"/>
              </w:rPr>
              <w:t>ACL-filtered retrieval APIs, LLM Wiki review workflow</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3"/>
              </w:rPr>
              <w:t>AI Orchestration</w:t>
            </w:r>
          </w:p>
        </w:tc>
        <w:tc>
          <w:tcPr>
            <w:tcW w:type="dxa" w:w="4608"/>
            <w:vAlign w:val="top"/>
            <w:tcMar>
              <w:top w:w="45" w:type="dxa"/>
              <w:start w:w="55" w:type="dxa"/>
              <w:bottom w:w="45" w:type="dxa"/>
              <w:end w:w="55" w:type="dxa"/>
            </w:tcMar>
          </w:tcPr>
          <w:p>
            <w:pPr>
              <w:spacing w:after="0" w:line="240" w:lineRule="auto"/>
            </w:pPr>
            <w:r>
              <w:rPr>
                <w:rFonts w:ascii="Aptos" w:hAnsi="Aptos"/>
                <w:sz w:val="13"/>
              </w:rPr>
              <w:t>Intent handling, prompt composition, guardrail sequencing, model route proposal</w:t>
            </w:r>
          </w:p>
        </w:tc>
        <w:tc>
          <w:tcPr>
            <w:tcW w:type="dxa" w:w="2880"/>
            <w:vAlign w:val="top"/>
            <w:tcMar>
              <w:top w:w="45" w:type="dxa"/>
              <w:start w:w="55" w:type="dxa"/>
              <w:bottom w:w="45" w:type="dxa"/>
              <w:end w:w="55" w:type="dxa"/>
            </w:tcMar>
          </w:tcPr>
          <w:p>
            <w:pPr>
              <w:spacing w:after="0" w:line="240" w:lineRule="auto"/>
            </w:pPr>
            <w:r>
              <w:rPr>
                <w:rFonts w:ascii="Aptos" w:hAnsi="Aptos"/>
                <w:sz w:val="13"/>
              </w:rPr>
              <w:t>LiteLLM, NeMo Guardrails, Harness proposals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3"/>
              </w:rPr>
              <w:t>Audit and Evidence</w:t>
            </w:r>
          </w:p>
        </w:tc>
        <w:tc>
          <w:tcPr>
            <w:tcW w:type="dxa" w:w="4608"/>
            <w:vAlign w:val="top"/>
            <w:tcMar>
              <w:top w:w="45" w:type="dxa"/>
              <w:start w:w="55" w:type="dxa"/>
              <w:bottom w:w="45" w:type="dxa"/>
              <w:end w:w="55" w:type="dxa"/>
            </w:tcMar>
          </w:tcPr>
          <w:p>
            <w:pPr>
              <w:spacing w:after="0" w:line="240" w:lineRule="auto"/>
            </w:pPr>
            <w:r>
              <w:rPr>
                <w:rFonts w:ascii="Aptos" w:hAnsi="Aptos"/>
                <w:sz w:val="13"/>
              </w:rPr>
              <w:t>Immutable event records, traceability, evidence references, compliance outputs</w:t>
            </w:r>
          </w:p>
        </w:tc>
        <w:tc>
          <w:tcPr>
            <w:tcW w:type="dxa" w:w="2880"/>
            <w:vAlign w:val="top"/>
            <w:tcMar>
              <w:top w:w="45" w:type="dxa"/>
              <w:start w:w="55" w:type="dxa"/>
              <w:bottom w:w="45" w:type="dxa"/>
              <w:end w:w="55" w:type="dxa"/>
            </w:tcMar>
          </w:tcPr>
          <w:p>
            <w:pPr>
              <w:spacing w:after="0" w:line="240" w:lineRule="auto"/>
            </w:pPr>
            <w:r>
              <w:rPr>
                <w:rFonts w:ascii="Aptos" w:hAnsi="Aptos"/>
                <w:sz w:val="13"/>
              </w:rPr>
              <w:t>Append-only APIs/events, observability correlation</w:t>
            </w:r>
          </w:p>
        </w:tc>
      </w:tr>
    </w:tbl>
    <w:p/>
    <w:tbl>
      <w:tblPr>
        <w:tblStyle w:val="TableGrid"/>
        <w:tblW w:type="auto" w:w="0"/>
        <w:jc w:val="center"/>
        <w:tblLook w:firstColumn="1" w:firstRow="1" w:lastColumn="0" w:lastRow="0" w:noHBand="0" w:noVBand="1" w:val="04A0"/>
      </w:tblPr>
      <w:tblGrid>
        <w:gridCol w:w="10454"/>
      </w:tblGrid>
      <w:tr>
        <w:tc>
          <w:tcPr>
            <w:tcW w:type="dxa" w:w="10454"/>
            <w:shd w:fill="EAF2F8"/>
            <w:tcMar>
              <w:top w:w="145" w:type="dxa"/>
              <w:start w:w="160" w:type="dxa"/>
              <w:bottom w:w="145" w:type="dxa"/>
              <w:end w:w="160" w:type="dxa"/>
            </w:tcMar>
          </w:tcPr>
          <w:p>
            <w:pPr>
              <w:spacing w:after="60"/>
            </w:pPr>
            <w:r>
              <w:rPr>
                <w:rFonts w:ascii="Aptos" w:hAnsi="Aptos"/>
                <w:b/>
                <w:color w:val="1F4E79"/>
                <w:sz w:val="18"/>
              </w:rPr>
              <w:t>Boundary Rule</w:t>
            </w:r>
          </w:p>
          <w:p>
            <w:pPr>
              <w:spacing w:after="0"/>
            </w:pPr>
            <w:r>
              <w:rPr>
                <w:rFonts w:ascii="Aptos" w:hAnsi="Aptos"/>
                <w:sz w:val="17"/>
              </w:rPr>
              <w:t>A bounded context may consume another context through published APIs, events, projections, or approved shared platform services. It may not directly write another context's database tables or bypass the owning service.</w:t>
            </w:r>
          </w:p>
        </w:tc>
      </w:tr>
    </w:tbl>
    <w:p/>
    <w:p>
      <w:pPr>
        <w:pStyle w:val="Heading1"/>
        <w:keepNext/>
        <w:spacing w:before="160" w:after="80"/>
      </w:pPr>
    </w:p>
    <w:p>
      <w:pPr>
        <w:spacing w:after="80" w:line="250" w:lineRule="auto"/>
      </w:pPr>
      <w:r>
        <w:rPr>
          <w:rFonts w:ascii="Aptos" w:hAnsi="Aptos"/>
          <w:sz w:val="18"/>
        </w:rPr>
        <w:t>The following service map defines deployment units and responsibility boundaries. A boundary violation is an architecture defect and must be corrected before production promotion unless explicitly approved by ADR.</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2232"/>
            <w:shd w:fill="1F4E79"/>
            <w:tcMar>
              <w:top w:w="50" w:type="dxa"/>
              <w:start w:w="55" w:type="dxa"/>
              <w:bottom w:w="50" w:type="dxa"/>
              <w:end w:w="55" w:type="dxa"/>
            </w:tcMar>
          </w:tcPr>
          <w:p>
            <w:pPr>
              <w:spacing w:after="0"/>
              <w:jc w:val="center"/>
            </w:pPr>
            <w:r>
              <w:rPr>
                <w:rFonts w:ascii="Aptos" w:hAnsi="Aptos"/>
                <w:b/>
                <w:color w:val="FFFFFF"/>
                <w:sz w:val="11"/>
              </w:rPr>
              <w:t>Service / Component</w:t>
            </w:r>
          </w:p>
        </w:tc>
        <w:tc>
          <w:tcPr>
            <w:tcW w:type="dxa" w:w="2376"/>
            <w:shd w:fill="1F4E79"/>
            <w:tcMar>
              <w:top w:w="50" w:type="dxa"/>
              <w:start w:w="55" w:type="dxa"/>
              <w:bottom w:w="50" w:type="dxa"/>
              <w:end w:w="55" w:type="dxa"/>
            </w:tcMar>
          </w:tcPr>
          <w:p>
            <w:pPr>
              <w:spacing w:after="0"/>
              <w:jc w:val="center"/>
            </w:pPr>
            <w:r>
              <w:rPr>
                <w:rFonts w:ascii="Aptos" w:hAnsi="Aptos"/>
                <w:b/>
                <w:color w:val="FFFFFF"/>
                <w:sz w:val="11"/>
              </w:rPr>
              <w:t>Primary Stack</w:t>
            </w:r>
          </w:p>
        </w:tc>
        <w:tc>
          <w:tcPr>
            <w:tcW w:type="dxa" w:w="3384"/>
            <w:shd w:fill="1F4E79"/>
            <w:tcMar>
              <w:top w:w="50" w:type="dxa"/>
              <w:start w:w="55" w:type="dxa"/>
              <w:bottom w:w="50" w:type="dxa"/>
              <w:end w:w="55" w:type="dxa"/>
            </w:tcMar>
          </w:tcPr>
          <w:p>
            <w:pPr>
              <w:spacing w:after="0"/>
              <w:jc w:val="center"/>
            </w:pPr>
            <w:r>
              <w:rPr>
                <w:rFonts w:ascii="Aptos" w:hAnsi="Aptos"/>
                <w:b/>
                <w:color w:val="FFFFFF"/>
                <w:sz w:val="11"/>
              </w:rPr>
              <w:t>Owns</w:t>
            </w:r>
          </w:p>
        </w:tc>
        <w:tc>
          <w:tcPr>
            <w:tcW w:type="dxa" w:w="2808"/>
            <w:shd w:fill="1F4E79"/>
            <w:tcMar>
              <w:top w:w="50" w:type="dxa"/>
              <w:start w:w="55" w:type="dxa"/>
              <w:bottom w:w="50" w:type="dxa"/>
              <w:end w:w="55" w:type="dxa"/>
            </w:tcMar>
          </w:tcPr>
          <w:p>
            <w:pPr>
              <w:spacing w:after="0"/>
              <w:jc w:val="center"/>
            </w:pPr>
            <w:r>
              <w:rPr>
                <w:rFonts w:ascii="Aptos" w:hAnsi="Aptos"/>
                <w:b/>
                <w:color w:val="FFFFFF"/>
                <w:sz w:val="11"/>
              </w:rPr>
              <w:t>Must Not Own</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gateway-service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Cloud Gateway / WebFlux</w:t>
            </w:r>
          </w:p>
        </w:tc>
        <w:tc>
          <w:tcPr>
            <w:tcW w:type="dxa" w:w="3384"/>
            <w:vAlign w:val="top"/>
            <w:tcMar>
              <w:top w:w="45" w:type="dxa"/>
              <w:start w:w="55" w:type="dxa"/>
              <w:bottom w:w="45" w:type="dxa"/>
              <w:end w:w="55" w:type="dxa"/>
            </w:tcMar>
          </w:tcPr>
          <w:p>
            <w:pPr>
              <w:spacing w:after="0" w:line="240" w:lineRule="auto"/>
            </w:pPr>
            <w:r>
              <w:rPr>
                <w:rFonts w:ascii="Aptos" w:hAnsi="Aptos"/>
                <w:sz w:val="11"/>
              </w:rPr>
              <w:t>Ingress routing, JWT validation, edge policy, request correlation, rate limiting</w:t>
            </w:r>
          </w:p>
        </w:tc>
        <w:tc>
          <w:tcPr>
            <w:tcW w:type="dxa" w:w="2808"/>
            <w:vAlign w:val="top"/>
            <w:tcMar>
              <w:top w:w="45" w:type="dxa"/>
              <w:start w:w="55" w:type="dxa"/>
              <w:bottom w:w="45" w:type="dxa"/>
              <w:end w:w="55" w:type="dxa"/>
            </w:tcMar>
          </w:tcPr>
          <w:p>
            <w:pPr>
              <w:spacing w:after="0" w:line="240" w:lineRule="auto"/>
            </w:pPr>
            <w:r>
              <w:rPr>
                <w:rFonts w:ascii="Aptos" w:hAnsi="Aptos"/>
                <w:sz w:val="11"/>
              </w:rPr>
              <w:t>Business logic, domain decisions, direct model invocation</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orchestrator-service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Boot + Spring AI + Hermes</w:t>
            </w:r>
          </w:p>
        </w:tc>
        <w:tc>
          <w:tcPr>
            <w:tcW w:type="dxa" w:w="3384"/>
            <w:vAlign w:val="top"/>
            <w:tcMar>
              <w:top w:w="45" w:type="dxa"/>
              <w:start w:w="55" w:type="dxa"/>
              <w:bottom w:w="45" w:type="dxa"/>
              <w:end w:w="55" w:type="dxa"/>
            </w:tcMar>
          </w:tcPr>
          <w:p>
            <w:pPr>
              <w:spacing w:after="0" w:line="240" w:lineRule="auto"/>
            </w:pPr>
            <w:r>
              <w:rPr>
                <w:rFonts w:ascii="Aptos" w:hAnsi="Aptos"/>
                <w:sz w:val="11"/>
              </w:rPr>
              <w:t>Intent handling, prompt composition, evidence pack assembly, model invocation through LiteLLM</w:t>
            </w:r>
          </w:p>
        </w:tc>
        <w:tc>
          <w:tcPr>
            <w:tcW w:type="dxa" w:w="2808"/>
            <w:vAlign w:val="top"/>
            <w:tcMar>
              <w:top w:w="45" w:type="dxa"/>
              <w:start w:w="55" w:type="dxa"/>
              <w:bottom w:w="45" w:type="dxa"/>
              <w:end w:w="55" w:type="dxa"/>
            </w:tcMar>
          </w:tcPr>
          <w:p>
            <w:pPr>
              <w:spacing w:after="0" w:line="240" w:lineRule="auto"/>
            </w:pPr>
            <w:r>
              <w:rPr>
                <w:rFonts w:ascii="Aptos" w:hAnsi="Aptos"/>
                <w:sz w:val="11"/>
              </w:rPr>
              <w:t>Direct tool execution, direct provider SDKs, credential ownership</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harness-service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Boot + OPA + SBAC</w:t>
            </w:r>
          </w:p>
        </w:tc>
        <w:tc>
          <w:tcPr>
            <w:tcW w:type="dxa" w:w="3384"/>
            <w:vAlign w:val="top"/>
            <w:tcMar>
              <w:top w:w="45" w:type="dxa"/>
              <w:start w:w="55" w:type="dxa"/>
              <w:bottom w:w="45" w:type="dxa"/>
              <w:end w:w="55" w:type="dxa"/>
            </w:tcMar>
          </w:tcPr>
          <w:p>
            <w:pPr>
              <w:spacing w:after="0" w:line="240" w:lineRule="auto"/>
            </w:pPr>
            <w:r>
              <w:rPr>
                <w:rFonts w:ascii="Aptos" w:hAnsi="Aptos"/>
                <w:sz w:val="11"/>
              </w:rPr>
              <w:t>AI action mediation, action authorization, trust validation, downstream credential mediation, action audit</w:t>
            </w:r>
          </w:p>
        </w:tc>
        <w:tc>
          <w:tcPr>
            <w:tcW w:type="dxa" w:w="2808"/>
            <w:vAlign w:val="top"/>
            <w:tcMar>
              <w:top w:w="45" w:type="dxa"/>
              <w:start w:w="55" w:type="dxa"/>
              <w:bottom w:w="45" w:type="dxa"/>
              <w:end w:w="55" w:type="dxa"/>
            </w:tcMar>
          </w:tcPr>
          <w:p>
            <w:pPr>
              <w:spacing w:after="0" w:line="240" w:lineRule="auto"/>
            </w:pPr>
            <w:r>
              <w:rPr>
                <w:rFonts w:ascii="Aptos" w:hAnsi="Aptos"/>
                <w:sz w:val="11"/>
              </w:rPr>
              <w:t>Reasoning, prompt generation, autonomous override</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workflow-service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Boot + Temporal + Flowable adapters</w:t>
            </w:r>
          </w:p>
        </w:tc>
        <w:tc>
          <w:tcPr>
            <w:tcW w:type="dxa" w:w="3384"/>
            <w:vAlign w:val="top"/>
            <w:tcMar>
              <w:top w:w="45" w:type="dxa"/>
              <w:start w:w="55" w:type="dxa"/>
              <w:bottom w:w="45" w:type="dxa"/>
              <w:end w:w="55" w:type="dxa"/>
            </w:tcMar>
          </w:tcPr>
          <w:p>
            <w:pPr>
              <w:spacing w:after="0" w:line="240" w:lineRule="auto"/>
            </w:pPr>
            <w:r>
              <w:rPr>
                <w:rFonts w:ascii="Aptos" w:hAnsi="Aptos"/>
                <w:sz w:val="11"/>
              </w:rPr>
              <w:t>Machine workflows, sagas, retries, compensation, human approval handoff</w:t>
            </w:r>
          </w:p>
        </w:tc>
        <w:tc>
          <w:tcPr>
            <w:tcW w:type="dxa" w:w="2808"/>
            <w:vAlign w:val="top"/>
            <w:tcMar>
              <w:top w:w="45" w:type="dxa"/>
              <w:start w:w="55" w:type="dxa"/>
              <w:bottom w:w="45" w:type="dxa"/>
              <w:end w:w="55" w:type="dxa"/>
            </w:tcMar>
          </w:tcPr>
          <w:p>
            <w:pPr>
              <w:spacing w:after="0" w:line="240" w:lineRule="auto"/>
            </w:pPr>
            <w:r>
              <w:rPr>
                <w:rFonts w:ascii="Aptos" w:hAnsi="Aptos"/>
                <w:sz w:val="11"/>
              </w:rPr>
              <w:t>Presentation UI, direct model routing, unbounded human task ownership</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retrieval-service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Boot + PostgreSQL + pgvector + LightRAG</w:t>
            </w:r>
          </w:p>
        </w:tc>
        <w:tc>
          <w:tcPr>
            <w:tcW w:type="dxa" w:w="3384"/>
            <w:vAlign w:val="top"/>
            <w:tcMar>
              <w:top w:w="45" w:type="dxa"/>
              <w:start w:w="55" w:type="dxa"/>
              <w:bottom w:w="45" w:type="dxa"/>
              <w:end w:w="55" w:type="dxa"/>
            </w:tcMar>
          </w:tcPr>
          <w:p>
            <w:pPr>
              <w:spacing w:after="0" w:line="240" w:lineRule="auto"/>
            </w:pPr>
            <w:r>
              <w:rPr>
                <w:rFonts w:ascii="Aptos" w:hAnsi="Aptos"/>
                <w:sz w:val="11"/>
              </w:rPr>
              <w:t>ACL-filtered evidence retrieval, chunk/embedding retrieval, graph evidence assembly</w:t>
            </w:r>
          </w:p>
        </w:tc>
        <w:tc>
          <w:tcPr>
            <w:tcW w:type="dxa" w:w="2808"/>
            <w:vAlign w:val="top"/>
            <w:tcMar>
              <w:top w:w="45" w:type="dxa"/>
              <w:start w:w="55" w:type="dxa"/>
              <w:bottom w:w="45" w:type="dxa"/>
              <w:end w:w="55" w:type="dxa"/>
            </w:tcMar>
          </w:tcPr>
          <w:p>
            <w:pPr>
              <w:spacing w:after="0" w:line="240" w:lineRule="auto"/>
            </w:pPr>
            <w:r>
              <w:rPr>
                <w:rFonts w:ascii="Aptos" w:hAnsi="Aptos"/>
                <w:sz w:val="11"/>
              </w:rPr>
              <w:t>Final answer generation, unreviewed wiki promotion</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document-service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Boot + OpenKM adapter</w:t>
            </w:r>
          </w:p>
        </w:tc>
        <w:tc>
          <w:tcPr>
            <w:tcW w:type="dxa" w:w="3384"/>
            <w:vAlign w:val="top"/>
            <w:tcMar>
              <w:top w:w="45" w:type="dxa"/>
              <w:start w:w="55" w:type="dxa"/>
              <w:bottom w:w="45" w:type="dxa"/>
              <w:end w:w="55" w:type="dxa"/>
            </w:tcMar>
          </w:tcPr>
          <w:p>
            <w:pPr>
              <w:spacing w:after="0" w:line="240" w:lineRule="auto"/>
            </w:pPr>
            <w:r>
              <w:rPr>
                <w:rFonts w:ascii="Aptos" w:hAnsi="Aptos"/>
                <w:sz w:val="11"/>
              </w:rPr>
              <w:t>Document registry, OpenKM metadata, document version references, checksum validation</w:t>
            </w:r>
          </w:p>
        </w:tc>
        <w:tc>
          <w:tcPr>
            <w:tcW w:type="dxa" w:w="2808"/>
            <w:vAlign w:val="top"/>
            <w:tcMar>
              <w:top w:w="45" w:type="dxa"/>
              <w:start w:w="55" w:type="dxa"/>
              <w:bottom w:w="45" w:type="dxa"/>
              <w:end w:w="55" w:type="dxa"/>
            </w:tcMar>
          </w:tcPr>
          <w:p>
            <w:pPr>
              <w:spacing w:after="0" w:line="240" w:lineRule="auto"/>
            </w:pPr>
            <w:r>
              <w:rPr>
                <w:rFonts w:ascii="Aptos" w:hAnsi="Aptos"/>
                <w:sz w:val="11"/>
              </w:rPr>
              <w:t>OCR, extraction, model calls, retrieval ranking</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microfunction-runtime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Boot + Caffeine + Redis + PostgreSQL</w:t>
            </w:r>
          </w:p>
        </w:tc>
        <w:tc>
          <w:tcPr>
            <w:tcW w:type="dxa" w:w="3384"/>
            <w:vAlign w:val="top"/>
            <w:tcMar>
              <w:top w:w="45" w:type="dxa"/>
              <w:start w:w="55" w:type="dxa"/>
              <w:bottom w:w="45" w:type="dxa"/>
              <w:end w:w="55" w:type="dxa"/>
            </w:tcMar>
          </w:tcPr>
          <w:p>
            <w:pPr>
              <w:spacing w:after="0" w:line="240" w:lineRule="auto"/>
            </w:pPr>
            <w:r>
              <w:rPr>
                <w:rFonts w:ascii="Aptos" w:hAnsi="Aptos"/>
                <w:sz w:val="11"/>
              </w:rPr>
              <w:t>Runtime process assembly, execution envelope, standard steps, idempotency, audit, safe response</w:t>
            </w:r>
          </w:p>
        </w:tc>
        <w:tc>
          <w:tcPr>
            <w:tcW w:type="dxa" w:w="2808"/>
            <w:vAlign w:val="top"/>
            <w:tcMar>
              <w:top w:w="45" w:type="dxa"/>
              <w:start w:w="55" w:type="dxa"/>
              <w:bottom w:w="45" w:type="dxa"/>
              <w:end w:w="55" w:type="dxa"/>
            </w:tcMar>
          </w:tcPr>
          <w:p>
            <w:pPr>
              <w:spacing w:after="0" w:line="240" w:lineRule="auto"/>
            </w:pPr>
            <w:r>
              <w:rPr>
                <w:rFonts w:ascii="Aptos" w:hAnsi="Aptos"/>
                <w:sz w:val="11"/>
              </w:rPr>
              <w:t>Domain-specific ownership outside STP-BUS or approved rules</w:t>
            </w:r>
          </w:p>
        </w:tc>
      </w:tr>
      <w:tr>
        <w:trPr>
          <w:cantSplit/>
        </w:trPr>
        <w:tc>
          <w:tcPr>
            <w:tcW w:type="dxa" w:w="2232"/>
            <w:vAlign w:val="top"/>
            <w:tcMar>
              <w:top w:w="45" w:type="dxa"/>
              <w:start w:w="55" w:type="dxa"/>
              <w:bottom w:w="45" w:type="dxa"/>
              <w:end w:w="55" w:type="dxa"/>
            </w:tcMar>
          </w:tcPr>
          <w:p>
            <w:pPr>
              <w:spacing w:after="0" w:line="240" w:lineRule="auto"/>
            </w:pPr>
            <w:r>
              <w:rPr>
                <w:rFonts w:ascii="Aptos" w:hAnsi="Aptos"/>
                <w:sz w:val="11"/>
              </w:rPr>
              <w:t>admin-governance-service</w:t>
            </w:r>
          </w:p>
        </w:tc>
        <w:tc>
          <w:tcPr>
            <w:tcW w:type="dxa" w:w="2376"/>
            <w:vAlign w:val="top"/>
            <w:tcMar>
              <w:top w:w="45" w:type="dxa"/>
              <w:start w:w="55" w:type="dxa"/>
              <w:bottom w:w="45" w:type="dxa"/>
              <w:end w:w="55" w:type="dxa"/>
            </w:tcMar>
          </w:tcPr>
          <w:p>
            <w:pPr>
              <w:spacing w:after="0" w:line="240" w:lineRule="auto"/>
            </w:pPr>
            <w:r>
              <w:rPr>
                <w:rFonts w:ascii="Aptos" w:hAnsi="Aptos"/>
                <w:sz w:val="11"/>
              </w:rPr>
              <w:t>Spring Boot + secured admin APIs</w:t>
            </w:r>
          </w:p>
        </w:tc>
        <w:tc>
          <w:tcPr>
            <w:tcW w:type="dxa" w:w="3384"/>
            <w:vAlign w:val="top"/>
            <w:tcMar>
              <w:top w:w="45" w:type="dxa"/>
              <w:start w:w="55" w:type="dxa"/>
              <w:bottom w:w="45" w:type="dxa"/>
              <w:end w:w="55" w:type="dxa"/>
            </w:tcMar>
          </w:tcPr>
          <w:p>
            <w:pPr>
              <w:spacing w:after="0" w:line="240" w:lineRule="auto"/>
            </w:pPr>
            <w:r>
              <w:rPr>
                <w:rFonts w:ascii="Aptos" w:hAnsi="Aptos"/>
                <w:sz w:val="11"/>
              </w:rPr>
              <w:t>Governance actions, retention triggers, re-index requests, DLQ/replay controls</w:t>
            </w:r>
          </w:p>
        </w:tc>
        <w:tc>
          <w:tcPr>
            <w:tcW w:type="dxa" w:w="2808"/>
            <w:vAlign w:val="top"/>
            <w:tcMar>
              <w:top w:w="45" w:type="dxa"/>
              <w:start w:w="55" w:type="dxa"/>
              <w:bottom w:w="45" w:type="dxa"/>
              <w:end w:w="55" w:type="dxa"/>
            </w:tcMar>
          </w:tcPr>
          <w:p>
            <w:pPr>
              <w:spacing w:after="0" w:line="240" w:lineRule="auto"/>
            </w:pPr>
            <w:r>
              <w:rPr>
                <w:rFonts w:ascii="Aptos" w:hAnsi="Aptos"/>
                <w:sz w:val="11"/>
              </w:rPr>
              <w:t>Bypassing CI/CD, CAB, guardrails, or policy approvals</w:t>
            </w:r>
          </w:p>
        </w:tc>
      </w:tr>
    </w:tbl>
    <w:p/>
    <w:p>
      <w:pPr>
        <w:pStyle w:val="Heading2"/>
        <w:keepNext/>
        <w:spacing w:before="120" w:after="80"/>
      </w:pPr>
    </w:p>
    <w:p>
      <w:pPr>
        <w:pStyle w:val="ListBullet"/>
        <w:spacing w:after="40"/>
        <w:ind w:left="259"/>
      </w:pPr>
      <w:r>
        <w:rPr>
          <w:rFonts w:ascii="Aptos" w:hAnsi="Aptos"/>
          <w:sz w:val="17"/>
        </w:rPr>
        <w:t>Each service has an explicit owner, repository path, runtime identity, deployment manifest, API/event contracts, observability dashboard, runbook, and test evidence.</w:t>
      </w:r>
    </w:p>
    <w:p>
      <w:pPr>
        <w:pStyle w:val="ListBullet"/>
        <w:spacing w:after="40"/>
        <w:ind w:left="259"/>
      </w:pPr>
      <w:r>
        <w:rPr>
          <w:rFonts w:ascii="Aptos" w:hAnsi="Aptos"/>
          <w:sz w:val="17"/>
        </w:rPr>
        <w:t>Deployment units may share platform libraries but must not share mutable domain state outside approved schemas, events, or APIs.</w:t>
      </w:r>
    </w:p>
    <w:p>
      <w:pPr>
        <w:pStyle w:val="ListBullet"/>
        <w:spacing w:after="40"/>
        <w:ind w:left="259"/>
      </w:pPr>
      <w:r>
        <w:rPr>
          <w:rFonts w:ascii="Aptos" w:hAnsi="Aptos"/>
          <w:sz w:val="17"/>
        </w:rPr>
        <w:t>Every service declares its data classification ceiling, model-route eligibility, external dependencies, SLOs, and rollback or forward-fix path.</w:t>
      </w:r>
    </w:p>
    <w:p>
      <w:pPr>
        <w:pStyle w:val="ListBullet"/>
        <w:spacing w:after="40"/>
        <w:ind w:left="259"/>
      </w:pPr>
      <w:r>
        <w:rPr>
          <w:rFonts w:ascii="Aptos" w:hAnsi="Aptos"/>
          <w:sz w:val="17"/>
        </w:rPr>
        <w:t>Shared libraries are limited to stable primitives, contracts, security utilities, observability utilities, and framework-owned capabilities. They must not become hidden business logic repositories.</w:t>
      </w:r>
    </w:p>
    <w:p>
      <w:pPr>
        <w:pStyle w:val="Heading1"/>
        <w:keepNext/>
        <w:spacing w:before="160" w:after="80"/>
      </w:pPr>
    </w:p>
    <w:p>
      <w:pPr>
        <w:spacing w:after="80" w:line="250" w:lineRule="auto"/>
      </w:pPr>
      <w:r>
        <w:rPr>
          <w:rFonts w:ascii="Aptos" w:hAnsi="Aptos"/>
          <w:sz w:val="18"/>
        </w:rPr>
        <w:t>AIRA uses contract-first integration. Code follows approved OpenAPI, AsyncAPI, CloudEvents, and schema artifacts. AI assistants and developers may not invent endpoints, topics, fields, or error contracts outside the contract registry.</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160"/>
            <w:shd w:fill="1F4E79"/>
            <w:tcMar>
              <w:top w:w="50" w:type="dxa"/>
              <w:start w:w="55" w:type="dxa"/>
              <w:bottom w:w="50" w:type="dxa"/>
              <w:end w:w="55" w:type="dxa"/>
            </w:tcMar>
          </w:tcPr>
          <w:p>
            <w:pPr>
              <w:spacing w:after="0"/>
              <w:jc w:val="center"/>
            </w:pPr>
            <w:r>
              <w:rPr>
                <w:rFonts w:ascii="Aptos" w:hAnsi="Aptos"/>
                <w:b/>
                <w:color w:val="FFFFFF"/>
                <w:sz w:val="13"/>
              </w:rPr>
              <w:t>Integration Type</w:t>
            </w:r>
          </w:p>
        </w:tc>
        <w:tc>
          <w:tcPr>
            <w:tcW w:type="dxa" w:w="3024"/>
            <w:shd w:fill="1F4E79"/>
            <w:tcMar>
              <w:top w:w="50" w:type="dxa"/>
              <w:start w:w="55" w:type="dxa"/>
              <w:bottom w:w="50" w:type="dxa"/>
              <w:end w:w="55" w:type="dxa"/>
            </w:tcMar>
          </w:tcPr>
          <w:p>
            <w:pPr>
              <w:spacing w:after="0"/>
              <w:jc w:val="center"/>
            </w:pPr>
            <w:r>
              <w:rPr>
                <w:rFonts w:ascii="Aptos" w:hAnsi="Aptos"/>
                <w:b/>
                <w:color w:val="FFFFFF"/>
                <w:sz w:val="13"/>
              </w:rPr>
              <w:t>Standard</w:t>
            </w:r>
          </w:p>
        </w:tc>
        <w:tc>
          <w:tcPr>
            <w:tcW w:type="dxa" w:w="4896"/>
            <w:shd w:fill="1F4E79"/>
            <w:tcMar>
              <w:top w:w="50" w:type="dxa"/>
              <w:start w:w="55" w:type="dxa"/>
              <w:bottom w:w="50" w:type="dxa"/>
              <w:end w:w="55" w:type="dxa"/>
            </w:tcMar>
          </w:tcPr>
          <w:p>
            <w:pPr>
              <w:spacing w:after="0"/>
              <w:jc w:val="center"/>
            </w:pPr>
            <w:r>
              <w:rPr>
                <w:rFonts w:ascii="Aptos" w:hAnsi="Aptos"/>
                <w:b/>
                <w:color w:val="FFFFFF"/>
                <w:sz w:val="13"/>
              </w:rPr>
              <w:t>Mandatory Rules</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REST APIs</w:t>
            </w:r>
          </w:p>
        </w:tc>
        <w:tc>
          <w:tcPr>
            <w:tcW w:type="dxa" w:w="3024"/>
            <w:vAlign w:val="top"/>
            <w:tcMar>
              <w:top w:w="45" w:type="dxa"/>
              <w:start w:w="55" w:type="dxa"/>
              <w:bottom w:w="45" w:type="dxa"/>
              <w:end w:w="55" w:type="dxa"/>
            </w:tcMar>
          </w:tcPr>
          <w:p>
            <w:pPr>
              <w:spacing w:after="0" w:line="240" w:lineRule="auto"/>
            </w:pPr>
            <w:r>
              <w:rPr>
                <w:rFonts w:ascii="Aptos" w:hAnsi="Aptos"/>
                <w:sz w:val="13"/>
              </w:rPr>
              <w:t>OpenAPI; Spring Cloud Gateway; Problem Details error profile</w:t>
            </w:r>
          </w:p>
        </w:tc>
        <w:tc>
          <w:tcPr>
            <w:tcW w:type="dxa" w:w="4896"/>
            <w:vAlign w:val="top"/>
            <w:tcMar>
              <w:top w:w="45" w:type="dxa"/>
              <w:start w:w="55" w:type="dxa"/>
              <w:bottom w:w="45" w:type="dxa"/>
              <w:end w:w="55" w:type="dxa"/>
            </w:tcMar>
          </w:tcPr>
          <w:p>
            <w:pPr>
              <w:spacing w:after="0" w:line="240" w:lineRule="auto"/>
            </w:pPr>
            <w:r>
              <w:rPr>
                <w:rFonts w:ascii="Aptos" w:hAnsi="Aptos"/>
                <w:sz w:val="13"/>
              </w:rPr>
              <w:t>Every endpoint has contract, owner, classification, auth policy, idempotency rule where mutating, examples, negative tests, and versioning plan.</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Domain events</w:t>
            </w:r>
          </w:p>
        </w:tc>
        <w:tc>
          <w:tcPr>
            <w:tcW w:type="dxa" w:w="3024"/>
            <w:vAlign w:val="top"/>
            <w:tcMar>
              <w:top w:w="45" w:type="dxa"/>
              <w:start w:w="55" w:type="dxa"/>
              <w:bottom w:w="45" w:type="dxa"/>
              <w:end w:w="55" w:type="dxa"/>
            </w:tcMar>
          </w:tcPr>
          <w:p>
            <w:pPr>
              <w:spacing w:after="0" w:line="240" w:lineRule="auto"/>
            </w:pPr>
            <w:r>
              <w:rPr>
                <w:rFonts w:ascii="Aptos" w:hAnsi="Aptos"/>
                <w:sz w:val="13"/>
              </w:rPr>
              <w:t>Kafka, Avro/JSON Schema, CloudEvents</w:t>
            </w:r>
          </w:p>
        </w:tc>
        <w:tc>
          <w:tcPr>
            <w:tcW w:type="dxa" w:w="4896"/>
            <w:vAlign w:val="top"/>
            <w:tcMar>
              <w:top w:w="45" w:type="dxa"/>
              <w:start w:w="55" w:type="dxa"/>
              <w:bottom w:w="45" w:type="dxa"/>
              <w:end w:w="55" w:type="dxa"/>
            </w:tcMar>
          </w:tcPr>
          <w:p>
            <w:pPr>
              <w:spacing w:after="0" w:line="240" w:lineRule="auto"/>
            </w:pPr>
            <w:r>
              <w:rPr>
                <w:rFonts w:ascii="Aptos" w:hAnsi="Aptos"/>
                <w:sz w:val="13"/>
              </w:rPr>
              <w:t>Events are product-grade contracts with schema compatibility, classification metadata, trace_id, tenant_id where applicable, and outbox publication.</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External systems</w:t>
            </w:r>
          </w:p>
        </w:tc>
        <w:tc>
          <w:tcPr>
            <w:tcW w:type="dxa" w:w="3024"/>
            <w:vAlign w:val="top"/>
            <w:tcMar>
              <w:top w:w="45" w:type="dxa"/>
              <w:start w:w="55" w:type="dxa"/>
              <w:bottom w:w="45" w:type="dxa"/>
              <w:end w:w="55" w:type="dxa"/>
            </w:tcMar>
          </w:tcPr>
          <w:p>
            <w:pPr>
              <w:spacing w:after="0" w:line="240" w:lineRule="auto"/>
            </w:pPr>
            <w:r>
              <w:rPr>
                <w:rFonts w:ascii="Aptos" w:hAnsi="Aptos"/>
                <w:sz w:val="13"/>
              </w:rPr>
              <w:t>Ports and adapters</w:t>
            </w:r>
          </w:p>
        </w:tc>
        <w:tc>
          <w:tcPr>
            <w:tcW w:type="dxa" w:w="4896"/>
            <w:vAlign w:val="top"/>
            <w:tcMar>
              <w:top w:w="45" w:type="dxa"/>
              <w:start w:w="55" w:type="dxa"/>
              <w:bottom w:w="45" w:type="dxa"/>
              <w:end w:w="55" w:type="dxa"/>
            </w:tcMar>
          </w:tcPr>
          <w:p>
            <w:pPr>
              <w:spacing w:after="0" w:line="240" w:lineRule="auto"/>
            </w:pPr>
            <w:r>
              <w:rPr>
                <w:rFonts w:ascii="Aptos" w:hAnsi="Aptos"/>
                <w:sz w:val="13"/>
              </w:rPr>
              <w:t>External APIs are wrapped behind outbound ports with timeouts, retries, circuit breakers, classification handling, and contract tests.</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File/document integrations</w:t>
            </w:r>
          </w:p>
        </w:tc>
        <w:tc>
          <w:tcPr>
            <w:tcW w:type="dxa" w:w="3024"/>
            <w:vAlign w:val="top"/>
            <w:tcMar>
              <w:top w:w="45" w:type="dxa"/>
              <w:start w:w="55" w:type="dxa"/>
              <w:bottom w:w="45" w:type="dxa"/>
              <w:end w:w="55" w:type="dxa"/>
            </w:tcMar>
          </w:tcPr>
          <w:p>
            <w:pPr>
              <w:spacing w:after="0" w:line="240" w:lineRule="auto"/>
            </w:pPr>
            <w:r>
              <w:rPr>
                <w:rFonts w:ascii="Aptos" w:hAnsi="Aptos"/>
                <w:sz w:val="13"/>
              </w:rPr>
              <w:t>OpenKM adapter and document lifecycle events</w:t>
            </w:r>
          </w:p>
        </w:tc>
        <w:tc>
          <w:tcPr>
            <w:tcW w:type="dxa" w:w="4896"/>
            <w:vAlign w:val="top"/>
            <w:tcMar>
              <w:top w:w="45" w:type="dxa"/>
              <w:start w:w="55" w:type="dxa"/>
              <w:bottom w:w="45" w:type="dxa"/>
              <w:end w:w="55" w:type="dxa"/>
            </w:tcMar>
          </w:tcPr>
          <w:p>
            <w:pPr>
              <w:spacing w:after="0" w:line="240" w:lineRule="auto"/>
            </w:pPr>
            <w:r>
              <w:rPr>
                <w:rFonts w:ascii="Aptos" w:hAnsi="Aptos"/>
                <w:sz w:val="13"/>
              </w:rPr>
              <w:t>Originals remain in OpenKM; metadata and retrieval projections are traceable derivatives.</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AI/model integrations</w:t>
            </w:r>
          </w:p>
        </w:tc>
        <w:tc>
          <w:tcPr>
            <w:tcW w:type="dxa" w:w="3024"/>
            <w:vAlign w:val="top"/>
            <w:tcMar>
              <w:top w:w="45" w:type="dxa"/>
              <w:start w:w="55" w:type="dxa"/>
              <w:bottom w:w="45" w:type="dxa"/>
              <w:end w:w="55" w:type="dxa"/>
            </w:tcMar>
          </w:tcPr>
          <w:p>
            <w:pPr>
              <w:spacing w:after="0" w:line="240" w:lineRule="auto"/>
            </w:pPr>
            <w:r>
              <w:rPr>
                <w:rFonts w:ascii="Aptos" w:hAnsi="Aptos"/>
                <w:sz w:val="13"/>
              </w:rPr>
              <w:t>Spring AI abstraction, LiteLLM aliases, NeMo guardrails</w:t>
            </w:r>
          </w:p>
        </w:tc>
        <w:tc>
          <w:tcPr>
            <w:tcW w:type="dxa" w:w="4896"/>
            <w:vAlign w:val="top"/>
            <w:tcMar>
              <w:top w:w="45" w:type="dxa"/>
              <w:start w:w="55" w:type="dxa"/>
              <w:bottom w:w="45" w:type="dxa"/>
              <w:end w:w="55" w:type="dxa"/>
            </w:tcMar>
          </w:tcPr>
          <w:p>
            <w:pPr>
              <w:spacing w:after="0" w:line="240" w:lineRule="auto"/>
            </w:pPr>
            <w:r>
              <w:rPr>
                <w:rFonts w:ascii="Aptos" w:hAnsi="Aptos"/>
                <w:sz w:val="13"/>
              </w:rPr>
              <w:t>No direct provider SDKs, hardcoded model names, unclassified prompts, or unmanaged fallback.</w:t>
            </w:r>
          </w:p>
        </w:tc>
      </w:tr>
    </w:tbl>
    <w:p/>
    <w:p>
      <w:pPr>
        <w:pStyle w:val="Heading2"/>
        <w:keepNext/>
        <w:spacing w:before="120" w:after="80"/>
      </w:pPr>
    </w:p>
    <w:p>
      <w:pPr>
        <w:spacing w:after="80" w:line="250" w:lineRule="auto"/>
      </w:pPr>
      <w:r>
        <w:rPr>
          <w:rFonts w:ascii="Aptos" w:hAnsi="Aptos"/>
          <w:sz w:val="18"/>
        </w:rPr>
        <w:t>All API and event-facing errors must use a stable, safe, machine-readable error taxonomy. Raw stack traces, SQL errors, provider errors, internal exception names, PII, secrets, and model prompts must never be exposed to callers, logs, test evidence, or AI prompt contexts.</w:t>
      </w:r>
    </w:p>
    <w:p>
      <w:pPr>
        <w:pStyle w:val="Heading1"/>
        <w:keepNext/>
        <w:spacing w:before="160" w:after="80"/>
      </w:pPr>
    </w:p>
    <w:p>
      <w:pPr>
        <w:spacing w:after="80" w:line="250" w:lineRule="auto"/>
      </w:pPr>
      <w:r>
        <w:rPr>
          <w:rFonts w:ascii="Aptos" w:hAnsi="Aptos"/>
          <w:sz w:val="18"/>
        </w:rPr>
        <w:t>AIRA separates durable machine workflows, human workflows, and configurable transaction execution. This separation preserves determinism, auditability, and human accountability while allowing business processes to be configured with minimal new code.</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160"/>
            <w:shd w:fill="1F4E79"/>
            <w:tcMar>
              <w:top w:w="50" w:type="dxa"/>
              <w:start w:w="55" w:type="dxa"/>
              <w:bottom w:w="50" w:type="dxa"/>
              <w:end w:w="55" w:type="dxa"/>
            </w:tcMar>
          </w:tcPr>
          <w:p>
            <w:pPr>
              <w:spacing w:after="0"/>
              <w:jc w:val="center"/>
            </w:pPr>
            <w:r>
              <w:rPr>
                <w:rFonts w:ascii="Aptos" w:hAnsi="Aptos"/>
                <w:b/>
                <w:color w:val="FFFFFF"/>
                <w:sz w:val="13"/>
              </w:rPr>
              <w:t>Concern</w:t>
            </w:r>
          </w:p>
        </w:tc>
        <w:tc>
          <w:tcPr>
            <w:tcW w:type="dxa" w:w="3168"/>
            <w:shd w:fill="1F4E79"/>
            <w:tcMar>
              <w:top w:w="50" w:type="dxa"/>
              <w:start w:w="55" w:type="dxa"/>
              <w:bottom w:w="50" w:type="dxa"/>
              <w:end w:w="55" w:type="dxa"/>
            </w:tcMar>
          </w:tcPr>
          <w:p>
            <w:pPr>
              <w:spacing w:after="0"/>
              <w:jc w:val="center"/>
            </w:pPr>
            <w:r>
              <w:rPr>
                <w:rFonts w:ascii="Aptos" w:hAnsi="Aptos"/>
                <w:b/>
                <w:color w:val="FFFFFF"/>
                <w:sz w:val="13"/>
              </w:rPr>
              <w:t>Owner / Component</w:t>
            </w:r>
          </w:p>
        </w:tc>
        <w:tc>
          <w:tcPr>
            <w:tcW w:type="dxa" w:w="4752"/>
            <w:shd w:fill="1F4E79"/>
            <w:tcMar>
              <w:top w:w="50" w:type="dxa"/>
              <w:start w:w="55" w:type="dxa"/>
              <w:bottom w:w="50" w:type="dxa"/>
              <w:end w:w="55" w:type="dxa"/>
            </w:tcMar>
          </w:tcPr>
          <w:p>
            <w:pPr>
              <w:spacing w:after="0"/>
              <w:jc w:val="center"/>
            </w:pPr>
            <w:r>
              <w:rPr>
                <w:rFonts w:ascii="Aptos" w:hAnsi="Aptos"/>
                <w:b/>
                <w:color w:val="FFFFFF"/>
                <w:sz w:val="13"/>
              </w:rPr>
              <w:t>Rule</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Machine durability</w:t>
            </w:r>
          </w:p>
        </w:tc>
        <w:tc>
          <w:tcPr>
            <w:tcW w:type="dxa" w:w="3168"/>
            <w:vAlign w:val="top"/>
            <w:tcMar>
              <w:top w:w="45" w:type="dxa"/>
              <w:start w:w="55" w:type="dxa"/>
              <w:bottom w:w="45" w:type="dxa"/>
              <w:end w:w="55" w:type="dxa"/>
            </w:tcMar>
          </w:tcPr>
          <w:p>
            <w:pPr>
              <w:spacing w:after="0" w:line="240" w:lineRule="auto"/>
            </w:pPr>
            <w:r>
              <w:rPr>
                <w:rFonts w:ascii="Aptos" w:hAnsi="Aptos"/>
                <w:sz w:val="13"/>
              </w:rPr>
              <w:t>Temporal</w:t>
            </w:r>
          </w:p>
        </w:tc>
        <w:tc>
          <w:tcPr>
            <w:tcW w:type="dxa" w:w="4752"/>
            <w:vAlign w:val="top"/>
            <w:tcMar>
              <w:top w:w="45" w:type="dxa"/>
              <w:start w:w="55" w:type="dxa"/>
              <w:bottom w:w="45" w:type="dxa"/>
              <w:end w:w="55" w:type="dxa"/>
            </w:tcMar>
          </w:tcPr>
          <w:p>
            <w:pPr>
              <w:spacing w:after="0" w:line="240" w:lineRule="auto"/>
            </w:pPr>
            <w:r>
              <w:rPr>
                <w:rFonts w:ascii="Aptos" w:hAnsi="Aptos"/>
                <w:sz w:val="13"/>
              </w:rPr>
              <w:t>Long-running machine workflows, retries, timers, sagas, deterministic workflow history, and compensation orchestration.</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Human approvals</w:t>
            </w:r>
          </w:p>
        </w:tc>
        <w:tc>
          <w:tcPr>
            <w:tcW w:type="dxa" w:w="3168"/>
            <w:vAlign w:val="top"/>
            <w:tcMar>
              <w:top w:w="45" w:type="dxa"/>
              <w:start w:w="55" w:type="dxa"/>
              <w:bottom w:w="45" w:type="dxa"/>
              <w:end w:w="55" w:type="dxa"/>
            </w:tcMar>
          </w:tcPr>
          <w:p>
            <w:pPr>
              <w:spacing w:after="0" w:line="240" w:lineRule="auto"/>
            </w:pPr>
            <w:r>
              <w:rPr>
                <w:rFonts w:ascii="Aptos" w:hAnsi="Aptos"/>
                <w:sz w:val="13"/>
              </w:rPr>
              <w:t>Flowable</w:t>
            </w:r>
          </w:p>
        </w:tc>
        <w:tc>
          <w:tcPr>
            <w:tcW w:type="dxa" w:w="4752"/>
            <w:vAlign w:val="top"/>
            <w:tcMar>
              <w:top w:w="45" w:type="dxa"/>
              <w:start w:w="55" w:type="dxa"/>
              <w:bottom w:w="45" w:type="dxa"/>
              <w:end w:w="55" w:type="dxa"/>
            </w:tcMar>
          </w:tcPr>
          <w:p>
            <w:pPr>
              <w:spacing w:after="0" w:line="240" w:lineRule="auto"/>
            </w:pPr>
            <w:r>
              <w:rPr>
                <w:rFonts w:ascii="Aptos" w:hAnsi="Aptos"/>
                <w:sz w:val="13"/>
              </w:rPr>
              <w:t>BPMN, CMMN, DMN, user tasks, SLA timers, exception reviews, CAB gates, waiver approvals.</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Runtime transaction assembly</w:t>
            </w:r>
          </w:p>
        </w:tc>
        <w:tc>
          <w:tcPr>
            <w:tcW w:type="dxa" w:w="3168"/>
            <w:vAlign w:val="top"/>
            <w:tcMar>
              <w:top w:w="45" w:type="dxa"/>
              <w:start w:w="55" w:type="dxa"/>
              <w:bottom w:w="45" w:type="dxa"/>
              <w:end w:w="55" w:type="dxa"/>
            </w:tcMar>
          </w:tcPr>
          <w:p>
            <w:pPr>
              <w:spacing w:after="0" w:line="240" w:lineRule="auto"/>
            </w:pPr>
            <w:r>
              <w:rPr>
                <w:rFonts w:ascii="Aptos" w:hAnsi="Aptos"/>
                <w:sz w:val="13"/>
              </w:rPr>
              <w:t>MicroFunction runtime</w:t>
            </w:r>
          </w:p>
        </w:tc>
        <w:tc>
          <w:tcPr>
            <w:tcW w:type="dxa" w:w="4752"/>
            <w:vAlign w:val="top"/>
            <w:tcMar>
              <w:top w:w="45" w:type="dxa"/>
              <w:start w:w="55" w:type="dxa"/>
              <w:bottom w:w="45" w:type="dxa"/>
              <w:end w:w="55" w:type="dxa"/>
            </w:tcMar>
          </w:tcPr>
          <w:p>
            <w:pPr>
              <w:spacing w:after="0" w:line="240" w:lineRule="auto"/>
            </w:pPr>
            <w:r>
              <w:rPr>
                <w:rFonts w:ascii="Aptos" w:hAnsi="Aptos"/>
                <w:sz w:val="13"/>
              </w:rPr>
              <w:t>Standard steps are selected, ordered, parameterized, validated, cached, and executed through the framework.</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Business logic</w:t>
            </w:r>
          </w:p>
        </w:tc>
        <w:tc>
          <w:tcPr>
            <w:tcW w:type="dxa" w:w="3168"/>
            <w:vAlign w:val="top"/>
            <w:tcMar>
              <w:top w:w="45" w:type="dxa"/>
              <w:start w:w="55" w:type="dxa"/>
              <w:bottom w:w="45" w:type="dxa"/>
              <w:end w:w="55" w:type="dxa"/>
            </w:tcMar>
          </w:tcPr>
          <w:p>
            <w:pPr>
              <w:spacing w:after="0" w:line="240" w:lineRule="auto"/>
            </w:pPr>
            <w:r>
              <w:rPr>
                <w:rFonts w:ascii="Aptos" w:hAnsi="Aptos"/>
                <w:sz w:val="13"/>
              </w:rPr>
              <w:t>STP-BUS-* MicroFunctions or approved rules/DMN</w:t>
            </w:r>
          </w:p>
        </w:tc>
        <w:tc>
          <w:tcPr>
            <w:tcW w:type="dxa" w:w="4752"/>
            <w:vAlign w:val="top"/>
            <w:tcMar>
              <w:top w:w="45" w:type="dxa"/>
              <w:start w:w="55" w:type="dxa"/>
              <w:bottom w:w="45" w:type="dxa"/>
              <w:end w:w="55" w:type="dxa"/>
            </w:tcMar>
          </w:tcPr>
          <w:p>
            <w:pPr>
              <w:spacing w:after="0" w:line="240" w:lineRule="auto"/>
            </w:pPr>
            <w:r>
              <w:rPr>
                <w:rFonts w:ascii="Aptos" w:hAnsi="Aptos"/>
                <w:sz w:val="13"/>
              </w:rPr>
              <w:t>Business behavior is isolated and reusable. Standard framework concerns are not recoded per transaction.</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Error handling</w:t>
            </w:r>
          </w:p>
        </w:tc>
        <w:tc>
          <w:tcPr>
            <w:tcW w:type="dxa" w:w="3168"/>
            <w:vAlign w:val="top"/>
            <w:tcMar>
              <w:top w:w="45" w:type="dxa"/>
              <w:start w:w="55" w:type="dxa"/>
              <w:bottom w:w="45" w:type="dxa"/>
              <w:end w:w="55" w:type="dxa"/>
            </w:tcMar>
          </w:tcPr>
          <w:p>
            <w:pPr>
              <w:spacing w:after="0" w:line="240" w:lineRule="auto"/>
            </w:pPr>
            <w:r>
              <w:rPr>
                <w:rFonts w:ascii="Aptos" w:hAnsi="Aptos"/>
                <w:sz w:val="13"/>
              </w:rPr>
              <w:t>Execution envelope</w:t>
            </w:r>
          </w:p>
        </w:tc>
        <w:tc>
          <w:tcPr>
            <w:tcW w:type="dxa" w:w="4752"/>
            <w:vAlign w:val="top"/>
            <w:tcMar>
              <w:top w:w="45" w:type="dxa"/>
              <w:start w:w="55" w:type="dxa"/>
              <w:bottom w:w="45" w:type="dxa"/>
              <w:end w:w="55" w:type="dxa"/>
            </w:tcMar>
          </w:tcPr>
          <w:p>
            <w:pPr>
              <w:spacing w:after="0" w:line="240" w:lineRule="auto"/>
            </w:pPr>
            <w:r>
              <w:rPr>
                <w:rFonts w:ascii="Aptos" w:hAnsi="Aptos"/>
                <w:sz w:val="13"/>
              </w:rPr>
              <w:t>Every step has timeout, retry, error policy, safe response, audit, compensation, DLQ, or escalation path.</w:t>
            </w:r>
          </w:p>
        </w:tc>
      </w:tr>
    </w:tbl>
    <w:p/>
    <w:p>
      <w:pPr>
        <w:pStyle w:val="Heading2"/>
        <w:keepNext/>
        <w:spacing w:before="120" w:after="80"/>
      </w:pPr>
    </w:p>
    <w:p>
      <w:pPr>
        <w:pStyle w:val="ListBullet"/>
        <w:spacing w:after="40"/>
        <w:ind w:left="259"/>
      </w:pPr>
      <w:r>
        <w:rPr>
          <w:rFonts w:ascii="Aptos" w:hAnsi="Aptos"/>
          <w:sz w:val="17"/>
        </w:rPr>
        <w:t>A business step cannot execute before correlation, actor/session resolution, classification, authorization, normalization, validation, idempotency, and required policy gates have passed.</w:t>
      </w:r>
    </w:p>
    <w:p>
      <w:pPr>
        <w:pStyle w:val="ListBullet"/>
        <w:spacing w:after="40"/>
        <w:ind w:left="259"/>
      </w:pPr>
      <w:r>
        <w:rPr>
          <w:rFonts w:ascii="Aptos" w:hAnsi="Aptos"/>
          <w:sz w:val="17"/>
        </w:rPr>
        <w:t>Mutating steps declare retry, timeout, idempotency, compensation, error policy, and audit behavior before activation.</w:t>
      </w:r>
    </w:p>
    <w:p>
      <w:pPr>
        <w:pStyle w:val="ListBullet"/>
        <w:spacing w:after="40"/>
        <w:ind w:left="259"/>
      </w:pPr>
      <w:r>
        <w:rPr>
          <w:rFonts w:ascii="Aptos" w:hAnsi="Aptos"/>
          <w:sz w:val="17"/>
        </w:rPr>
        <w:t>Redis and Caffeine accelerate runtime definitions and lookups but never become authoritative sources.</w:t>
      </w:r>
    </w:p>
    <w:p>
      <w:pPr>
        <w:pStyle w:val="ListBullet"/>
        <w:spacing w:after="40"/>
        <w:ind w:left="259"/>
      </w:pPr>
      <w:r>
        <w:rPr>
          <w:rFonts w:ascii="Aptos" w:hAnsi="Aptos"/>
          <w:sz w:val="17"/>
        </w:rPr>
        <w:t>New STP-BUS-* functions require catalog registration, unit/component tests, error taxonomy mapping, observability mapping, and AVCI evidence.</w:t>
      </w:r>
    </w:p>
    <w:p>
      <w:pPr>
        <w:spacing w:after="40"/>
      </w:pPr>
      <w:r>
        <w:rPr>
          <w:rFonts w:ascii="Aptos" w:hAnsi="Aptos"/>
          <w:b/>
          <w:color w:val="1F4E79"/>
          <w:sz w:val="17"/>
        </w:rPr>
        <w:t>Figure 2. Copy-ready Mermaid - MicroFunction transaction flow</w:t>
      </w:r>
    </w:p>
    <w:tbl>
      <w:tblPr>
        <w:tblStyle w:val="TableGrid"/>
        <w:tblW w:type="auto" w:w="0"/>
        <w:tblLook w:firstColumn="1" w:firstRow="1" w:lastColumn="0" w:lastRow="0" w:noHBand="0" w:noVBand="1" w:val="04A0"/>
      </w:tblPr>
      <w:tblGrid>
        <w:gridCol w:w="10454"/>
      </w:tblGrid>
      <w:tr>
        <w:tc>
          <w:tcPr>
            <w:tcW w:type="dxa" w:w="10454"/>
            <w:shd w:fill="F4F6F7"/>
            <w:tcMar>
              <w:top w:w="100" w:type="dxa"/>
              <w:start w:w="120" w:type="dxa"/>
              <w:bottom w:w="100" w:type="dxa"/>
              <w:end w:w="120" w:type="dxa"/>
            </w:tcMar>
          </w:tcPr>
          <w:p>
            <w:pPr>
              <w:spacing w:after="0"/>
            </w:pPr>
            <w:r>
              <w:rPr>
                <w:rFonts w:ascii="Courier New" w:hAnsi="Courier New"/>
                <w:color w:val="333333"/>
                <w:sz w:val="12"/>
              </w:rPr>
              <w:t>sequenceDiagram</w:t>
            </w:r>
            <w:r>
              <w:br/>
            </w:r>
            <w:r>
              <w:rPr>
                <w:rFonts w:ascii="Courier New" w:hAnsi="Courier New"/>
                <w:color w:val="333333"/>
                <w:sz w:val="12"/>
              </w:rPr>
              <w:t xml:space="preserve">  autonumber</w:t>
            </w:r>
            <w:r>
              <w:br/>
            </w:r>
            <w:r>
              <w:rPr>
                <w:rFonts w:ascii="Courier New" w:hAnsi="Courier New"/>
                <w:color w:val="333333"/>
                <w:sz w:val="12"/>
              </w:rPr>
              <w:t xml:space="preserve">  actor User</w:t>
            </w:r>
            <w:r>
              <w:br/>
            </w:r>
            <w:r>
              <w:rPr>
                <w:rFonts w:ascii="Courier New" w:hAnsi="Courier New"/>
                <w:color w:val="333333"/>
                <w:sz w:val="12"/>
              </w:rPr>
              <w:t xml:space="preserve">  participant GW as Gateway</w:t>
            </w:r>
            <w:r>
              <w:br/>
            </w:r>
            <w:r>
              <w:rPr>
                <w:rFonts w:ascii="Courier New" w:hAnsi="Courier New"/>
                <w:color w:val="333333"/>
                <w:sz w:val="12"/>
              </w:rPr>
              <w:t xml:space="preserve">  participant API as Transaction API</w:t>
            </w:r>
            <w:r>
              <w:br/>
            </w:r>
            <w:r>
              <w:rPr>
                <w:rFonts w:ascii="Courier New" w:hAnsi="Courier New"/>
                <w:color w:val="333333"/>
                <w:sz w:val="12"/>
              </w:rPr>
              <w:t xml:space="preserve">  participant MF as MicroFunction Runtime</w:t>
            </w:r>
            <w:r>
              <w:br/>
            </w:r>
            <w:r>
              <w:rPr>
                <w:rFonts w:ascii="Courier New" w:hAnsi="Courier New"/>
                <w:color w:val="333333"/>
                <w:sz w:val="12"/>
              </w:rPr>
              <w:t xml:space="preserve">  participant BUS as STP-BUS-* Function</w:t>
            </w:r>
            <w:r>
              <w:br/>
            </w:r>
            <w:r>
              <w:rPr>
                <w:rFonts w:ascii="Courier New" w:hAnsi="Courier New"/>
                <w:color w:val="333333"/>
                <w:sz w:val="12"/>
              </w:rPr>
              <w:t xml:space="preserve">  participant DB as PostgreSQL</w:t>
            </w:r>
            <w:r>
              <w:br/>
            </w:r>
            <w:r>
              <w:rPr>
                <w:rFonts w:ascii="Courier New" w:hAnsi="Courier New"/>
                <w:color w:val="333333"/>
                <w:sz w:val="12"/>
              </w:rPr>
              <w:t xml:space="preserve">  participant AUD as Audit Evidence</w:t>
            </w:r>
            <w:r>
              <w:br/>
            </w:r>
            <w:r>
              <w:rPr>
                <w:rFonts w:ascii="Courier New" w:hAnsi="Courier New"/>
                <w:color w:val="333333"/>
                <w:sz w:val="12"/>
              </w:rPr>
              <w:t xml:space="preserve">  User-&gt;&gt;GW: Submit request</w:t>
            </w:r>
            <w:r>
              <w:br/>
            </w:r>
            <w:r>
              <w:rPr>
                <w:rFonts w:ascii="Courier New" w:hAnsi="Courier New"/>
                <w:color w:val="333333"/>
                <w:sz w:val="12"/>
              </w:rPr>
              <w:t xml:space="preserve">  GW-&gt;&gt;API: Authenticate, classify, correlate</w:t>
            </w:r>
            <w:r>
              <w:br/>
            </w:r>
            <w:r>
              <w:rPr>
                <w:rFonts w:ascii="Courier New" w:hAnsi="Courier New"/>
                <w:color w:val="333333"/>
                <w:sz w:val="12"/>
              </w:rPr>
              <w:t xml:space="preserve">  API-&gt;&gt;MF: execute(txn_code, payload, actor, tenant, idempotency_key)</w:t>
            </w:r>
            <w:r>
              <w:br/>
            </w:r>
            <w:r>
              <w:rPr>
                <w:rFonts w:ascii="Courier New" w:hAnsi="Courier New"/>
                <w:color w:val="333333"/>
                <w:sz w:val="12"/>
              </w:rPr>
              <w:t xml:space="preserve">  MF-&gt;&gt;MF: Standard controls: security, parse, normalize, validate, idempotency, lock</w:t>
            </w:r>
            <w:r>
              <w:br/>
            </w:r>
            <w:r>
              <w:rPr>
                <w:rFonts w:ascii="Courier New" w:hAnsi="Courier New"/>
                <w:color w:val="333333"/>
                <w:sz w:val="12"/>
              </w:rPr>
              <w:t xml:space="preserve">  MF-&gt;&gt;BUS: Execute isolated business capability</w:t>
            </w:r>
            <w:r>
              <w:br/>
            </w:r>
            <w:r>
              <w:rPr>
                <w:rFonts w:ascii="Courier New" w:hAnsi="Courier New"/>
                <w:color w:val="333333"/>
                <w:sz w:val="12"/>
              </w:rPr>
              <w:t xml:space="preserve">  BUS-&gt;&gt;DB: Persist through approved port/repository</w:t>
            </w:r>
            <w:r>
              <w:br/>
            </w:r>
            <w:r>
              <w:rPr>
                <w:rFonts w:ascii="Courier New" w:hAnsi="Courier New"/>
                <w:color w:val="333333"/>
                <w:sz w:val="12"/>
              </w:rPr>
              <w:t xml:space="preserve">  MF-&gt;&gt;AUD: Write step evidence and safe response metadata</w:t>
            </w:r>
            <w:r>
              <w:br/>
            </w:r>
            <w:r>
              <w:rPr>
                <w:rFonts w:ascii="Courier New" w:hAnsi="Courier New"/>
                <w:color w:val="333333"/>
                <w:sz w:val="12"/>
              </w:rPr>
              <w:t xml:space="preserve">  MF--&gt;&gt;API: Success or safe error response</w:t>
            </w:r>
          </w:p>
        </w:tc>
      </w:tr>
    </w:tbl>
    <w:p/>
    <w:p>
      <w:pPr>
        <w:pStyle w:val="Heading1"/>
        <w:keepNext/>
        <w:spacing w:before="160" w:after="80"/>
      </w:pPr>
    </w:p>
    <w:p>
      <w:pPr>
        <w:spacing w:after="80" w:line="250" w:lineRule="auto"/>
      </w:pPr>
      <w:r>
        <w:rPr>
          <w:rFonts w:ascii="Aptos" w:hAnsi="Aptos"/>
          <w:sz w:val="18"/>
        </w:rPr>
        <w:t>AI capabilities in AIRA are first-class architecture components but never bypass enterprise controls. Reasoning, retrieval, model routing, guardrails, tool execution, policy decisions, and human approvals are separate responsibilities.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160"/>
            <w:shd w:fill="1F4E79"/>
            <w:tcMar>
              <w:top w:w="50" w:type="dxa"/>
              <w:start w:w="55" w:type="dxa"/>
              <w:bottom w:w="50" w:type="dxa"/>
              <w:end w:w="55" w:type="dxa"/>
            </w:tcMar>
          </w:tcPr>
          <w:p>
            <w:pPr>
              <w:spacing w:after="0"/>
              <w:jc w:val="center"/>
            </w:pPr>
            <w:r>
              <w:rPr>
                <w:rFonts w:ascii="Aptos" w:hAnsi="Aptos"/>
                <w:b/>
                <w:color w:val="FFFFFF"/>
                <w:sz w:val="13"/>
              </w:rPr>
              <w:t>AI Concern</w:t>
            </w:r>
          </w:p>
        </w:tc>
        <w:tc>
          <w:tcPr>
            <w:tcW w:type="dxa" w:w="2592"/>
            <w:shd w:fill="1F4E79"/>
            <w:tcMar>
              <w:top w:w="50" w:type="dxa"/>
              <w:start w:w="55" w:type="dxa"/>
              <w:bottom w:w="50" w:type="dxa"/>
              <w:end w:w="55" w:type="dxa"/>
            </w:tcMar>
          </w:tcPr>
          <w:p>
            <w:pPr>
              <w:spacing w:after="0"/>
              <w:jc w:val="center"/>
            </w:pPr>
            <w:r>
              <w:rPr>
                <w:rFonts w:ascii="Aptos" w:hAnsi="Aptos"/>
                <w:b/>
                <w:color w:val="FFFFFF"/>
                <w:sz w:val="13"/>
              </w:rPr>
              <w:t>Required Component</w:t>
            </w:r>
          </w:p>
        </w:tc>
        <w:tc>
          <w:tcPr>
            <w:tcW w:type="dxa" w:w="5328"/>
            <w:shd w:fill="1F4E79"/>
            <w:tcMar>
              <w:top w:w="50" w:type="dxa"/>
              <w:start w:w="55" w:type="dxa"/>
              <w:bottom w:w="50" w:type="dxa"/>
              <w:end w:w="55" w:type="dxa"/>
            </w:tcMar>
          </w:tcPr>
          <w:p>
            <w:pPr>
              <w:spacing w:after="0"/>
              <w:jc w:val="center"/>
            </w:pPr>
            <w:r>
              <w:rPr>
                <w:rFonts w:ascii="Aptos" w:hAnsi="Aptos"/>
                <w:b/>
                <w:color w:val="FFFFFF"/>
                <w:sz w:val="13"/>
              </w:rPr>
              <w:t>Mandatory Rule</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Intent handling and prompt assembly</w:t>
            </w:r>
          </w:p>
        </w:tc>
        <w:tc>
          <w:tcPr>
            <w:tcW w:type="dxa" w:w="2592"/>
            <w:vAlign w:val="top"/>
            <w:tcMar>
              <w:top w:w="45" w:type="dxa"/>
              <w:start w:w="55" w:type="dxa"/>
              <w:bottom w:w="45" w:type="dxa"/>
              <w:end w:w="55" w:type="dxa"/>
            </w:tcMar>
          </w:tcPr>
          <w:p>
            <w:pPr>
              <w:spacing w:after="0" w:line="240" w:lineRule="auto"/>
            </w:pPr>
            <w:r>
              <w:rPr>
                <w:rFonts w:ascii="Aptos" w:hAnsi="Aptos"/>
                <w:sz w:val="13"/>
              </w:rPr>
              <w:t>orchestrator-service + Hermes Agent</w:t>
            </w:r>
          </w:p>
        </w:tc>
        <w:tc>
          <w:tcPr>
            <w:tcW w:type="dxa" w:w="5328"/>
            <w:vAlign w:val="top"/>
            <w:tcMar>
              <w:top w:w="45" w:type="dxa"/>
              <w:start w:w="55" w:type="dxa"/>
              <w:bottom w:w="45" w:type="dxa"/>
              <w:end w:w="55" w:type="dxa"/>
            </w:tcMar>
          </w:tcPr>
          <w:p>
            <w:pPr>
              <w:spacing w:after="0" w:line="240" w:lineRule="auto"/>
            </w:pPr>
            <w:r>
              <w:rPr>
                <w:rFonts w:ascii="Aptos" w:hAnsi="Aptos"/>
                <w:sz w:val="13"/>
              </w:rPr>
              <w:t>Uses approved prompt templates, evidence packs, classification labels, and prompt versions.</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Model routing</w:t>
            </w:r>
          </w:p>
        </w:tc>
        <w:tc>
          <w:tcPr>
            <w:tcW w:type="dxa" w:w="2592"/>
            <w:vAlign w:val="top"/>
            <w:tcMar>
              <w:top w:w="45" w:type="dxa"/>
              <w:start w:w="55" w:type="dxa"/>
              <w:bottom w:w="45" w:type="dxa"/>
              <w:end w:w="55" w:type="dxa"/>
            </w:tcMar>
          </w:tcPr>
          <w:p>
            <w:pPr>
              <w:spacing w:after="0" w:line="240" w:lineRule="auto"/>
            </w:pPr>
            <w:r>
              <w:rPr>
                <w:rFonts w:ascii="Aptos" w:hAnsi="Aptos"/>
                <w:sz w:val="13"/>
              </w:rPr>
              <w:t>LiteLLM</w:t>
            </w:r>
          </w:p>
        </w:tc>
        <w:tc>
          <w:tcPr>
            <w:tcW w:type="dxa" w:w="5328"/>
            <w:vAlign w:val="top"/>
            <w:tcMar>
              <w:top w:w="45" w:type="dxa"/>
              <w:start w:w="55" w:type="dxa"/>
              <w:bottom w:w="45" w:type="dxa"/>
              <w:end w:w="55" w:type="dxa"/>
            </w:tcMar>
          </w:tcPr>
          <w:p>
            <w:pPr>
              <w:spacing w:after="0" w:line="240" w:lineRule="auto"/>
            </w:pPr>
            <w:r>
              <w:rPr>
                <w:rFonts w:ascii="Aptos" w:hAnsi="Aptos"/>
                <w:sz w:val="13"/>
              </w:rPr>
              <w:t>All model calls use governed aliases, budgets, virtual keys, logging controls, and classification-aware routes.</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Guardrails</w:t>
            </w:r>
          </w:p>
        </w:tc>
        <w:tc>
          <w:tcPr>
            <w:tcW w:type="dxa" w:w="2592"/>
            <w:vAlign w:val="top"/>
            <w:tcMar>
              <w:top w:w="45" w:type="dxa"/>
              <w:start w:w="55" w:type="dxa"/>
              <w:bottom w:w="45" w:type="dxa"/>
              <w:end w:w="55" w:type="dxa"/>
            </w:tcMar>
          </w:tcPr>
          <w:p>
            <w:pPr>
              <w:spacing w:after="0" w:line="240" w:lineRule="auto"/>
            </w:pPr>
            <w:r>
              <w:rPr>
                <w:rFonts w:ascii="Aptos" w:hAnsi="Aptos"/>
                <w:sz w:val="13"/>
              </w:rPr>
              <w:t>NeMo Guardrails</w:t>
            </w:r>
          </w:p>
        </w:tc>
        <w:tc>
          <w:tcPr>
            <w:tcW w:type="dxa" w:w="5328"/>
            <w:vAlign w:val="top"/>
            <w:tcMar>
              <w:top w:w="45" w:type="dxa"/>
              <w:start w:w="55" w:type="dxa"/>
              <w:bottom w:w="45" w:type="dxa"/>
              <w:end w:w="55" w:type="dxa"/>
            </w:tcMar>
          </w:tcPr>
          <w:p>
            <w:pPr>
              <w:spacing w:after="0" w:line="240" w:lineRule="auto"/>
            </w:pPr>
            <w:r>
              <w:rPr>
                <w:rFonts w:ascii="Aptos" w:hAnsi="Aptos"/>
                <w:sz w:val="13"/>
              </w:rPr>
              <w:t>Input, Retrieval, Execution, and Output checkpoints are mandatory where applicable. Failure blocks the affected action.</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Tool execution</w:t>
            </w:r>
          </w:p>
        </w:tc>
        <w:tc>
          <w:tcPr>
            <w:tcW w:type="dxa" w:w="2592"/>
            <w:vAlign w:val="top"/>
            <w:tcMar>
              <w:top w:w="45" w:type="dxa"/>
              <w:start w:w="55" w:type="dxa"/>
              <w:bottom w:w="45" w:type="dxa"/>
              <w:end w:w="55" w:type="dxa"/>
            </w:tcMar>
          </w:tcPr>
          <w:p>
            <w:pPr>
              <w:spacing w:after="0" w:line="240" w:lineRule="auto"/>
            </w:pPr>
            <w:r>
              <w:rPr>
                <w:rFonts w:ascii="Aptos" w:hAnsi="Aptos"/>
                <w:sz w:val="13"/>
              </w:rPr>
              <w:t>Harness</w:t>
            </w:r>
          </w:p>
        </w:tc>
        <w:tc>
          <w:tcPr>
            <w:tcW w:type="dxa" w:w="5328"/>
            <w:vAlign w:val="top"/>
            <w:tcMar>
              <w:top w:w="45" w:type="dxa"/>
              <w:start w:w="55" w:type="dxa"/>
              <w:bottom w:w="45" w:type="dxa"/>
              <w:end w:w="55" w:type="dxa"/>
            </w:tcMar>
          </w:tcPr>
          <w:p>
            <w:pPr>
              <w:spacing w:after="0" w:line="240" w:lineRule="auto"/>
            </w:pPr>
            <w:r>
              <w:rPr>
                <w:rFonts w:ascii="Aptos" w:hAnsi="Aptos"/>
                <w:sz w:val="13"/>
              </w:rPr>
              <w:t>Agents do not receive direct credentials. Harness validates identity, skill, trust, scope, OPA policy, approval, and audit.</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Policy decisions</w:t>
            </w:r>
          </w:p>
        </w:tc>
        <w:tc>
          <w:tcPr>
            <w:tcW w:type="dxa" w:w="2592"/>
            <w:vAlign w:val="top"/>
            <w:tcMar>
              <w:top w:w="45" w:type="dxa"/>
              <w:start w:w="55" w:type="dxa"/>
              <w:bottom w:w="45" w:type="dxa"/>
              <w:end w:w="55" w:type="dxa"/>
            </w:tcMar>
          </w:tcPr>
          <w:p>
            <w:pPr>
              <w:spacing w:after="0" w:line="240" w:lineRule="auto"/>
            </w:pPr>
            <w:r>
              <w:rPr>
                <w:rFonts w:ascii="Aptos" w:hAnsi="Aptos"/>
                <w:sz w:val="13"/>
              </w:rPr>
              <w:t>OPA</w:t>
            </w:r>
          </w:p>
        </w:tc>
        <w:tc>
          <w:tcPr>
            <w:tcW w:type="dxa" w:w="5328"/>
            <w:vAlign w:val="top"/>
            <w:tcMar>
              <w:top w:w="45" w:type="dxa"/>
              <w:start w:w="55" w:type="dxa"/>
              <w:bottom w:w="45" w:type="dxa"/>
              <w:end w:w="55" w:type="dxa"/>
            </w:tcMar>
          </w:tcPr>
          <w:p>
            <w:pPr>
              <w:spacing w:after="0" w:line="240" w:lineRule="auto"/>
            </w:pPr>
            <w:r>
              <w:rPr>
                <w:rFonts w:ascii="Aptos" w:hAnsi="Aptos"/>
                <w:sz w:val="13"/>
              </w:rPr>
              <w:t>Authorization, routing, admission, release, AI action, and exception policies are versioned and tested.</w:t>
            </w:r>
          </w:p>
        </w:tc>
      </w:tr>
      <w:tr>
        <w:trPr>
          <w:cantSplit/>
        </w:trPr>
        <w:tc>
          <w:tcPr>
            <w:tcW w:type="dxa" w:w="2160"/>
            <w:vAlign w:val="top"/>
            <w:tcMar>
              <w:top w:w="45" w:type="dxa"/>
              <w:start w:w="55" w:type="dxa"/>
              <w:bottom w:w="45" w:type="dxa"/>
              <w:end w:w="55" w:type="dxa"/>
            </w:tcMar>
          </w:tcPr>
          <w:p>
            <w:pPr>
              <w:spacing w:after="0" w:line="240" w:lineRule="auto"/>
            </w:pPr>
            <w:r>
              <w:rPr>
                <w:rFonts w:ascii="Aptos" w:hAnsi="Aptos"/>
                <w:sz w:val="13"/>
              </w:rPr>
              <w:t>Human approval</w:t>
            </w:r>
          </w:p>
        </w:tc>
        <w:tc>
          <w:tcPr>
            <w:tcW w:type="dxa" w:w="2592"/>
            <w:vAlign w:val="top"/>
            <w:tcMar>
              <w:top w:w="45" w:type="dxa"/>
              <w:start w:w="55" w:type="dxa"/>
              <w:bottom w:w="45" w:type="dxa"/>
              <w:end w:w="55" w:type="dxa"/>
            </w:tcMar>
          </w:tcPr>
          <w:p>
            <w:pPr>
              <w:spacing w:after="0" w:line="240" w:lineRule="auto"/>
            </w:pPr>
            <w:r>
              <w:rPr>
                <w:rFonts w:ascii="Aptos" w:hAnsi="Aptos"/>
                <w:sz w:val="13"/>
              </w:rPr>
              <w:t>Flowable / CAB</w:t>
            </w:r>
          </w:p>
        </w:tc>
        <w:tc>
          <w:tcPr>
            <w:tcW w:type="dxa" w:w="5328"/>
            <w:vAlign w:val="top"/>
            <w:tcMar>
              <w:top w:w="45" w:type="dxa"/>
              <w:start w:w="55" w:type="dxa"/>
              <w:bottom w:w="45" w:type="dxa"/>
              <w:end w:w="55" w:type="dxa"/>
            </w:tcMar>
          </w:tcPr>
          <w:p>
            <w:pPr>
              <w:spacing w:after="0" w:line="240" w:lineRule="auto"/>
            </w:pPr>
            <w:r>
              <w:rPr>
                <w:rFonts w:ascii="Aptos" w:hAnsi="Aptos"/>
                <w:sz w:val="13"/>
              </w:rPr>
              <w:t>High-risk, low-confidence, Confidential/Restricted, production-impacting, or exception actions require human approval.</w:t>
            </w:r>
          </w:p>
        </w:tc>
      </w:tr>
    </w:tbl>
    <w:p/>
    <w:p>
      <w:pPr>
        <w:pStyle w:val="Heading2"/>
        <w:keepNext/>
        <w:spacing w:before="120" w:after="80"/>
      </w:pPr>
    </w:p>
    <w:p>
      <w:pPr>
        <w:spacing w:after="40"/>
      </w:pPr>
      <w:r>
        <w:rPr>
          <w:rFonts w:ascii="Aptos" w:hAnsi="Aptos"/>
          <w:b/>
          <w:color w:val="1F4E79"/>
          <w:sz w:val="17"/>
        </w:rPr>
        <w:t>Figure 3. Copy-ready Mermaid - Agent action boundary</w:t>
      </w:r>
    </w:p>
    <w:tbl>
      <w:tblPr>
        <w:tblStyle w:val="TableGrid"/>
        <w:tblW w:type="auto" w:w="0"/>
        <w:tblLook w:firstColumn="1" w:firstRow="1" w:lastColumn="0" w:lastRow="0" w:noHBand="0" w:noVBand="1" w:val="04A0"/>
      </w:tblPr>
      <w:tblGrid>
        <w:gridCol w:w="10454"/>
      </w:tblGrid>
      <w:tr>
        <w:tc>
          <w:tcPr>
            <w:tcW w:type="dxa" w:w="10454"/>
            <w:shd w:fill="F4F6F7"/>
            <w:tcMar>
              <w:top w:w="100" w:type="dxa"/>
              <w:start w:w="120" w:type="dxa"/>
              <w:bottom w:w="100" w:type="dxa"/>
              <w:end w:w="120" w:type="dxa"/>
            </w:tcMar>
          </w:tcPr>
          <w:p>
            <w:pPr>
              <w:spacing w:after="0"/>
            </w:pPr>
            <w:r>
              <w:rPr>
                <w:rFonts w:ascii="Courier New" w:hAnsi="Courier New"/>
                <w:color w:val="333333"/>
                <w:sz w:val="12"/>
              </w:rPr>
              <w:t>flowchart TD</w:t>
            </w:r>
            <w:r>
              <w:br/>
            </w:r>
            <w:r>
              <w:rPr>
                <w:rFonts w:ascii="Courier New" w:hAnsi="Courier New"/>
                <w:color w:val="333333"/>
                <w:sz w:val="12"/>
              </w:rPr>
              <w:t xml:space="preserve">  H[Human Request or System Signal] --&gt; R[Agent Reasoning]</w:t>
            </w:r>
            <w:r>
              <w:br/>
            </w:r>
            <w:r>
              <w:rPr>
                <w:rFonts w:ascii="Courier New" w:hAnsi="Courier New"/>
                <w:color w:val="333333"/>
                <w:sz w:val="12"/>
              </w:rPr>
              <w:t xml:space="preserve">  R --&gt; G1[Input and Retrieval Guardrails]</w:t>
            </w:r>
            <w:r>
              <w:br/>
            </w:r>
            <w:r>
              <w:rPr>
                <w:rFonts w:ascii="Courier New" w:hAnsi="Courier New"/>
                <w:color w:val="333333"/>
                <w:sz w:val="12"/>
              </w:rPr>
              <w:t xml:space="preserve">  G1 --&gt; P[Proposed Action with Evidence, Risk, Confidence]</w:t>
            </w:r>
            <w:r>
              <w:br/>
            </w:r>
            <w:r>
              <w:rPr>
                <w:rFonts w:ascii="Courier New" w:hAnsi="Courier New"/>
                <w:color w:val="333333"/>
                <w:sz w:val="12"/>
              </w:rPr>
              <w:t xml:space="preserve">  P --&gt; G2[Execution Guardrail]</w:t>
            </w:r>
            <w:r>
              <w:br/>
            </w:r>
            <w:r>
              <w:rPr>
                <w:rFonts w:ascii="Courier New" w:hAnsi="Courier New"/>
                <w:color w:val="333333"/>
                <w:sz w:val="12"/>
              </w:rPr>
              <w:t xml:space="preserve">  G2 --&gt; HAR[Harness]</w:t>
            </w:r>
            <w:r>
              <w:br/>
            </w:r>
            <w:r>
              <w:rPr>
                <w:rFonts w:ascii="Courier New" w:hAnsi="Courier New"/>
                <w:color w:val="333333"/>
                <w:sz w:val="12"/>
              </w:rPr>
              <w:t xml:space="preserve">  HAR --&gt; SBAC[Skill and Trust Check]</w:t>
            </w:r>
            <w:r>
              <w:br/>
            </w:r>
            <w:r>
              <w:rPr>
                <w:rFonts w:ascii="Courier New" w:hAnsi="Courier New"/>
                <w:color w:val="333333"/>
                <w:sz w:val="12"/>
              </w:rPr>
              <w:t xml:space="preserve">  SBAC --&gt; OPA[OPA Policy Decision]</w:t>
            </w:r>
            <w:r>
              <w:br/>
            </w:r>
            <w:r>
              <w:rPr>
                <w:rFonts w:ascii="Courier New" w:hAnsi="Courier New"/>
                <w:color w:val="333333"/>
                <w:sz w:val="12"/>
              </w:rPr>
              <w:t xml:space="preserve">  OPA --&gt;|Low Risk Approved| TOOL[Approved Tool Action]</w:t>
            </w:r>
            <w:r>
              <w:br/>
            </w:r>
            <w:r>
              <w:rPr>
                <w:rFonts w:ascii="Courier New" w:hAnsi="Courier New"/>
                <w:color w:val="333333"/>
                <w:sz w:val="12"/>
              </w:rPr>
              <w:t xml:space="preserve">  OPA --&gt;|High Risk or Low Confidence| FLOW[Flowable Human Approval]</w:t>
            </w:r>
            <w:r>
              <w:br/>
            </w:r>
            <w:r>
              <w:rPr>
                <w:rFonts w:ascii="Courier New" w:hAnsi="Courier New"/>
                <w:color w:val="333333"/>
                <w:sz w:val="12"/>
              </w:rPr>
              <w:t xml:space="preserve">  FLOW --&gt; TOOL</w:t>
            </w:r>
            <w:r>
              <w:br/>
            </w:r>
            <w:r>
              <w:rPr>
                <w:rFonts w:ascii="Courier New" w:hAnsi="Courier New"/>
                <w:color w:val="333333"/>
                <w:sz w:val="12"/>
              </w:rPr>
              <w:t xml:space="preserve">  TOOL --&gt; AUD[Immutable Audit Evidence]</w:t>
            </w:r>
            <w:r>
              <w:br/>
            </w:r>
            <w:r>
              <w:rPr>
                <w:rFonts w:ascii="Courier New" w:hAnsi="Courier New"/>
                <w:color w:val="333333"/>
                <w:sz w:val="12"/>
              </w:rPr>
              <w:t xml:space="preserve">  AUD --&gt; LEARN[Governed Feedback Loop]</w:t>
            </w:r>
          </w:p>
        </w:tc>
      </w:tr>
    </w:tbl>
    <w:p/>
    <w:tbl>
      <w:tblPr>
        <w:tblStyle w:val="TableGrid"/>
        <w:tblW w:type="auto" w:w="0"/>
        <w:jc w:val="center"/>
        <w:tblLook w:firstColumn="1" w:firstRow="1" w:lastColumn="0" w:lastRow="0" w:noHBand="0" w:noVBand="1" w:val="04A0"/>
      </w:tblPr>
      <w:tblGrid>
        <w:gridCol w:w="10454"/>
      </w:tblGrid>
      <w:tr>
        <w:tc>
          <w:tcPr>
            <w:tcW w:type="dxa" w:w="10454"/>
            <w:shd w:fill="FDEDEC"/>
            <w:tcMar>
              <w:top w:w="145" w:type="dxa"/>
              <w:start w:w="160" w:type="dxa"/>
              <w:bottom w:w="145" w:type="dxa"/>
              <w:end w:w="160" w:type="dxa"/>
            </w:tcMar>
          </w:tcPr>
          <w:p>
            <w:pPr>
              <w:spacing w:after="60"/>
            </w:pPr>
            <w:r>
              <w:rPr>
                <w:rFonts w:ascii="Aptos" w:hAnsi="Aptos"/>
                <w:b/>
                <w:color w:val="943126"/>
                <w:sz w:val="18"/>
              </w:rPr>
              <w:t>Rejected AI Patterns</w:t>
            </w:r>
          </w:p>
          <w:p>
            <w:pPr>
              <w:spacing w:after="0"/>
            </w:pPr>
            <w:r>
              <w:rPr>
                <w:rFonts w:ascii="Aptos" w:hAnsi="Aptos"/>
                <w:sz w:val="17"/>
              </w:rPr>
              <w:t>Direct provider SDK calls, ungoverned OpenRouter calls, bypass flags for guardrails, direct agent credentials, autonomous production execution, unreviewed prompt/guardrail edits, real PII in prompts/tests, and self-modifying AI artifacts are prohibited architecture patterns.</w:t>
            </w:r>
          </w:p>
        </w:tc>
      </w:tr>
    </w:tbl>
    <w:p/>
    <w:p>
      <w:pPr>
        <w:pStyle w:val="Heading1"/>
        <w:keepNext/>
        <w:spacing w:before="160" w:after="80"/>
      </w:pPr>
    </w:p>
    <w:p>
      <w:pPr>
        <w:spacing w:after="80" w:line="250" w:lineRule="auto"/>
      </w:pPr>
      <w:r>
        <w:rPr>
          <w:rFonts w:ascii="Aptos" w:hAnsi="Aptos"/>
          <w:sz w:val="18"/>
        </w:rPr>
        <w:t>AIRA separates authoritative source systems from derivative retrieval, caches, graphs, and curated knowledge. This separation prevents AI-generated or compiled artifacts from silently overriding approved source truth.</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448"/>
            <w:shd w:fill="1F4E79"/>
            <w:tcMar>
              <w:top w:w="50" w:type="dxa"/>
              <w:start w:w="55" w:type="dxa"/>
              <w:bottom w:w="50" w:type="dxa"/>
              <w:end w:w="55" w:type="dxa"/>
            </w:tcMar>
          </w:tcPr>
          <w:p>
            <w:pPr>
              <w:spacing w:after="0"/>
              <w:jc w:val="center"/>
            </w:pPr>
            <w:r>
              <w:rPr>
                <w:rFonts w:ascii="Aptos" w:hAnsi="Aptos"/>
                <w:b/>
                <w:color w:val="FFFFFF"/>
                <w:sz w:val="13"/>
              </w:rPr>
              <w:t>Layer</w:t>
            </w:r>
          </w:p>
        </w:tc>
        <w:tc>
          <w:tcPr>
            <w:tcW w:type="dxa" w:w="4608"/>
            <w:shd w:fill="1F4E79"/>
            <w:tcMar>
              <w:top w:w="50" w:type="dxa"/>
              <w:start w:w="55" w:type="dxa"/>
              <w:bottom w:w="50" w:type="dxa"/>
              <w:end w:w="55" w:type="dxa"/>
            </w:tcMar>
          </w:tcPr>
          <w:p>
            <w:pPr>
              <w:spacing w:after="0"/>
              <w:jc w:val="center"/>
            </w:pPr>
            <w:r>
              <w:rPr>
                <w:rFonts w:ascii="Aptos" w:hAnsi="Aptos"/>
                <w:b/>
                <w:color w:val="FFFFFF"/>
                <w:sz w:val="13"/>
              </w:rPr>
              <w:t>Representative Sources</w:t>
            </w:r>
          </w:p>
        </w:tc>
        <w:tc>
          <w:tcPr>
            <w:tcW w:type="dxa" w:w="3024"/>
            <w:shd w:fill="1F4E79"/>
            <w:tcMar>
              <w:top w:w="50" w:type="dxa"/>
              <w:start w:w="55" w:type="dxa"/>
              <w:bottom w:w="50" w:type="dxa"/>
              <w:end w:w="55" w:type="dxa"/>
            </w:tcMar>
          </w:tcPr>
          <w:p>
            <w:pPr>
              <w:spacing w:after="0"/>
              <w:jc w:val="center"/>
            </w:pPr>
            <w:r>
              <w:rPr>
                <w:rFonts w:ascii="Aptos" w:hAnsi="Aptos"/>
                <w:b/>
                <w:color w:val="FFFFFF"/>
                <w:sz w:val="13"/>
              </w:rPr>
              <w:t>Authority Rule</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3"/>
              </w:rPr>
              <w:t>Tier 0 - Authoritative</w:t>
            </w:r>
          </w:p>
        </w:tc>
        <w:tc>
          <w:tcPr>
            <w:tcW w:type="dxa" w:w="4608"/>
            <w:vAlign w:val="top"/>
            <w:tcMar>
              <w:top w:w="45" w:type="dxa"/>
              <w:start w:w="55" w:type="dxa"/>
              <w:bottom w:w="45" w:type="dxa"/>
              <w:end w:w="55" w:type="dxa"/>
            </w:tcMar>
          </w:tcPr>
          <w:p>
            <w:pPr>
              <w:spacing w:after="0" w:line="240" w:lineRule="auto"/>
            </w:pPr>
            <w:r>
              <w:rPr>
                <w:rFonts w:ascii="Aptos" w:hAnsi="Aptos"/>
                <w:sz w:val="13"/>
              </w:rPr>
              <w:t>Approved Git/SCM, OpenKM, PostgreSQL transactional stores, Temporal/Flowable histories, identity/audit systems</w:t>
            </w:r>
          </w:p>
        </w:tc>
        <w:tc>
          <w:tcPr>
            <w:tcW w:type="dxa" w:w="3024"/>
            <w:vAlign w:val="top"/>
            <w:tcMar>
              <w:top w:w="45" w:type="dxa"/>
              <w:start w:w="55" w:type="dxa"/>
              <w:bottom w:w="45" w:type="dxa"/>
              <w:end w:w="55" w:type="dxa"/>
            </w:tcMar>
          </w:tcPr>
          <w:p>
            <w:pPr>
              <w:spacing w:after="0" w:line="240" w:lineRule="auto"/>
            </w:pPr>
            <w:r>
              <w:rPr>
                <w:rFonts w:ascii="Aptos" w:hAnsi="Aptos"/>
                <w:sz w:val="13"/>
              </w:rPr>
              <w:t>Highest authority for conflicts, audit, and rebuild.</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3"/>
              </w:rPr>
              <w:t>Tier 1 - Curated</w:t>
            </w:r>
          </w:p>
        </w:tc>
        <w:tc>
          <w:tcPr>
            <w:tcW w:type="dxa" w:w="4608"/>
            <w:vAlign w:val="top"/>
            <w:tcMar>
              <w:top w:w="45" w:type="dxa"/>
              <w:start w:w="55" w:type="dxa"/>
              <w:bottom w:w="45" w:type="dxa"/>
              <w:end w:w="55" w:type="dxa"/>
            </w:tcMar>
          </w:tcPr>
          <w:p>
            <w:pPr>
              <w:spacing w:after="0" w:line="240" w:lineRule="auto"/>
            </w:pPr>
            <w:r>
              <w:rPr>
                <w:rFonts w:ascii="Aptos" w:hAnsi="Aptos"/>
                <w:sz w:val="13"/>
              </w:rPr>
              <w:t>LLM Wiki, Obsidian canonical notes, approved runbooks and reviewed summaries</w:t>
            </w:r>
          </w:p>
        </w:tc>
        <w:tc>
          <w:tcPr>
            <w:tcW w:type="dxa" w:w="3024"/>
            <w:vAlign w:val="top"/>
            <w:tcMar>
              <w:top w:w="45" w:type="dxa"/>
              <w:start w:w="55" w:type="dxa"/>
              <w:bottom w:w="45" w:type="dxa"/>
              <w:end w:w="55" w:type="dxa"/>
            </w:tcMar>
          </w:tcPr>
          <w:p>
            <w:pPr>
              <w:spacing w:after="0" w:line="240" w:lineRule="auto"/>
            </w:pPr>
            <w:r>
              <w:rPr>
                <w:rFonts w:ascii="Aptos" w:hAnsi="Aptos"/>
                <w:sz w:val="13"/>
              </w:rPr>
              <w:t>Authoritative for guidance only when linked to approved source evidence.</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3"/>
              </w:rPr>
              <w:t>Tier 2 - Compiled</w:t>
            </w:r>
          </w:p>
        </w:tc>
        <w:tc>
          <w:tcPr>
            <w:tcW w:type="dxa" w:w="4608"/>
            <w:vAlign w:val="top"/>
            <w:tcMar>
              <w:top w:w="45" w:type="dxa"/>
              <w:start w:w="55" w:type="dxa"/>
              <w:bottom w:w="45" w:type="dxa"/>
              <w:end w:w="55" w:type="dxa"/>
            </w:tcMar>
          </w:tcPr>
          <w:p>
            <w:pPr>
              <w:spacing w:after="0" w:line="240" w:lineRule="auto"/>
            </w:pPr>
            <w:r>
              <w:rPr>
                <w:rFonts w:ascii="Aptos" w:hAnsi="Aptos"/>
                <w:sz w:val="13"/>
              </w:rPr>
              <w:t>pgvector chunks/embeddings, LightRAG graph, search indexes, generated summaries</w:t>
            </w:r>
          </w:p>
        </w:tc>
        <w:tc>
          <w:tcPr>
            <w:tcW w:type="dxa" w:w="3024"/>
            <w:vAlign w:val="top"/>
            <w:tcMar>
              <w:top w:w="45" w:type="dxa"/>
              <w:start w:w="55" w:type="dxa"/>
              <w:bottom w:w="45" w:type="dxa"/>
              <w:end w:w="55" w:type="dxa"/>
            </w:tcMar>
          </w:tcPr>
          <w:p>
            <w:pPr>
              <w:spacing w:after="0" w:line="240" w:lineRule="auto"/>
            </w:pPr>
            <w:r>
              <w:rPr>
                <w:rFonts w:ascii="Aptos" w:hAnsi="Aptos"/>
                <w:sz w:val="13"/>
              </w:rPr>
              <w:t>Derivative; must retain lineage, version, classification, and refresh status.</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3"/>
              </w:rPr>
              <w:t>Tier 3 - Ephemeral</w:t>
            </w:r>
          </w:p>
        </w:tc>
        <w:tc>
          <w:tcPr>
            <w:tcW w:type="dxa" w:w="4608"/>
            <w:vAlign w:val="top"/>
            <w:tcMar>
              <w:top w:w="45" w:type="dxa"/>
              <w:start w:w="55" w:type="dxa"/>
              <w:bottom w:w="45" w:type="dxa"/>
              <w:end w:w="55" w:type="dxa"/>
            </w:tcMar>
          </w:tcPr>
          <w:p>
            <w:pPr>
              <w:spacing w:after="0" w:line="240" w:lineRule="auto"/>
            </w:pPr>
            <w:r>
              <w:rPr>
                <w:rFonts w:ascii="Aptos" w:hAnsi="Aptos"/>
                <w:sz w:val="13"/>
              </w:rPr>
              <w:t>Redis, Caffeine, semantic cache, local session state</w:t>
            </w:r>
          </w:p>
        </w:tc>
        <w:tc>
          <w:tcPr>
            <w:tcW w:type="dxa" w:w="3024"/>
            <w:vAlign w:val="top"/>
            <w:tcMar>
              <w:top w:w="45" w:type="dxa"/>
              <w:start w:w="55" w:type="dxa"/>
              <w:bottom w:w="45" w:type="dxa"/>
              <w:end w:w="55" w:type="dxa"/>
            </w:tcMar>
          </w:tcPr>
          <w:p>
            <w:pPr>
              <w:spacing w:after="0" w:line="240" w:lineRule="auto"/>
            </w:pPr>
            <w:r>
              <w:rPr>
                <w:rFonts w:ascii="Aptos" w:hAnsi="Aptos"/>
                <w:sz w:val="13"/>
              </w:rPr>
              <w:t>Acceleration only; never source of truth or audit evidence.</w:t>
            </w:r>
          </w:p>
        </w:tc>
      </w:tr>
    </w:tbl>
    <w:p/>
    <w:p>
      <w:pPr>
        <w:pStyle w:val="Heading2"/>
        <w:keepNext/>
        <w:spacing w:before="120" w:after="80"/>
      </w:pPr>
    </w:p>
    <w:p>
      <w:pPr>
        <w:pStyle w:val="ListBullet"/>
        <w:spacing w:after="40"/>
        <w:ind w:left="259"/>
      </w:pPr>
      <w:r>
        <w:rPr>
          <w:rFonts w:ascii="Aptos" w:hAnsi="Aptos"/>
          <w:sz w:val="17"/>
        </w:rPr>
        <w:t>Retrieval results must be ACL-filtered, classification-aware, freshness-checked, and evidence-cited before prompt assembly.</w:t>
      </w:r>
    </w:p>
    <w:p>
      <w:pPr>
        <w:pStyle w:val="ListBullet"/>
        <w:spacing w:after="40"/>
        <w:ind w:left="259"/>
      </w:pPr>
      <w:r>
        <w:rPr>
          <w:rFonts w:ascii="Aptos" w:hAnsi="Aptos"/>
          <w:sz w:val="17"/>
        </w:rPr>
        <w:t>Confidential and Restricted content follows approved private/on-premise model routing unless formally waived.</w:t>
      </w:r>
    </w:p>
    <w:p>
      <w:pPr>
        <w:pStyle w:val="ListBullet"/>
        <w:spacing w:after="40"/>
        <w:ind w:left="259"/>
      </w:pPr>
      <w:r>
        <w:rPr>
          <w:rFonts w:ascii="Aptos" w:hAnsi="Aptos"/>
          <w:sz w:val="17"/>
        </w:rPr>
        <w:t>Auto-Learn output is a candidate artifact until reviewed, tested, classified, cited, approved, and promoted.</w:t>
      </w:r>
    </w:p>
    <w:p>
      <w:pPr>
        <w:pStyle w:val="ListBullet"/>
        <w:spacing w:after="40"/>
        <w:ind w:left="259"/>
      </w:pPr>
      <w:r>
        <w:rPr>
          <w:rFonts w:ascii="Aptos" w:hAnsi="Aptos"/>
          <w:sz w:val="17"/>
        </w:rPr>
        <w:t>Stale, superseded, draft, or conflicting knowledge is quarantined from default LLM Wiki retrieval.</w:t>
      </w:r>
    </w:p>
    <w:p>
      <w:pPr>
        <w:pStyle w:val="Heading1"/>
        <w:keepNext/>
        <w:spacing w:before="160" w:after="80"/>
      </w:pPr>
    </w:p>
    <w:p>
      <w:pPr>
        <w:spacing w:after="80" w:line="250" w:lineRule="auto"/>
      </w:pPr>
      <w:r>
        <w:rPr>
          <w:rFonts w:ascii="Aptos" w:hAnsi="Aptos"/>
          <w:sz w:val="18"/>
        </w:rPr>
        <w:t>AIRA uses Zero Trust and least privilege by default. Human, service, workload, and AI agent access are named, authenticated, authorized, classified, trace-correlated, logged, and evidenced.</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728"/>
            <w:shd w:fill="1F4E79"/>
            <w:tcMar>
              <w:top w:w="50" w:type="dxa"/>
              <w:start w:w="55" w:type="dxa"/>
              <w:bottom w:w="50" w:type="dxa"/>
              <w:end w:w="55" w:type="dxa"/>
            </w:tcMar>
          </w:tcPr>
          <w:p>
            <w:pPr>
              <w:spacing w:after="0"/>
              <w:jc w:val="center"/>
            </w:pPr>
            <w:r>
              <w:rPr>
                <w:rFonts w:ascii="Aptos" w:hAnsi="Aptos"/>
                <w:b/>
                <w:color w:val="FFFFFF"/>
                <w:sz w:val="13"/>
              </w:rPr>
              <w:t>Layer</w:t>
            </w:r>
          </w:p>
        </w:tc>
        <w:tc>
          <w:tcPr>
            <w:tcW w:type="dxa" w:w="4608"/>
            <w:shd w:fill="1F4E79"/>
            <w:tcMar>
              <w:top w:w="50" w:type="dxa"/>
              <w:start w:w="55" w:type="dxa"/>
              <w:bottom w:w="50" w:type="dxa"/>
              <w:end w:w="55" w:type="dxa"/>
            </w:tcMar>
          </w:tcPr>
          <w:p>
            <w:pPr>
              <w:spacing w:after="0"/>
              <w:jc w:val="center"/>
            </w:pPr>
            <w:r>
              <w:rPr>
                <w:rFonts w:ascii="Aptos" w:hAnsi="Aptos"/>
                <w:b/>
                <w:color w:val="FFFFFF"/>
                <w:sz w:val="13"/>
              </w:rPr>
              <w:t>Primary Controls</w:t>
            </w:r>
          </w:p>
        </w:tc>
        <w:tc>
          <w:tcPr>
            <w:tcW w:type="dxa" w:w="3744"/>
            <w:shd w:fill="1F4E79"/>
            <w:tcMar>
              <w:top w:w="50" w:type="dxa"/>
              <w:start w:w="55" w:type="dxa"/>
              <w:bottom w:w="50" w:type="dxa"/>
              <w:end w:w="55" w:type="dxa"/>
            </w:tcMar>
          </w:tcPr>
          <w:p>
            <w:pPr>
              <w:spacing w:after="0"/>
              <w:jc w:val="center"/>
            </w:pPr>
            <w:r>
              <w:rPr>
                <w:rFonts w:ascii="Aptos" w:hAnsi="Aptos"/>
                <w:b/>
                <w:color w:val="FFFFFF"/>
                <w:sz w:val="13"/>
              </w:rPr>
              <w:t>Evidence Required</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Identity</w:t>
            </w:r>
          </w:p>
        </w:tc>
        <w:tc>
          <w:tcPr>
            <w:tcW w:type="dxa" w:w="4608"/>
            <w:vAlign w:val="top"/>
            <w:tcMar>
              <w:top w:w="45" w:type="dxa"/>
              <w:start w:w="55" w:type="dxa"/>
              <w:bottom w:w="45" w:type="dxa"/>
              <w:end w:w="55" w:type="dxa"/>
            </w:tcMar>
          </w:tcPr>
          <w:p>
            <w:pPr>
              <w:spacing w:after="0" w:line="240" w:lineRule="auto"/>
            </w:pPr>
            <w:r>
              <w:rPr>
                <w:rFonts w:ascii="Aptos" w:hAnsi="Aptos"/>
                <w:sz w:val="13"/>
              </w:rPr>
              <w:t>Keycloak, corporate AD/IdP, MFA, group/role mapping</w:t>
            </w:r>
          </w:p>
        </w:tc>
        <w:tc>
          <w:tcPr>
            <w:tcW w:type="dxa" w:w="3744"/>
            <w:vAlign w:val="top"/>
            <w:tcMar>
              <w:top w:w="45" w:type="dxa"/>
              <w:start w:w="55" w:type="dxa"/>
              <w:bottom w:w="45" w:type="dxa"/>
              <w:end w:w="55" w:type="dxa"/>
            </w:tcMar>
          </w:tcPr>
          <w:p>
            <w:pPr>
              <w:spacing w:after="0" w:line="240" w:lineRule="auto"/>
            </w:pPr>
            <w:r>
              <w:rPr>
                <w:rFonts w:ascii="Aptos" w:hAnsi="Aptos"/>
                <w:sz w:val="13"/>
              </w:rPr>
              <w:t>User ID, realm, groups, MFA status, token issuer, revocation state</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Gateway</w:t>
            </w:r>
          </w:p>
        </w:tc>
        <w:tc>
          <w:tcPr>
            <w:tcW w:type="dxa" w:w="4608"/>
            <w:vAlign w:val="top"/>
            <w:tcMar>
              <w:top w:w="45" w:type="dxa"/>
              <w:start w:w="55" w:type="dxa"/>
              <w:bottom w:w="45" w:type="dxa"/>
              <w:end w:w="55" w:type="dxa"/>
            </w:tcMar>
          </w:tcPr>
          <w:p>
            <w:pPr>
              <w:spacing w:after="0" w:line="240" w:lineRule="auto"/>
            </w:pPr>
            <w:r>
              <w:rPr>
                <w:rFonts w:ascii="Aptos" w:hAnsi="Aptos"/>
                <w:sz w:val="13"/>
              </w:rPr>
              <w:t>TLS, JWT validation, rate limiting, route policy, trace injection</w:t>
            </w:r>
          </w:p>
        </w:tc>
        <w:tc>
          <w:tcPr>
            <w:tcW w:type="dxa" w:w="3744"/>
            <w:vAlign w:val="top"/>
            <w:tcMar>
              <w:top w:w="45" w:type="dxa"/>
              <w:start w:w="55" w:type="dxa"/>
              <w:bottom w:w="45" w:type="dxa"/>
              <w:end w:w="55" w:type="dxa"/>
            </w:tcMar>
          </w:tcPr>
          <w:p>
            <w:pPr>
              <w:spacing w:after="0" w:line="240" w:lineRule="auto"/>
            </w:pPr>
            <w:r>
              <w:rPr>
                <w:rFonts w:ascii="Aptos" w:hAnsi="Aptos"/>
                <w:sz w:val="13"/>
              </w:rPr>
              <w:t>Request ID, actor, tenant, route, decision, trace_id</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Service</w:t>
            </w:r>
          </w:p>
        </w:tc>
        <w:tc>
          <w:tcPr>
            <w:tcW w:type="dxa" w:w="4608"/>
            <w:vAlign w:val="top"/>
            <w:tcMar>
              <w:top w:w="45" w:type="dxa"/>
              <w:start w:w="55" w:type="dxa"/>
              <w:bottom w:w="45" w:type="dxa"/>
              <w:end w:w="55" w:type="dxa"/>
            </w:tcMar>
          </w:tcPr>
          <w:p>
            <w:pPr>
              <w:spacing w:after="0" w:line="240" w:lineRule="auto"/>
            </w:pPr>
            <w:r>
              <w:rPr>
                <w:rFonts w:ascii="Aptos" w:hAnsi="Aptos"/>
                <w:sz w:val="13"/>
              </w:rPr>
              <w:t>Spring Security, resource authorization, OPA client, MicroFunction envelope</w:t>
            </w:r>
          </w:p>
        </w:tc>
        <w:tc>
          <w:tcPr>
            <w:tcW w:type="dxa" w:w="3744"/>
            <w:vAlign w:val="top"/>
            <w:tcMar>
              <w:top w:w="45" w:type="dxa"/>
              <w:start w:w="55" w:type="dxa"/>
              <w:bottom w:w="45" w:type="dxa"/>
              <w:end w:w="55" w:type="dxa"/>
            </w:tcMar>
          </w:tcPr>
          <w:p>
            <w:pPr>
              <w:spacing w:after="0" w:line="240" w:lineRule="auto"/>
            </w:pPr>
            <w:r>
              <w:rPr>
                <w:rFonts w:ascii="Aptos" w:hAnsi="Aptos"/>
                <w:sz w:val="13"/>
              </w:rPr>
              <w:t>Subject, action, resource, policy version, classification, decision</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Data</w:t>
            </w:r>
          </w:p>
        </w:tc>
        <w:tc>
          <w:tcPr>
            <w:tcW w:type="dxa" w:w="4608"/>
            <w:vAlign w:val="top"/>
            <w:tcMar>
              <w:top w:w="45" w:type="dxa"/>
              <w:start w:w="55" w:type="dxa"/>
              <w:bottom w:w="45" w:type="dxa"/>
              <w:end w:w="55" w:type="dxa"/>
            </w:tcMar>
          </w:tcPr>
          <w:p>
            <w:pPr>
              <w:spacing w:after="0" w:line="240" w:lineRule="auto"/>
            </w:pPr>
            <w:r>
              <w:rPr>
                <w:rFonts w:ascii="Aptos" w:hAnsi="Aptos"/>
                <w:sz w:val="13"/>
              </w:rPr>
              <w:t>PostgreSQL RLS, schema ownership, encryption, audit columns</w:t>
            </w:r>
          </w:p>
        </w:tc>
        <w:tc>
          <w:tcPr>
            <w:tcW w:type="dxa" w:w="3744"/>
            <w:vAlign w:val="top"/>
            <w:tcMar>
              <w:top w:w="45" w:type="dxa"/>
              <w:start w:w="55" w:type="dxa"/>
              <w:bottom w:w="45" w:type="dxa"/>
              <w:end w:w="55" w:type="dxa"/>
            </w:tcMar>
          </w:tcPr>
          <w:p>
            <w:pPr>
              <w:spacing w:after="0" w:line="240" w:lineRule="auto"/>
            </w:pPr>
            <w:r>
              <w:rPr>
                <w:rFonts w:ascii="Aptos" w:hAnsi="Aptos"/>
                <w:sz w:val="13"/>
              </w:rPr>
              <w:t>Tenant_id, actor, transaction, migration version, mutation history</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Secrets</w:t>
            </w:r>
          </w:p>
        </w:tc>
        <w:tc>
          <w:tcPr>
            <w:tcW w:type="dxa" w:w="4608"/>
            <w:vAlign w:val="top"/>
            <w:tcMar>
              <w:top w:w="45" w:type="dxa"/>
              <w:start w:w="55" w:type="dxa"/>
              <w:bottom w:w="45" w:type="dxa"/>
              <w:end w:w="55" w:type="dxa"/>
            </w:tcMar>
          </w:tcPr>
          <w:p>
            <w:pPr>
              <w:spacing w:after="0" w:line="240" w:lineRule="auto"/>
            </w:pPr>
            <w:r>
              <w:rPr>
                <w:rFonts w:ascii="Aptos" w:hAnsi="Aptos"/>
                <w:sz w:val="13"/>
              </w:rPr>
              <w:t>Vault / approved secrets manager, dynamic secrets, leases, rotation</w:t>
            </w:r>
          </w:p>
        </w:tc>
        <w:tc>
          <w:tcPr>
            <w:tcW w:type="dxa" w:w="3744"/>
            <w:vAlign w:val="top"/>
            <w:tcMar>
              <w:top w:w="45" w:type="dxa"/>
              <w:start w:w="55" w:type="dxa"/>
              <w:bottom w:w="45" w:type="dxa"/>
              <w:end w:w="55" w:type="dxa"/>
            </w:tcMar>
          </w:tcPr>
          <w:p>
            <w:pPr>
              <w:spacing w:after="0" w:line="240" w:lineRule="auto"/>
            </w:pPr>
            <w:r>
              <w:rPr>
                <w:rFonts w:ascii="Aptos" w:hAnsi="Aptos"/>
                <w:sz w:val="13"/>
              </w:rPr>
              <w:t>Secret path, lease ID, accessor, TTL, rotation/revocation event</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Workload</w:t>
            </w:r>
          </w:p>
        </w:tc>
        <w:tc>
          <w:tcPr>
            <w:tcW w:type="dxa" w:w="4608"/>
            <w:vAlign w:val="top"/>
            <w:tcMar>
              <w:top w:w="45" w:type="dxa"/>
              <w:start w:w="55" w:type="dxa"/>
              <w:bottom w:w="45" w:type="dxa"/>
              <w:end w:w="55" w:type="dxa"/>
            </w:tcMar>
          </w:tcPr>
          <w:p>
            <w:pPr>
              <w:spacing w:after="0" w:line="240" w:lineRule="auto"/>
            </w:pPr>
            <w:r>
              <w:rPr>
                <w:rFonts w:ascii="Aptos" w:hAnsi="Aptos"/>
                <w:sz w:val="13"/>
              </w:rPr>
              <w:t>SPIFFE/SVID, mTLS, service identity</w:t>
            </w:r>
          </w:p>
        </w:tc>
        <w:tc>
          <w:tcPr>
            <w:tcW w:type="dxa" w:w="3744"/>
            <w:vAlign w:val="top"/>
            <w:tcMar>
              <w:top w:w="45" w:type="dxa"/>
              <w:start w:w="55" w:type="dxa"/>
              <w:bottom w:w="45" w:type="dxa"/>
              <w:end w:w="55" w:type="dxa"/>
            </w:tcMar>
          </w:tcPr>
          <w:p>
            <w:pPr>
              <w:spacing w:after="0" w:line="240" w:lineRule="auto"/>
            </w:pPr>
            <w:r>
              <w:rPr>
                <w:rFonts w:ascii="Aptos" w:hAnsi="Aptos"/>
                <w:sz w:val="13"/>
              </w:rPr>
              <w:t>SPIFFE ID, certificate serial, trust domain, attestation event</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AI Execution</w:t>
            </w:r>
          </w:p>
        </w:tc>
        <w:tc>
          <w:tcPr>
            <w:tcW w:type="dxa" w:w="4608"/>
            <w:vAlign w:val="top"/>
            <w:tcMar>
              <w:top w:w="45" w:type="dxa"/>
              <w:start w:w="55" w:type="dxa"/>
              <w:bottom w:w="45" w:type="dxa"/>
              <w:end w:w="55" w:type="dxa"/>
            </w:tcMar>
          </w:tcPr>
          <w:p>
            <w:pPr>
              <w:spacing w:after="0" w:line="240" w:lineRule="auto"/>
            </w:pPr>
            <w:r>
              <w:rPr>
                <w:rFonts w:ascii="Aptos" w:hAnsi="Aptos"/>
                <w:sz w:val="13"/>
              </w:rPr>
              <w:t>Harness, SBAC, OPA, trust scoring, guardrails, LiteLLM</w:t>
            </w:r>
          </w:p>
        </w:tc>
        <w:tc>
          <w:tcPr>
            <w:tcW w:type="dxa" w:w="3744"/>
            <w:vAlign w:val="top"/>
            <w:tcMar>
              <w:top w:w="45" w:type="dxa"/>
              <w:start w:w="55" w:type="dxa"/>
              <w:bottom w:w="45" w:type="dxa"/>
              <w:end w:w="55" w:type="dxa"/>
            </w:tcMar>
          </w:tcPr>
          <w:p>
            <w:pPr>
              <w:spacing w:after="0" w:line="240" w:lineRule="auto"/>
            </w:pPr>
            <w:r>
              <w:rPr>
                <w:rFonts w:ascii="Aptos" w:hAnsi="Aptos"/>
                <w:sz w:val="13"/>
              </w:rPr>
              <w:t>Agent ID, skill, trust score, model alias, guardrail result, approval, action result</w:t>
            </w:r>
          </w:p>
        </w:tc>
      </w:tr>
    </w:tbl>
    <w:p/>
    <w:p>
      <w:pPr>
        <w:pStyle w:val="Heading2"/>
        <w:keepNext/>
        <w:spacing w:before="120" w:after="80"/>
      </w:pPr>
    </w:p>
    <w:p>
      <w:pPr>
        <w:spacing w:after="80" w:line="250" w:lineRule="auto"/>
      </w:pPr>
      <w:r>
        <w:rPr>
          <w:rFonts w:ascii="Aptos" w:hAnsi="Aptos"/>
          <w:sz w:val="18"/>
        </w:rPr>
        <w:t>If Keycloak, Vault, OPA, Harness, LiteLLM, NeMo Guardrails, SPIFFE/SVID trust, or the audit pipeline is unavailable, protected actions are blocked by default. Availability incidents must degrade functionality safely, not silently weaken control.</w:t>
      </w:r>
    </w:p>
    <w:p>
      <w:pPr>
        <w:pStyle w:val="Heading1"/>
        <w:keepNext/>
        <w:spacing w:before="160" w:after="80"/>
      </w:pPr>
    </w:p>
    <w:p>
      <w:pPr>
        <w:spacing w:after="80" w:line="250" w:lineRule="auto"/>
      </w:pPr>
      <w:r>
        <w:rPr>
          <w:rFonts w:ascii="Aptos" w:hAnsi="Aptos"/>
          <w:sz w:val="18"/>
        </w:rPr>
        <w:t>AIRA must remain correct under retries, timeouts, partial failure, duplicate events, workflow restarts, cache loss, and AI remediation attempts. Correctness is more important than latency or convenience.</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72"/>
            <w:shd w:fill="1F4E79"/>
            <w:tcMar>
              <w:top w:w="50" w:type="dxa"/>
              <w:start w:w="55" w:type="dxa"/>
              <w:bottom w:w="50" w:type="dxa"/>
              <w:end w:w="55" w:type="dxa"/>
            </w:tcMar>
          </w:tcPr>
          <w:p>
            <w:pPr>
              <w:spacing w:after="0"/>
              <w:jc w:val="center"/>
            </w:pPr>
            <w:r>
              <w:rPr>
                <w:rFonts w:ascii="Aptos" w:hAnsi="Aptos"/>
                <w:b/>
                <w:color w:val="FFFFFF"/>
                <w:sz w:val="13"/>
              </w:rPr>
              <w:t>Concern</w:t>
            </w:r>
          </w:p>
        </w:tc>
        <w:tc>
          <w:tcPr>
            <w:tcW w:type="dxa" w:w="5040"/>
            <w:shd w:fill="1F4E79"/>
            <w:tcMar>
              <w:top w:w="50" w:type="dxa"/>
              <w:start w:w="55" w:type="dxa"/>
              <w:bottom w:w="50" w:type="dxa"/>
              <w:end w:w="55" w:type="dxa"/>
            </w:tcMar>
          </w:tcPr>
          <w:p>
            <w:pPr>
              <w:spacing w:after="0"/>
              <w:jc w:val="center"/>
            </w:pPr>
            <w:r>
              <w:rPr>
                <w:rFonts w:ascii="Aptos" w:hAnsi="Aptos"/>
                <w:b/>
                <w:color w:val="FFFFFF"/>
                <w:sz w:val="13"/>
              </w:rPr>
              <w:t>Architecture Requirement</w:t>
            </w:r>
          </w:p>
        </w:tc>
        <w:tc>
          <w:tcPr>
            <w:tcW w:type="dxa" w:w="3168"/>
            <w:shd w:fill="1F4E79"/>
            <w:tcMar>
              <w:top w:w="50" w:type="dxa"/>
              <w:start w:w="55" w:type="dxa"/>
              <w:bottom w:w="50" w:type="dxa"/>
              <w:end w:w="55" w:type="dxa"/>
            </w:tcMar>
          </w:tcPr>
          <w:p>
            <w:pPr>
              <w:spacing w:after="0"/>
              <w:jc w:val="center"/>
            </w:pPr>
            <w:r>
              <w:rPr>
                <w:rFonts w:ascii="Aptos" w:hAnsi="Aptos"/>
                <w:b/>
                <w:color w:val="FFFFFF"/>
                <w:sz w:val="13"/>
              </w:rPr>
              <w:t>Evidence / Test</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Idempotency</w:t>
            </w:r>
          </w:p>
        </w:tc>
        <w:tc>
          <w:tcPr>
            <w:tcW w:type="dxa" w:w="5040"/>
            <w:vAlign w:val="top"/>
            <w:tcMar>
              <w:top w:w="45" w:type="dxa"/>
              <w:start w:w="55" w:type="dxa"/>
              <w:bottom w:w="45" w:type="dxa"/>
              <w:end w:w="55" w:type="dxa"/>
            </w:tcMar>
          </w:tcPr>
          <w:p>
            <w:pPr>
              <w:spacing w:after="0" w:line="240" w:lineRule="auto"/>
            </w:pPr>
            <w:r>
              <w:rPr>
                <w:rFonts w:ascii="Aptos" w:hAnsi="Aptos"/>
                <w:sz w:val="13"/>
              </w:rPr>
              <w:t>Every mutating API, event consumer, workflow start, external call, and remediation action has a deduplication strategy.</w:t>
            </w:r>
          </w:p>
        </w:tc>
        <w:tc>
          <w:tcPr>
            <w:tcW w:type="dxa" w:w="3168"/>
            <w:vAlign w:val="top"/>
            <w:tcMar>
              <w:top w:w="45" w:type="dxa"/>
              <w:start w:w="55" w:type="dxa"/>
              <w:bottom w:w="45" w:type="dxa"/>
              <w:end w:w="55" w:type="dxa"/>
            </w:tcMar>
          </w:tcPr>
          <w:p>
            <w:pPr>
              <w:spacing w:after="0" w:line="240" w:lineRule="auto"/>
            </w:pPr>
            <w:r>
              <w:rPr>
                <w:rFonts w:ascii="Aptos" w:hAnsi="Aptos"/>
                <w:sz w:val="13"/>
              </w:rPr>
              <w:t>Idempotency key tests, replay tests, processed-event registry checks.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Retries</w:t>
            </w:r>
          </w:p>
        </w:tc>
        <w:tc>
          <w:tcPr>
            <w:tcW w:type="dxa" w:w="5040"/>
            <w:vAlign w:val="top"/>
            <w:tcMar>
              <w:top w:w="45" w:type="dxa"/>
              <w:start w:w="55" w:type="dxa"/>
              <w:bottom w:w="45" w:type="dxa"/>
              <w:end w:w="55" w:type="dxa"/>
            </w:tcMar>
          </w:tcPr>
          <w:p>
            <w:pPr>
              <w:spacing w:after="0" w:line="240" w:lineRule="auto"/>
            </w:pPr>
            <w:r>
              <w:rPr>
                <w:rFonts w:ascii="Aptos" w:hAnsi="Aptos"/>
                <w:sz w:val="13"/>
              </w:rPr>
              <w:t>Retry policy is named, bounded, jittered where needed, and safe only for idempotent or compensatable operations.</w:t>
            </w:r>
          </w:p>
        </w:tc>
        <w:tc>
          <w:tcPr>
            <w:tcW w:type="dxa" w:w="3168"/>
            <w:vAlign w:val="top"/>
            <w:tcMar>
              <w:top w:w="45" w:type="dxa"/>
              <w:start w:w="55" w:type="dxa"/>
              <w:bottom w:w="45" w:type="dxa"/>
              <w:end w:w="55" w:type="dxa"/>
            </w:tcMar>
          </w:tcPr>
          <w:p>
            <w:pPr>
              <w:spacing w:after="0" w:line="240" w:lineRule="auto"/>
            </w:pPr>
            <w:r>
              <w:rPr>
                <w:rFonts w:ascii="Aptos" w:hAnsi="Aptos"/>
                <w:sz w:val="13"/>
              </w:rPr>
              <w:t>Resilience tests, Temporal workflow tests, error-policy evidence.</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Timeouts</w:t>
            </w:r>
          </w:p>
        </w:tc>
        <w:tc>
          <w:tcPr>
            <w:tcW w:type="dxa" w:w="5040"/>
            <w:vAlign w:val="top"/>
            <w:tcMar>
              <w:top w:w="45" w:type="dxa"/>
              <w:start w:w="55" w:type="dxa"/>
              <w:bottom w:w="45" w:type="dxa"/>
              <w:end w:w="55" w:type="dxa"/>
            </w:tcMar>
          </w:tcPr>
          <w:p>
            <w:pPr>
              <w:spacing w:after="0" w:line="240" w:lineRule="auto"/>
            </w:pPr>
            <w:r>
              <w:rPr>
                <w:rFonts w:ascii="Aptos" w:hAnsi="Aptos"/>
                <w:sz w:val="13"/>
              </w:rPr>
              <w:t>Every external dependency has explicit timeout and fallback or escalation behavior.</w:t>
            </w:r>
          </w:p>
        </w:tc>
        <w:tc>
          <w:tcPr>
            <w:tcW w:type="dxa" w:w="3168"/>
            <w:vAlign w:val="top"/>
            <w:tcMar>
              <w:top w:w="45" w:type="dxa"/>
              <w:start w:w="55" w:type="dxa"/>
              <w:bottom w:w="45" w:type="dxa"/>
              <w:end w:w="55" w:type="dxa"/>
            </w:tcMar>
          </w:tcPr>
          <w:p>
            <w:pPr>
              <w:spacing w:after="0" w:line="240" w:lineRule="auto"/>
            </w:pPr>
            <w:r>
              <w:rPr>
                <w:rFonts w:ascii="Aptos" w:hAnsi="Aptos"/>
                <w:sz w:val="13"/>
              </w:rPr>
              <w:t>Contract test, resilience test, SLO dashboard.</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Circuit breakers</w:t>
            </w:r>
          </w:p>
        </w:tc>
        <w:tc>
          <w:tcPr>
            <w:tcW w:type="dxa" w:w="5040"/>
            <w:vAlign w:val="top"/>
            <w:tcMar>
              <w:top w:w="45" w:type="dxa"/>
              <w:start w:w="55" w:type="dxa"/>
              <w:bottom w:w="45" w:type="dxa"/>
              <w:end w:w="55" w:type="dxa"/>
            </w:tcMar>
          </w:tcPr>
          <w:p>
            <w:pPr>
              <w:spacing w:after="0" w:line="240" w:lineRule="auto"/>
            </w:pPr>
            <w:r>
              <w:rPr>
                <w:rFonts w:ascii="Aptos" w:hAnsi="Aptos"/>
                <w:sz w:val="13"/>
              </w:rPr>
              <w:t>Outbound dependencies are protected by circuit breaker, bulkhead, and fallback where appropriate.</w:t>
            </w:r>
          </w:p>
        </w:tc>
        <w:tc>
          <w:tcPr>
            <w:tcW w:type="dxa" w:w="3168"/>
            <w:vAlign w:val="top"/>
            <w:tcMar>
              <w:top w:w="45" w:type="dxa"/>
              <w:start w:w="55" w:type="dxa"/>
              <w:bottom w:w="45" w:type="dxa"/>
              <w:end w:w="55" w:type="dxa"/>
            </w:tcMar>
          </w:tcPr>
          <w:p>
            <w:pPr>
              <w:spacing w:after="0" w:line="240" w:lineRule="auto"/>
            </w:pPr>
            <w:r>
              <w:rPr>
                <w:rFonts w:ascii="Aptos" w:hAnsi="Aptos"/>
                <w:sz w:val="13"/>
              </w:rPr>
              <w:t>Resilience4j tests, dependency health dashboards.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Compensation</w:t>
            </w:r>
          </w:p>
        </w:tc>
        <w:tc>
          <w:tcPr>
            <w:tcW w:type="dxa" w:w="5040"/>
            <w:vAlign w:val="top"/>
            <w:tcMar>
              <w:top w:w="45" w:type="dxa"/>
              <w:start w:w="55" w:type="dxa"/>
              <w:bottom w:w="45" w:type="dxa"/>
              <w:end w:w="55" w:type="dxa"/>
            </w:tcMar>
          </w:tcPr>
          <w:p>
            <w:pPr>
              <w:spacing w:after="0" w:line="240" w:lineRule="auto"/>
            </w:pPr>
            <w:r>
              <w:rPr>
                <w:rFonts w:ascii="Aptos" w:hAnsi="Aptos"/>
                <w:sz w:val="13"/>
              </w:rPr>
              <w:t>Saga steps declare compensating action or explicit non-compensatable risk handling.</w:t>
            </w:r>
          </w:p>
        </w:tc>
        <w:tc>
          <w:tcPr>
            <w:tcW w:type="dxa" w:w="3168"/>
            <w:vAlign w:val="top"/>
            <w:tcMar>
              <w:top w:w="45" w:type="dxa"/>
              <w:start w:w="55" w:type="dxa"/>
              <w:bottom w:w="45" w:type="dxa"/>
              <w:end w:w="55" w:type="dxa"/>
            </w:tcMar>
          </w:tcPr>
          <w:p>
            <w:pPr>
              <w:spacing w:after="0" w:line="240" w:lineRule="auto"/>
            </w:pPr>
            <w:r>
              <w:rPr>
                <w:rFonts w:ascii="Aptos" w:hAnsi="Aptos"/>
                <w:sz w:val="13"/>
              </w:rPr>
              <w:t>Temporal tests, MicroFunction compensation evidence.</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Concurrency</w:t>
            </w:r>
          </w:p>
        </w:tc>
        <w:tc>
          <w:tcPr>
            <w:tcW w:type="dxa" w:w="5040"/>
            <w:vAlign w:val="top"/>
            <w:tcMar>
              <w:top w:w="45" w:type="dxa"/>
              <w:start w:w="55" w:type="dxa"/>
              <w:bottom w:w="45" w:type="dxa"/>
              <w:end w:w="55" w:type="dxa"/>
            </w:tcMar>
          </w:tcPr>
          <w:p>
            <w:pPr>
              <w:spacing w:after="0" w:line="240" w:lineRule="auto"/>
            </w:pPr>
            <w:r>
              <w:rPr>
                <w:rFonts w:ascii="Aptos" w:hAnsi="Aptos"/>
                <w:sz w:val="13"/>
              </w:rPr>
              <w:t>State changes use optimistic/pessimistic lock, tenant constraints, or workflow-level serialization.</w:t>
            </w:r>
          </w:p>
        </w:tc>
        <w:tc>
          <w:tcPr>
            <w:tcW w:type="dxa" w:w="3168"/>
            <w:vAlign w:val="top"/>
            <w:tcMar>
              <w:top w:w="45" w:type="dxa"/>
              <w:start w:w="55" w:type="dxa"/>
              <w:bottom w:w="45" w:type="dxa"/>
              <w:end w:w="55" w:type="dxa"/>
            </w:tcMar>
          </w:tcPr>
          <w:p>
            <w:pPr>
              <w:spacing w:after="0" w:line="240" w:lineRule="auto"/>
            </w:pPr>
            <w:r>
              <w:rPr>
                <w:rFonts w:ascii="Aptos" w:hAnsi="Aptos"/>
                <w:sz w:val="13"/>
              </w:rPr>
              <w:t>Race-condition tests, DB constraints, row-version evidence.</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Determinism</w:t>
            </w:r>
          </w:p>
        </w:tc>
        <w:tc>
          <w:tcPr>
            <w:tcW w:type="dxa" w:w="5040"/>
            <w:vAlign w:val="top"/>
            <w:tcMar>
              <w:top w:w="45" w:type="dxa"/>
              <w:start w:w="55" w:type="dxa"/>
              <w:bottom w:w="45" w:type="dxa"/>
              <w:end w:w="55" w:type="dxa"/>
            </w:tcMar>
          </w:tcPr>
          <w:p>
            <w:pPr>
              <w:spacing w:after="0" w:line="240" w:lineRule="auto"/>
            </w:pPr>
            <w:r>
              <w:rPr>
                <w:rFonts w:ascii="Aptos" w:hAnsi="Aptos"/>
                <w:sz w:val="13"/>
              </w:rPr>
              <w:t>Tests, builds, workflow history, migrations, and prompt evaluations avoid uncontrolled randomness, clocks, or external dependencies.</w:t>
            </w:r>
          </w:p>
        </w:tc>
        <w:tc>
          <w:tcPr>
            <w:tcW w:type="dxa" w:w="3168"/>
            <w:vAlign w:val="top"/>
            <w:tcMar>
              <w:top w:w="45" w:type="dxa"/>
              <w:start w:w="55" w:type="dxa"/>
              <w:bottom w:w="45" w:type="dxa"/>
              <w:end w:w="55" w:type="dxa"/>
            </w:tcMar>
          </w:tcPr>
          <w:p>
            <w:pPr>
              <w:spacing w:after="0" w:line="240" w:lineRule="auto"/>
            </w:pPr>
            <w:r>
              <w:rPr>
                <w:rFonts w:ascii="Aptos" w:hAnsi="Aptos"/>
                <w:sz w:val="13"/>
              </w:rPr>
              <w:t>Pinned seed/time, hermetic test evidence, repeatability check.</w:t>
            </w:r>
          </w:p>
        </w:tc>
      </w:tr>
    </w:tbl>
    <w:p/>
    <w:p>
      <w:pPr>
        <w:pStyle w:val="Heading1"/>
        <w:keepNext/>
        <w:spacing w:before="160" w:after="80"/>
      </w:pPr>
    </w:p>
    <w:p>
      <w:pPr>
        <w:spacing w:after="80" w:line="250" w:lineRule="auto"/>
      </w:pPr>
      <w:r>
        <w:rPr>
          <w:rFonts w:ascii="Aptos" w:hAnsi="Aptos"/>
          <w:sz w:val="18"/>
        </w:rPr>
        <w:t>Observability is not only for troubleshooting. In AIRA, telemetry and audit evidence are part of regulatory defensibility, AI safety, and architecture governance. Every critical action must be reconstructable from trace, logs, metrics, policy decisions, model-route evidence, and audit records.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728"/>
            <w:shd w:fill="1F4E79"/>
            <w:tcMar>
              <w:top w:w="50" w:type="dxa"/>
              <w:start w:w="55" w:type="dxa"/>
              <w:bottom w:w="50" w:type="dxa"/>
              <w:end w:w="55" w:type="dxa"/>
            </w:tcMar>
          </w:tcPr>
          <w:p>
            <w:pPr>
              <w:spacing w:after="0"/>
              <w:jc w:val="center"/>
            </w:pPr>
            <w:r>
              <w:rPr>
                <w:rFonts w:ascii="Aptos" w:hAnsi="Aptos"/>
                <w:b/>
                <w:color w:val="FFFFFF"/>
                <w:sz w:val="13"/>
              </w:rPr>
              <w:t>Signal</w:t>
            </w:r>
          </w:p>
        </w:tc>
        <w:tc>
          <w:tcPr>
            <w:tcW w:type="dxa" w:w="3168"/>
            <w:shd w:fill="1F4E79"/>
            <w:tcMar>
              <w:top w:w="50" w:type="dxa"/>
              <w:start w:w="55" w:type="dxa"/>
              <w:bottom w:w="50" w:type="dxa"/>
              <w:end w:w="55" w:type="dxa"/>
            </w:tcMar>
          </w:tcPr>
          <w:p>
            <w:pPr>
              <w:spacing w:after="0"/>
              <w:jc w:val="center"/>
            </w:pPr>
            <w:r>
              <w:rPr>
                <w:rFonts w:ascii="Aptos" w:hAnsi="Aptos"/>
                <w:b/>
                <w:color w:val="FFFFFF"/>
                <w:sz w:val="13"/>
              </w:rPr>
              <w:t>Primary Tooling</w:t>
            </w:r>
          </w:p>
        </w:tc>
        <w:tc>
          <w:tcPr>
            <w:tcW w:type="dxa" w:w="5184"/>
            <w:shd w:fill="1F4E79"/>
            <w:tcMar>
              <w:top w:w="50" w:type="dxa"/>
              <w:start w:w="55" w:type="dxa"/>
              <w:bottom w:w="50" w:type="dxa"/>
              <w:end w:w="55" w:type="dxa"/>
            </w:tcMar>
          </w:tcPr>
          <w:p>
            <w:pPr>
              <w:spacing w:after="0"/>
              <w:jc w:val="center"/>
            </w:pPr>
            <w:r>
              <w:rPr>
                <w:rFonts w:ascii="Aptos" w:hAnsi="Aptos"/>
                <w:b/>
                <w:color w:val="FFFFFF"/>
                <w:sz w:val="13"/>
              </w:rPr>
              <w:t>Required Fields / Evidence</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Traces</w:t>
            </w:r>
          </w:p>
        </w:tc>
        <w:tc>
          <w:tcPr>
            <w:tcW w:type="dxa" w:w="3168"/>
            <w:vAlign w:val="top"/>
            <w:tcMar>
              <w:top w:w="45" w:type="dxa"/>
              <w:start w:w="55" w:type="dxa"/>
              <w:bottom w:w="45" w:type="dxa"/>
              <w:end w:w="55" w:type="dxa"/>
            </w:tcMar>
          </w:tcPr>
          <w:p>
            <w:pPr>
              <w:spacing w:after="0" w:line="240" w:lineRule="auto"/>
            </w:pPr>
            <w:r>
              <w:rPr>
                <w:rFonts w:ascii="Aptos" w:hAnsi="Aptos"/>
                <w:sz w:val="13"/>
              </w:rPr>
              <w:t>OpenTelemetry, Tempo</w:t>
            </w:r>
          </w:p>
        </w:tc>
        <w:tc>
          <w:tcPr>
            <w:tcW w:type="dxa" w:w="5184"/>
            <w:vAlign w:val="top"/>
            <w:tcMar>
              <w:top w:w="45" w:type="dxa"/>
              <w:start w:w="55" w:type="dxa"/>
              <w:bottom w:w="45" w:type="dxa"/>
              <w:end w:w="55" w:type="dxa"/>
            </w:tcMar>
          </w:tcPr>
          <w:p>
            <w:pPr>
              <w:spacing w:after="0" w:line="240" w:lineRule="auto"/>
            </w:pPr>
            <w:r>
              <w:rPr>
                <w:rFonts w:ascii="Aptos" w:hAnsi="Aptos"/>
                <w:sz w:val="13"/>
              </w:rPr>
              <w:t>trace_id, span_id, service.name, environment, route, dependency, classification marker where safe.</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Metrics</w:t>
            </w:r>
          </w:p>
        </w:tc>
        <w:tc>
          <w:tcPr>
            <w:tcW w:type="dxa" w:w="3168"/>
            <w:vAlign w:val="top"/>
            <w:tcMar>
              <w:top w:w="45" w:type="dxa"/>
              <w:start w:w="55" w:type="dxa"/>
              <w:bottom w:w="45" w:type="dxa"/>
              <w:end w:w="55" w:type="dxa"/>
            </w:tcMar>
          </w:tcPr>
          <w:p>
            <w:pPr>
              <w:spacing w:after="0" w:line="240" w:lineRule="auto"/>
            </w:pPr>
            <w:r>
              <w:rPr>
                <w:rFonts w:ascii="Aptos" w:hAnsi="Aptos"/>
                <w:sz w:val="13"/>
              </w:rPr>
              <w:t>Prometheus, Thanos, Grafana</w:t>
            </w:r>
          </w:p>
        </w:tc>
        <w:tc>
          <w:tcPr>
            <w:tcW w:type="dxa" w:w="5184"/>
            <w:vAlign w:val="top"/>
            <w:tcMar>
              <w:top w:w="45" w:type="dxa"/>
              <w:start w:w="55" w:type="dxa"/>
              <w:bottom w:w="45" w:type="dxa"/>
              <w:end w:w="55" w:type="dxa"/>
            </w:tcMar>
          </w:tcPr>
          <w:p>
            <w:pPr>
              <w:spacing w:after="0" w:line="240" w:lineRule="auto"/>
            </w:pPr>
            <w:r>
              <w:rPr>
                <w:rFonts w:ascii="Aptos" w:hAnsi="Aptos"/>
                <w:sz w:val="13"/>
              </w:rPr>
              <w:t>SLOs, latency, error rate, dependency health, queue depth, model usage, guardrail blocks.</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Logs</w:t>
            </w:r>
          </w:p>
        </w:tc>
        <w:tc>
          <w:tcPr>
            <w:tcW w:type="dxa" w:w="3168"/>
            <w:vAlign w:val="top"/>
            <w:tcMar>
              <w:top w:w="45" w:type="dxa"/>
              <w:start w:w="55" w:type="dxa"/>
              <w:bottom w:w="45" w:type="dxa"/>
              <w:end w:w="55" w:type="dxa"/>
            </w:tcMar>
          </w:tcPr>
          <w:p>
            <w:pPr>
              <w:spacing w:after="0" w:line="240" w:lineRule="auto"/>
            </w:pPr>
            <w:r>
              <w:rPr>
                <w:rFonts w:ascii="Aptos" w:hAnsi="Aptos"/>
                <w:sz w:val="13"/>
              </w:rPr>
              <w:t>Log4j2 structured JSON, Loki</w:t>
            </w:r>
          </w:p>
        </w:tc>
        <w:tc>
          <w:tcPr>
            <w:tcW w:type="dxa" w:w="5184"/>
            <w:vAlign w:val="top"/>
            <w:tcMar>
              <w:top w:w="45" w:type="dxa"/>
              <w:start w:w="55" w:type="dxa"/>
              <w:bottom w:w="45" w:type="dxa"/>
              <w:end w:w="55" w:type="dxa"/>
            </w:tcMar>
          </w:tcPr>
          <w:p>
            <w:pPr>
              <w:spacing w:after="0" w:line="240" w:lineRule="auto"/>
            </w:pPr>
            <w:r>
              <w:rPr>
                <w:rFonts w:ascii="Aptos" w:hAnsi="Aptos"/>
                <w:sz w:val="13"/>
              </w:rPr>
              <w:t>No PII/secrets; trace_id; event type; safe error code; classification-safe context.</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Errors</w:t>
            </w:r>
          </w:p>
        </w:tc>
        <w:tc>
          <w:tcPr>
            <w:tcW w:type="dxa" w:w="3168"/>
            <w:vAlign w:val="top"/>
            <w:tcMar>
              <w:top w:w="45" w:type="dxa"/>
              <w:start w:w="55" w:type="dxa"/>
              <w:bottom w:w="45" w:type="dxa"/>
              <w:end w:w="55" w:type="dxa"/>
            </w:tcMar>
          </w:tcPr>
          <w:p>
            <w:pPr>
              <w:spacing w:after="0" w:line="240" w:lineRule="auto"/>
            </w:pPr>
            <w:r>
              <w:rPr>
                <w:rFonts w:ascii="Aptos" w:hAnsi="Aptos"/>
                <w:sz w:val="13"/>
              </w:rPr>
              <w:t>Sentry</w:t>
            </w:r>
          </w:p>
        </w:tc>
        <w:tc>
          <w:tcPr>
            <w:tcW w:type="dxa" w:w="5184"/>
            <w:vAlign w:val="top"/>
            <w:tcMar>
              <w:top w:w="45" w:type="dxa"/>
              <w:start w:w="55" w:type="dxa"/>
              <w:bottom w:w="45" w:type="dxa"/>
              <w:end w:w="55" w:type="dxa"/>
            </w:tcMar>
          </w:tcPr>
          <w:p>
            <w:pPr>
              <w:spacing w:after="0" w:line="240" w:lineRule="auto"/>
            </w:pPr>
            <w:r>
              <w:rPr>
                <w:rFonts w:ascii="Aptos" w:hAnsi="Aptos"/>
                <w:sz w:val="13"/>
              </w:rPr>
              <w:t>Exception fingerprint, release, environment, affected service, redacted context, issue lifecycle.</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Audit</w:t>
            </w:r>
          </w:p>
        </w:tc>
        <w:tc>
          <w:tcPr>
            <w:tcW w:type="dxa" w:w="3168"/>
            <w:vAlign w:val="top"/>
            <w:tcMar>
              <w:top w:w="45" w:type="dxa"/>
              <w:start w:w="55" w:type="dxa"/>
              <w:bottom w:w="45" w:type="dxa"/>
              <w:end w:w="55" w:type="dxa"/>
            </w:tcMar>
          </w:tcPr>
          <w:p>
            <w:pPr>
              <w:spacing w:after="0" w:line="240" w:lineRule="auto"/>
            </w:pPr>
            <w:r>
              <w:rPr>
                <w:rFonts w:ascii="Aptos" w:hAnsi="Aptos"/>
                <w:sz w:val="13"/>
              </w:rPr>
              <w:t>AIRA audit store / OpenKM evidence references</w:t>
            </w:r>
          </w:p>
        </w:tc>
        <w:tc>
          <w:tcPr>
            <w:tcW w:type="dxa" w:w="5184"/>
            <w:vAlign w:val="top"/>
            <w:tcMar>
              <w:top w:w="45" w:type="dxa"/>
              <w:start w:w="55" w:type="dxa"/>
              <w:bottom w:w="45" w:type="dxa"/>
              <w:end w:w="55" w:type="dxa"/>
            </w:tcMar>
          </w:tcPr>
          <w:p>
            <w:pPr>
              <w:spacing w:after="0" w:line="240" w:lineRule="auto"/>
            </w:pPr>
            <w:r>
              <w:rPr>
                <w:rFonts w:ascii="Aptos" w:hAnsi="Aptos"/>
                <w:sz w:val="13"/>
              </w:rPr>
              <w:t>Actor, action, subject, resource, policy, classification, decision, approval, evidence_ref.</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AI Evidence</w:t>
            </w:r>
          </w:p>
        </w:tc>
        <w:tc>
          <w:tcPr>
            <w:tcW w:type="dxa" w:w="3168"/>
            <w:vAlign w:val="top"/>
            <w:tcMar>
              <w:top w:w="45" w:type="dxa"/>
              <w:start w:w="55" w:type="dxa"/>
              <w:bottom w:w="45" w:type="dxa"/>
              <w:end w:w="55" w:type="dxa"/>
            </w:tcMar>
          </w:tcPr>
          <w:p>
            <w:pPr>
              <w:spacing w:after="0" w:line="240" w:lineRule="auto"/>
            </w:pPr>
            <w:r>
              <w:rPr>
                <w:rFonts w:ascii="Aptos" w:hAnsi="Aptos"/>
                <w:sz w:val="13"/>
              </w:rPr>
              <w:t>LiteLLM, Guardrails, Harness, LLM Wiki</w:t>
            </w:r>
          </w:p>
        </w:tc>
        <w:tc>
          <w:tcPr>
            <w:tcW w:type="dxa" w:w="5184"/>
            <w:vAlign w:val="top"/>
            <w:tcMar>
              <w:top w:w="45" w:type="dxa"/>
              <w:start w:w="55" w:type="dxa"/>
              <w:bottom w:w="45" w:type="dxa"/>
              <w:end w:w="55" w:type="dxa"/>
            </w:tcMar>
          </w:tcPr>
          <w:p>
            <w:pPr>
              <w:spacing w:after="0" w:line="240" w:lineRule="auto"/>
            </w:pPr>
            <w:r>
              <w:rPr>
                <w:rFonts w:ascii="Aptos" w:hAnsi="Aptos"/>
                <w:sz w:val="13"/>
              </w:rPr>
              <w:t>model_alias, prompt_version, guardrail_result, retrieval_refs, action_id, trust_score, human_approval.</w:t>
            </w:r>
          </w:p>
        </w:tc>
      </w:tr>
    </w:tbl>
    <w:p/>
    <w:p>
      <w:pPr>
        <w:pStyle w:val="Heading2"/>
        <w:keepNext/>
        <w:spacing w:before="120" w:after="80"/>
      </w:pPr>
    </w:p>
    <w:p>
      <w:pPr>
        <w:spacing w:after="80" w:line="250" w:lineRule="auto"/>
      </w:pPr>
      <w:r>
        <w:rPr>
          <w:rFonts w:ascii="Aptos" w:hAnsi="Aptos"/>
          <w:sz w:val="18"/>
        </w:rPr>
        <w:t>The minimum traceability chain for material changes is: business intent -&gt; ticket or requirement -&gt; ADR/TDL where material -&gt; contract/config/code/prompt/guardrail change -&gt; tests/scans/policy evidence -&gt; CI run -&gt; reviewer approval -&gt; signed artifact -&gt; deployment evidence -&gt; runtime telemetry -&gt; improvement feedback.</w:t>
      </w:r>
    </w:p>
    <w:p>
      <w:pPr>
        <w:pStyle w:val="Heading1"/>
        <w:keepNext/>
        <w:spacing w:before="160" w:after="80"/>
      </w:pPr>
    </w:p>
    <w:p>
      <w:pPr>
        <w:spacing w:after="80" w:line="250" w:lineRule="auto"/>
      </w:pPr>
      <w:r>
        <w:rPr>
          <w:rFonts w:ascii="Aptos" w:hAnsi="Aptos"/>
          <w:sz w:val="18"/>
        </w:rPr>
        <w:t>AIRA uses TDD, contract testing, security testing, AI evaluation, and architecture fitness functions to keep the architecture alive. Fitness functions convert architecture rules into executable checks wherever possible.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1007"/>
            <w:shd w:fill="1F4E79"/>
            <w:tcMar>
              <w:top w:w="50" w:type="dxa"/>
              <w:start w:w="55" w:type="dxa"/>
              <w:bottom w:w="50" w:type="dxa"/>
              <w:end w:w="55" w:type="dxa"/>
            </w:tcMar>
          </w:tcPr>
          <w:p>
            <w:pPr>
              <w:spacing w:after="0"/>
              <w:jc w:val="center"/>
            </w:pPr>
            <w:r>
              <w:rPr>
                <w:rFonts w:ascii="Aptos" w:hAnsi="Aptos"/>
                <w:b/>
                <w:color w:val="FFFFFF"/>
                <w:sz w:val="13"/>
              </w:rPr>
              <w:t>ID</w:t>
            </w:r>
          </w:p>
        </w:tc>
        <w:tc>
          <w:tcPr>
            <w:tcW w:type="dxa" w:w="2592"/>
            <w:shd w:fill="1F4E79"/>
            <w:tcMar>
              <w:top w:w="50" w:type="dxa"/>
              <w:start w:w="55" w:type="dxa"/>
              <w:bottom w:w="50" w:type="dxa"/>
              <w:end w:w="55" w:type="dxa"/>
            </w:tcMar>
          </w:tcPr>
          <w:p>
            <w:pPr>
              <w:spacing w:after="0"/>
              <w:jc w:val="center"/>
            </w:pPr>
            <w:r>
              <w:rPr>
                <w:rFonts w:ascii="Aptos" w:hAnsi="Aptos"/>
                <w:b/>
                <w:color w:val="FFFFFF"/>
                <w:sz w:val="13"/>
              </w:rPr>
              <w:t>Fitness Function</w:t>
            </w:r>
          </w:p>
        </w:tc>
        <w:tc>
          <w:tcPr>
            <w:tcW w:type="dxa" w:w="4320"/>
            <w:shd w:fill="1F4E79"/>
            <w:tcMar>
              <w:top w:w="50" w:type="dxa"/>
              <w:start w:w="55" w:type="dxa"/>
              <w:bottom w:w="50" w:type="dxa"/>
              <w:end w:w="55" w:type="dxa"/>
            </w:tcMar>
          </w:tcPr>
          <w:p>
            <w:pPr>
              <w:spacing w:after="0"/>
              <w:jc w:val="center"/>
            </w:pPr>
            <w:r>
              <w:rPr>
                <w:rFonts w:ascii="Aptos" w:hAnsi="Aptos"/>
                <w:b/>
                <w:color w:val="FFFFFF"/>
                <w:sz w:val="13"/>
              </w:rPr>
              <w:t>Rule</w:t>
            </w:r>
          </w:p>
        </w:tc>
        <w:tc>
          <w:tcPr>
            <w:tcW w:type="dxa" w:w="2160"/>
            <w:shd w:fill="1F4E79"/>
            <w:tcMar>
              <w:top w:w="50" w:type="dxa"/>
              <w:start w:w="55" w:type="dxa"/>
              <w:bottom w:w="50" w:type="dxa"/>
              <w:end w:w="55" w:type="dxa"/>
            </w:tcMar>
          </w:tcPr>
          <w:p>
            <w:pPr>
              <w:spacing w:after="0"/>
              <w:jc w:val="center"/>
            </w:pPr>
            <w:r>
              <w:rPr>
                <w:rFonts w:ascii="Aptos" w:hAnsi="Aptos"/>
                <w:b/>
                <w:color w:val="FFFFFF"/>
                <w:sz w:val="13"/>
              </w:rPr>
              <w:t>Enforcement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FF-01</w:t>
            </w:r>
          </w:p>
        </w:tc>
        <w:tc>
          <w:tcPr>
            <w:tcW w:type="dxa" w:w="2592"/>
            <w:vAlign w:val="top"/>
            <w:tcMar>
              <w:top w:w="45" w:type="dxa"/>
              <w:start w:w="55" w:type="dxa"/>
              <w:bottom w:w="45" w:type="dxa"/>
              <w:end w:w="55" w:type="dxa"/>
            </w:tcMar>
          </w:tcPr>
          <w:p>
            <w:pPr>
              <w:spacing w:after="0" w:line="240" w:lineRule="auto"/>
            </w:pPr>
            <w:r>
              <w:rPr>
                <w:rFonts w:ascii="Aptos" w:hAnsi="Aptos"/>
                <w:sz w:val="13"/>
              </w:rPr>
              <w:t>No direct model provider SDK usage</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provider SDK imports or direct model URLs are found in application code</w:t>
            </w:r>
          </w:p>
        </w:tc>
        <w:tc>
          <w:tcPr>
            <w:tcW w:type="dxa" w:w="2160"/>
            <w:vAlign w:val="top"/>
            <w:tcMar>
              <w:top w:w="45" w:type="dxa"/>
              <w:start w:w="55" w:type="dxa"/>
              <w:bottom w:w="45" w:type="dxa"/>
              <w:end w:w="55" w:type="dxa"/>
            </w:tcMar>
          </w:tcPr>
          <w:p>
            <w:pPr>
              <w:spacing w:after="0" w:line="240" w:lineRule="auto"/>
            </w:pPr>
            <w:r>
              <w:rPr>
                <w:rFonts w:ascii="Aptos" w:hAnsi="Aptos"/>
                <w:sz w:val="13"/>
              </w:rPr>
              <w:t>CI import lint / Semgrep</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FF-02</w:t>
            </w:r>
          </w:p>
        </w:tc>
        <w:tc>
          <w:tcPr>
            <w:tcW w:type="dxa" w:w="2592"/>
            <w:vAlign w:val="top"/>
            <w:tcMar>
              <w:top w:w="45" w:type="dxa"/>
              <w:start w:w="55" w:type="dxa"/>
              <w:bottom w:w="45" w:type="dxa"/>
              <w:end w:w="55" w:type="dxa"/>
            </w:tcMar>
          </w:tcPr>
          <w:p>
            <w:pPr>
              <w:spacing w:after="0" w:line="240" w:lineRule="auto"/>
            </w:pPr>
            <w:r>
              <w:rPr>
                <w:rFonts w:ascii="Aptos" w:hAnsi="Aptos"/>
                <w:sz w:val="13"/>
              </w:rPr>
              <w:t>Layer dependency direction</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domain package depends on infrastructure, UI, persistence, framework, or AI gateway packages</w:t>
            </w:r>
          </w:p>
        </w:tc>
        <w:tc>
          <w:tcPr>
            <w:tcW w:type="dxa" w:w="2160"/>
            <w:vAlign w:val="top"/>
            <w:tcMar>
              <w:top w:w="45" w:type="dxa"/>
              <w:start w:w="55" w:type="dxa"/>
              <w:bottom w:w="45" w:type="dxa"/>
              <w:end w:w="55" w:type="dxa"/>
            </w:tcMar>
          </w:tcPr>
          <w:p>
            <w:pPr>
              <w:spacing w:after="0" w:line="240" w:lineRule="auto"/>
            </w:pPr>
            <w:r>
              <w:rPr>
                <w:rFonts w:ascii="Aptos" w:hAnsi="Aptos"/>
                <w:sz w:val="13"/>
              </w:rPr>
              <w:t>ArchUnit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FF-03</w:t>
            </w:r>
          </w:p>
        </w:tc>
        <w:tc>
          <w:tcPr>
            <w:tcW w:type="dxa" w:w="2592"/>
            <w:vAlign w:val="top"/>
            <w:tcMar>
              <w:top w:w="45" w:type="dxa"/>
              <w:start w:w="55" w:type="dxa"/>
              <w:bottom w:w="45" w:type="dxa"/>
              <w:end w:w="55" w:type="dxa"/>
            </w:tcMar>
          </w:tcPr>
          <w:p>
            <w:pPr>
              <w:spacing w:after="0" w:line="240" w:lineRule="auto"/>
            </w:pPr>
            <w:r>
              <w:rPr>
                <w:rFonts w:ascii="Aptos" w:hAnsi="Aptos"/>
                <w:sz w:val="13"/>
              </w:rPr>
              <w:t>Bounded context isolation</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one bounded context writes another context's schema or domain tables</w:t>
            </w:r>
          </w:p>
        </w:tc>
        <w:tc>
          <w:tcPr>
            <w:tcW w:type="dxa" w:w="2160"/>
            <w:vAlign w:val="top"/>
            <w:tcMar>
              <w:top w:w="45" w:type="dxa"/>
              <w:start w:w="55" w:type="dxa"/>
              <w:bottom w:w="45" w:type="dxa"/>
              <w:end w:w="55" w:type="dxa"/>
            </w:tcMar>
          </w:tcPr>
          <w:p>
            <w:pPr>
              <w:spacing w:after="0" w:line="240" w:lineRule="auto"/>
            </w:pPr>
            <w:r>
              <w:rPr>
                <w:rFonts w:ascii="Aptos" w:hAnsi="Aptos"/>
                <w:sz w:val="13"/>
              </w:rPr>
              <w:t>DB migration lint / code review</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FF-04</w:t>
            </w:r>
          </w:p>
        </w:tc>
        <w:tc>
          <w:tcPr>
            <w:tcW w:type="dxa" w:w="2592"/>
            <w:vAlign w:val="top"/>
            <w:tcMar>
              <w:top w:w="45" w:type="dxa"/>
              <w:start w:w="55" w:type="dxa"/>
              <w:bottom w:w="45" w:type="dxa"/>
              <w:end w:w="55" w:type="dxa"/>
            </w:tcMar>
          </w:tcPr>
          <w:p>
            <w:pPr>
              <w:spacing w:after="0" w:line="240" w:lineRule="auto"/>
            </w:pPr>
            <w:r>
              <w:rPr>
                <w:rFonts w:ascii="Aptos" w:hAnsi="Aptos"/>
                <w:sz w:val="13"/>
              </w:rPr>
              <w:t>Contract-first integration</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REST or event implementation lacks approved OpenAPI/AsyncAPI/schema reference</w:t>
            </w:r>
          </w:p>
        </w:tc>
        <w:tc>
          <w:tcPr>
            <w:tcW w:type="dxa" w:w="2160"/>
            <w:vAlign w:val="top"/>
            <w:tcMar>
              <w:top w:w="45" w:type="dxa"/>
              <w:start w:w="55" w:type="dxa"/>
              <w:bottom w:w="45" w:type="dxa"/>
              <w:end w:w="55" w:type="dxa"/>
            </w:tcMar>
          </w:tcPr>
          <w:p>
            <w:pPr>
              <w:spacing w:after="0" w:line="240" w:lineRule="auto"/>
            </w:pPr>
            <w:r>
              <w:rPr>
                <w:rFonts w:ascii="Aptos" w:hAnsi="Aptos"/>
                <w:sz w:val="13"/>
              </w:rPr>
              <w:t>Contract registry check</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FF-05</w:t>
            </w:r>
          </w:p>
        </w:tc>
        <w:tc>
          <w:tcPr>
            <w:tcW w:type="dxa" w:w="2592"/>
            <w:vAlign w:val="top"/>
            <w:tcMar>
              <w:top w:w="45" w:type="dxa"/>
              <w:start w:w="55" w:type="dxa"/>
              <w:bottom w:w="45" w:type="dxa"/>
              <w:end w:w="55" w:type="dxa"/>
            </w:tcMar>
          </w:tcPr>
          <w:p>
            <w:pPr>
              <w:spacing w:after="0" w:line="240" w:lineRule="auto"/>
            </w:pPr>
            <w:r>
              <w:rPr>
                <w:rFonts w:ascii="Aptos" w:hAnsi="Aptos"/>
                <w:sz w:val="13"/>
              </w:rPr>
              <w:t>Mutation idempotency</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state-changing API/event/workflow lacks idempotency or deduplication evidence</w:t>
            </w:r>
          </w:p>
        </w:tc>
        <w:tc>
          <w:tcPr>
            <w:tcW w:type="dxa" w:w="2160"/>
            <w:vAlign w:val="top"/>
            <w:tcMar>
              <w:top w:w="45" w:type="dxa"/>
              <w:start w:w="55" w:type="dxa"/>
              <w:bottom w:w="45" w:type="dxa"/>
              <w:end w:w="55" w:type="dxa"/>
            </w:tcMar>
          </w:tcPr>
          <w:p>
            <w:pPr>
              <w:spacing w:after="0" w:line="240" w:lineRule="auto"/>
            </w:pPr>
            <w:r>
              <w:rPr>
                <w:rFonts w:ascii="Aptos" w:hAnsi="Aptos"/>
                <w:sz w:val="13"/>
              </w:rPr>
              <w:t>Unit + component test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FF-06</w:t>
            </w:r>
          </w:p>
        </w:tc>
        <w:tc>
          <w:tcPr>
            <w:tcW w:type="dxa" w:w="2592"/>
            <w:vAlign w:val="top"/>
            <w:tcMar>
              <w:top w:w="45" w:type="dxa"/>
              <w:start w:w="55" w:type="dxa"/>
              <w:bottom w:w="45" w:type="dxa"/>
              <w:end w:w="55" w:type="dxa"/>
            </w:tcMar>
          </w:tcPr>
          <w:p>
            <w:pPr>
              <w:spacing w:after="0" w:line="240" w:lineRule="auto"/>
            </w:pPr>
            <w:r>
              <w:rPr>
                <w:rFonts w:ascii="Aptos" w:hAnsi="Aptos"/>
                <w:sz w:val="13"/>
              </w:rPr>
              <w:t>Guardrails required</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AI flow lacks Input, Retrieval, Execution, or Output rail where applicable</w:t>
            </w:r>
          </w:p>
        </w:tc>
        <w:tc>
          <w:tcPr>
            <w:tcW w:type="dxa" w:w="2160"/>
            <w:vAlign w:val="top"/>
            <w:tcMar>
              <w:top w:w="45" w:type="dxa"/>
              <w:start w:w="55" w:type="dxa"/>
              <w:bottom w:w="45" w:type="dxa"/>
              <w:end w:w="55" w:type="dxa"/>
            </w:tcMar>
          </w:tcPr>
          <w:p>
            <w:pPr>
              <w:spacing w:after="0" w:line="240" w:lineRule="auto"/>
            </w:pPr>
            <w:r>
              <w:rPr>
                <w:rFonts w:ascii="Aptos" w:hAnsi="Aptos"/>
                <w:sz w:val="13"/>
              </w:rPr>
              <w:t>Guardrail test suite</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FF-07</w:t>
            </w:r>
          </w:p>
        </w:tc>
        <w:tc>
          <w:tcPr>
            <w:tcW w:type="dxa" w:w="2592"/>
            <w:vAlign w:val="top"/>
            <w:tcMar>
              <w:top w:w="45" w:type="dxa"/>
              <w:start w:w="55" w:type="dxa"/>
              <w:bottom w:w="45" w:type="dxa"/>
              <w:end w:w="55" w:type="dxa"/>
            </w:tcMar>
          </w:tcPr>
          <w:p>
            <w:pPr>
              <w:spacing w:after="0" w:line="240" w:lineRule="auto"/>
            </w:pPr>
            <w:r>
              <w:rPr>
                <w:rFonts w:ascii="Aptos" w:hAnsi="Aptos"/>
                <w:sz w:val="13"/>
              </w:rPr>
              <w:t>Harness mediation</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AI agent action directly calls tools or infrastructure instead of Harness</w:t>
            </w:r>
          </w:p>
        </w:tc>
        <w:tc>
          <w:tcPr>
            <w:tcW w:type="dxa" w:w="2160"/>
            <w:vAlign w:val="top"/>
            <w:tcMar>
              <w:top w:w="45" w:type="dxa"/>
              <w:start w:w="55" w:type="dxa"/>
              <w:bottom w:w="45" w:type="dxa"/>
              <w:end w:w="55" w:type="dxa"/>
            </w:tcMar>
          </w:tcPr>
          <w:p>
            <w:pPr>
              <w:spacing w:after="0" w:line="240" w:lineRule="auto"/>
            </w:pPr>
            <w:r>
              <w:rPr>
                <w:rFonts w:ascii="Aptos" w:hAnsi="Aptos"/>
                <w:sz w:val="13"/>
              </w:rPr>
              <w:t>Architecture test / policy test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FF-08</w:t>
            </w:r>
          </w:p>
        </w:tc>
        <w:tc>
          <w:tcPr>
            <w:tcW w:type="dxa" w:w="2592"/>
            <w:vAlign w:val="top"/>
            <w:tcMar>
              <w:top w:w="45" w:type="dxa"/>
              <w:start w:w="55" w:type="dxa"/>
              <w:bottom w:w="45" w:type="dxa"/>
              <w:end w:w="55" w:type="dxa"/>
            </w:tcMar>
          </w:tcPr>
          <w:p>
            <w:pPr>
              <w:spacing w:after="0" w:line="240" w:lineRule="auto"/>
            </w:pPr>
            <w:r>
              <w:rPr>
                <w:rFonts w:ascii="Aptos" w:hAnsi="Aptos"/>
                <w:sz w:val="13"/>
              </w:rPr>
              <w:t>Policy-as-code coverage</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access, admission, model routing, or agent action has no OPA/policy test</w:t>
            </w:r>
          </w:p>
        </w:tc>
        <w:tc>
          <w:tcPr>
            <w:tcW w:type="dxa" w:w="2160"/>
            <w:vAlign w:val="top"/>
            <w:tcMar>
              <w:top w:w="45" w:type="dxa"/>
              <w:start w:w="55" w:type="dxa"/>
              <w:bottom w:w="45" w:type="dxa"/>
              <w:end w:w="55" w:type="dxa"/>
            </w:tcMar>
          </w:tcPr>
          <w:p>
            <w:pPr>
              <w:spacing w:after="0" w:line="240" w:lineRule="auto"/>
            </w:pPr>
            <w:r>
              <w:rPr>
                <w:rFonts w:ascii="Aptos" w:hAnsi="Aptos"/>
                <w:sz w:val="13"/>
              </w:rPr>
              <w:t>OPA test / Conftest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FF-09</w:t>
            </w:r>
          </w:p>
        </w:tc>
        <w:tc>
          <w:tcPr>
            <w:tcW w:type="dxa" w:w="2592"/>
            <w:vAlign w:val="top"/>
            <w:tcMar>
              <w:top w:w="45" w:type="dxa"/>
              <w:start w:w="55" w:type="dxa"/>
              <w:bottom w:w="45" w:type="dxa"/>
              <w:end w:w="55" w:type="dxa"/>
            </w:tcMar>
          </w:tcPr>
          <w:p>
            <w:pPr>
              <w:spacing w:after="0" w:line="240" w:lineRule="auto"/>
            </w:pPr>
            <w:r>
              <w:rPr>
                <w:rFonts w:ascii="Aptos" w:hAnsi="Aptos"/>
                <w:sz w:val="13"/>
              </w:rPr>
              <w:t>Observability evidence</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service lacks trace_id, structured logs, metrics, and audit event mapping</w:t>
            </w:r>
          </w:p>
        </w:tc>
        <w:tc>
          <w:tcPr>
            <w:tcW w:type="dxa" w:w="2160"/>
            <w:vAlign w:val="top"/>
            <w:tcMar>
              <w:top w:w="45" w:type="dxa"/>
              <w:start w:w="55" w:type="dxa"/>
              <w:bottom w:w="45" w:type="dxa"/>
              <w:end w:w="55" w:type="dxa"/>
            </w:tcMar>
          </w:tcPr>
          <w:p>
            <w:pPr>
              <w:spacing w:after="0" w:line="240" w:lineRule="auto"/>
            </w:pPr>
            <w:r>
              <w:rPr>
                <w:rFonts w:ascii="Aptos" w:hAnsi="Aptos"/>
                <w:sz w:val="13"/>
              </w:rPr>
              <w:t>OTel/log schema test</w:t>
            </w:r>
          </w:p>
        </w:tc>
      </w:tr>
      <w:tr>
        <w:trPr>
          <w:cantSplit/>
        </w:trPr>
        <w:tc>
          <w:tcPr>
            <w:tcW w:type="dxa" w:w="1007"/>
            <w:vAlign w:val="top"/>
            <w:tcMar>
              <w:top w:w="45" w:type="dxa"/>
              <w:start w:w="55" w:type="dxa"/>
              <w:bottom w:w="45" w:type="dxa"/>
              <w:end w:w="55" w:type="dxa"/>
            </w:tcMar>
          </w:tcPr>
          <w:p>
            <w:pPr>
              <w:spacing w:after="0" w:line="240" w:lineRule="auto"/>
            </w:pPr>
            <w:r>
              <w:rPr>
                <w:rFonts w:ascii="Aptos" w:hAnsi="Aptos"/>
                <w:sz w:val="13"/>
              </w:rPr>
              <w:t>FF-10</w:t>
            </w:r>
          </w:p>
        </w:tc>
        <w:tc>
          <w:tcPr>
            <w:tcW w:type="dxa" w:w="2592"/>
            <w:vAlign w:val="top"/>
            <w:tcMar>
              <w:top w:w="45" w:type="dxa"/>
              <w:start w:w="55" w:type="dxa"/>
              <w:bottom w:w="45" w:type="dxa"/>
              <w:end w:w="55" w:type="dxa"/>
            </w:tcMar>
          </w:tcPr>
          <w:p>
            <w:pPr>
              <w:spacing w:after="0" w:line="240" w:lineRule="auto"/>
            </w:pPr>
            <w:r>
              <w:rPr>
                <w:rFonts w:ascii="Aptos" w:hAnsi="Aptos"/>
                <w:sz w:val="13"/>
              </w:rPr>
              <w:t>Reversibility evidence</w:t>
            </w:r>
          </w:p>
        </w:tc>
        <w:tc>
          <w:tcPr>
            <w:tcW w:type="dxa" w:w="4320"/>
            <w:vAlign w:val="top"/>
            <w:tcMar>
              <w:top w:w="45" w:type="dxa"/>
              <w:start w:w="55" w:type="dxa"/>
              <w:bottom w:w="45" w:type="dxa"/>
              <w:end w:w="55" w:type="dxa"/>
            </w:tcMar>
          </w:tcPr>
          <w:p>
            <w:pPr>
              <w:spacing w:after="0" w:line="240" w:lineRule="auto"/>
            </w:pPr>
            <w:r>
              <w:rPr>
                <w:rFonts w:ascii="Aptos" w:hAnsi="Aptos"/>
                <w:sz w:val="13"/>
              </w:rPr>
              <w:t>Fail if deployment, migration, config, or prompt/guardrail change lacks rollback/forward-fix plan</w:t>
            </w:r>
          </w:p>
        </w:tc>
        <w:tc>
          <w:tcPr>
            <w:tcW w:type="dxa" w:w="2160"/>
            <w:vAlign w:val="top"/>
            <w:tcMar>
              <w:top w:w="45" w:type="dxa"/>
              <w:start w:w="55" w:type="dxa"/>
              <w:bottom w:w="45" w:type="dxa"/>
              <w:end w:w="55" w:type="dxa"/>
            </w:tcMar>
          </w:tcPr>
          <w:p>
            <w:pPr>
              <w:spacing w:after="0" w:line="240" w:lineRule="auto"/>
            </w:pPr>
            <w:r>
              <w:rPr>
                <w:rFonts w:ascii="Aptos" w:hAnsi="Aptos"/>
                <w:sz w:val="13"/>
              </w:rPr>
              <w:t>Release checklist</w:t>
            </w:r>
          </w:p>
        </w:tc>
      </w:tr>
    </w:tbl>
    <w:p/>
    <w:p>
      <w:pPr>
        <w:pStyle w:val="Heading2"/>
        <w:keepNext/>
        <w:spacing w:before="120" w:after="80"/>
      </w:pPr>
    </w:p>
    <w:p>
      <w:pPr>
        <w:pStyle w:val="ListBullet"/>
        <w:spacing w:after="40"/>
        <w:ind w:left="259"/>
      </w:pPr>
      <w:r>
        <w:rPr>
          <w:rFonts w:ascii="Aptos" w:hAnsi="Aptos"/>
          <w:sz w:val="17"/>
        </w:rPr>
        <w:t>Unit and component tests for domain logic, validations, error handling, idempotency, compensation, and safe responses.</w:t>
      </w:r>
    </w:p>
    <w:p>
      <w:pPr>
        <w:pStyle w:val="ListBullet"/>
        <w:spacing w:after="40"/>
        <w:ind w:left="259"/>
      </w:pPr>
      <w:r>
        <w:rPr>
          <w:rFonts w:ascii="Aptos" w:hAnsi="Aptos"/>
          <w:sz w:val="17"/>
        </w:rPr>
        <w:t>Contract tests for REST APIs, events, schemas, and provider adapters.</w:t>
      </w:r>
    </w:p>
    <w:p>
      <w:pPr>
        <w:pStyle w:val="ListBullet"/>
        <w:spacing w:after="40"/>
        <w:ind w:left="259"/>
      </w:pPr>
      <w:r>
        <w:rPr>
          <w:rFonts w:ascii="Aptos" w:hAnsi="Aptos"/>
          <w:sz w:val="17"/>
        </w:rPr>
        <w:t>Policy tests for OPA/Rego, admission controls, model routing, agent actions, and access decisions.</w:t>
      </w:r>
    </w:p>
    <w:p>
      <w:pPr>
        <w:pStyle w:val="ListBullet"/>
        <w:spacing w:after="40"/>
        <w:ind w:left="259"/>
      </w:pPr>
      <w:r>
        <w:rPr>
          <w:rFonts w:ascii="Aptos" w:hAnsi="Aptos"/>
          <w:sz w:val="17"/>
        </w:rPr>
        <w:t>Guardrail tests for Input, Retrieval, Execution, and Output rails.</w:t>
      </w:r>
    </w:p>
    <w:p>
      <w:pPr>
        <w:pStyle w:val="ListBullet"/>
        <w:spacing w:after="40"/>
        <w:ind w:left="259"/>
      </w:pPr>
      <w:r>
        <w:rPr>
          <w:rFonts w:ascii="Aptos" w:hAnsi="Aptos"/>
          <w:sz w:val="17"/>
        </w:rPr>
        <w:t>Architecture tests for layer direction, package boundaries, forbidden imports, and service ownership.</w:t>
      </w:r>
    </w:p>
    <w:p>
      <w:pPr>
        <w:pStyle w:val="ListBullet"/>
        <w:spacing w:after="40"/>
        <w:ind w:left="259"/>
      </w:pPr>
      <w:r>
        <w:rPr>
          <w:rFonts w:ascii="Aptos" w:hAnsi="Aptos"/>
          <w:sz w:val="17"/>
        </w:rPr>
        <w:t>Security tests for authorization, tenant isolation, data redaction, secret handling, and logging safety.</w:t>
      </w:r>
    </w:p>
    <w:p>
      <w:pPr>
        <w:pStyle w:val="ListBullet"/>
        <w:spacing w:after="40"/>
        <w:ind w:left="259"/>
      </w:pPr>
      <w:r>
        <w:rPr>
          <w:rFonts w:ascii="Aptos" w:hAnsi="Aptos"/>
          <w:sz w:val="17"/>
        </w:rPr>
        <w:t>AI evaluation tests for groundedness, citation quality, retrieval quality, refusal behaviour, and unsafe tool-action blocking.</w:t>
      </w:r>
    </w:p>
    <w:p>
      <w:pPr>
        <w:pStyle w:val="Heading1"/>
        <w:keepNext/>
        <w:spacing w:before="160" w:after="80"/>
      </w:pPr>
    </w:p>
    <w:p>
      <w:pPr>
        <w:spacing w:after="80" w:line="250" w:lineRule="auto"/>
      </w:pPr>
      <w:r>
        <w:rPr>
          <w:rFonts w:ascii="Aptos" w:hAnsi="Aptos"/>
          <w:sz w:val="18"/>
        </w:rPr>
        <w:t>AIRA follows a source-to-runtime release path with signed evidence and policy gates. Releases must be repeatable, observable, reversible, and compliant with AVCI and the 20 enterprise design principles.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448"/>
            <w:shd w:fill="1F4E79"/>
            <w:tcMar>
              <w:top w:w="50" w:type="dxa"/>
              <w:start w:w="55" w:type="dxa"/>
              <w:bottom w:w="50" w:type="dxa"/>
              <w:end w:w="55" w:type="dxa"/>
            </w:tcMar>
          </w:tcPr>
          <w:p>
            <w:pPr>
              <w:spacing w:after="0"/>
              <w:jc w:val="center"/>
            </w:pPr>
            <w:r>
              <w:rPr>
                <w:rFonts w:ascii="Aptos" w:hAnsi="Aptos"/>
                <w:b/>
                <w:color w:val="FFFFFF"/>
                <w:sz w:val="14"/>
              </w:rPr>
              <w:t>Area</w:t>
            </w:r>
          </w:p>
        </w:tc>
        <w:tc>
          <w:tcPr>
            <w:tcW w:type="dxa" w:w="7632"/>
            <w:shd w:fill="1F4E79"/>
            <w:tcMar>
              <w:top w:w="50" w:type="dxa"/>
              <w:start w:w="55" w:type="dxa"/>
              <w:bottom w:w="50" w:type="dxa"/>
              <w:end w:w="55" w:type="dxa"/>
            </w:tcMar>
          </w:tcPr>
          <w:p>
            <w:pPr>
              <w:spacing w:after="0"/>
              <w:jc w:val="center"/>
            </w:pPr>
            <w:r>
              <w:rPr>
                <w:rFonts w:ascii="Aptos" w:hAnsi="Aptos"/>
                <w:b/>
                <w:color w:val="FFFFFF"/>
                <w:sz w:val="14"/>
              </w:rPr>
              <w:t>Architecture Rule</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4"/>
              </w:rPr>
              <w:t>GitOps</w:t>
            </w:r>
          </w:p>
        </w:tc>
        <w:tc>
          <w:tcPr>
            <w:tcW w:type="dxa" w:w="7632"/>
            <w:vAlign w:val="top"/>
            <w:tcMar>
              <w:top w:w="45" w:type="dxa"/>
              <w:start w:w="55" w:type="dxa"/>
              <w:bottom w:w="45" w:type="dxa"/>
              <w:end w:w="55" w:type="dxa"/>
            </w:tcMar>
          </w:tcPr>
          <w:p>
            <w:pPr>
              <w:spacing w:after="0" w:line="240" w:lineRule="auto"/>
            </w:pPr>
            <w:r>
              <w:rPr>
                <w:rFonts w:ascii="Aptos" w:hAnsi="Aptos"/>
                <w:sz w:val="14"/>
              </w:rPr>
              <w:t>Git is the source of truth for manifests, policies, prompts, guardrails, model aliases, pipeline definitions, and environment configuration.</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4"/>
              </w:rPr>
              <w:t>Build provenance</w:t>
            </w:r>
          </w:p>
        </w:tc>
        <w:tc>
          <w:tcPr>
            <w:tcW w:type="dxa" w:w="7632"/>
            <w:vAlign w:val="top"/>
            <w:tcMar>
              <w:top w:w="45" w:type="dxa"/>
              <w:start w:w="55" w:type="dxa"/>
              <w:bottom w:w="45" w:type="dxa"/>
              <w:end w:w="55" w:type="dxa"/>
            </w:tcMar>
          </w:tcPr>
          <w:p>
            <w:pPr>
              <w:spacing w:after="0" w:line="240" w:lineRule="auto"/>
            </w:pPr>
            <w:r>
              <w:rPr>
                <w:rFonts w:ascii="Aptos" w:hAnsi="Aptos"/>
                <w:sz w:val="14"/>
              </w:rPr>
              <w:t>Builds produce SBOM, signed provenance, test reports, scan results, and immutable CI evidence.</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4"/>
              </w:rPr>
              <w:t>Deployment</w:t>
            </w:r>
          </w:p>
        </w:tc>
        <w:tc>
          <w:tcPr>
            <w:tcW w:type="dxa" w:w="7632"/>
            <w:vAlign w:val="top"/>
            <w:tcMar>
              <w:top w:w="45" w:type="dxa"/>
              <w:start w:w="55" w:type="dxa"/>
              <w:bottom w:w="45" w:type="dxa"/>
              <w:end w:w="55" w:type="dxa"/>
            </w:tcMar>
          </w:tcPr>
          <w:p>
            <w:pPr>
              <w:spacing w:after="0" w:line="240" w:lineRule="auto"/>
            </w:pPr>
            <w:r>
              <w:rPr>
                <w:rFonts w:ascii="Aptos" w:hAnsi="Aptos"/>
                <w:sz w:val="14"/>
              </w:rPr>
              <w:t>Argo CD or approved GitOps tooling reconciles desired state. Manual kubectl changes are prohibited except controlled break-glass.</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4"/>
              </w:rPr>
              <w:t>Configuration</w:t>
            </w:r>
          </w:p>
        </w:tc>
        <w:tc>
          <w:tcPr>
            <w:tcW w:type="dxa" w:w="7632"/>
            <w:vAlign w:val="top"/>
            <w:tcMar>
              <w:top w:w="45" w:type="dxa"/>
              <w:start w:w="55" w:type="dxa"/>
              <w:bottom w:w="45" w:type="dxa"/>
              <w:end w:w="55" w:type="dxa"/>
            </w:tcMar>
          </w:tcPr>
          <w:p>
            <w:pPr>
              <w:spacing w:after="0" w:line="240" w:lineRule="auto"/>
            </w:pPr>
            <w:r>
              <w:rPr>
                <w:rFonts w:ascii="Aptos" w:hAnsi="Aptos"/>
                <w:sz w:val="14"/>
              </w:rPr>
              <w:t>Runtime parameters, feature flags, model aliases, guardrails, policies, and MicroFunction definitions are versioned, reviewed, signed, and activatable.</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4"/>
              </w:rPr>
              <w:t>Database migration</w:t>
            </w:r>
          </w:p>
        </w:tc>
        <w:tc>
          <w:tcPr>
            <w:tcW w:type="dxa" w:w="7632"/>
            <w:vAlign w:val="top"/>
            <w:tcMar>
              <w:top w:w="45" w:type="dxa"/>
              <w:start w:w="55" w:type="dxa"/>
              <w:bottom w:w="45" w:type="dxa"/>
              <w:end w:w="55" w:type="dxa"/>
            </w:tcMar>
          </w:tcPr>
          <w:p>
            <w:pPr>
              <w:spacing w:after="0" w:line="240" w:lineRule="auto"/>
            </w:pPr>
            <w:r>
              <w:rPr>
                <w:rFonts w:ascii="Aptos" w:hAnsi="Aptos"/>
                <w:sz w:val="14"/>
              </w:rPr>
              <w:t>Flyway migrations use expand/contract or forward-fix. Production DDL outside migration control is prohibited.</w:t>
            </w:r>
          </w:p>
        </w:tc>
      </w:tr>
      <w:tr>
        <w:trPr>
          <w:cantSplit/>
        </w:trPr>
        <w:tc>
          <w:tcPr>
            <w:tcW w:type="dxa" w:w="2448"/>
            <w:vAlign w:val="top"/>
            <w:tcMar>
              <w:top w:w="45" w:type="dxa"/>
              <w:start w:w="55" w:type="dxa"/>
              <w:bottom w:w="45" w:type="dxa"/>
              <w:end w:w="55" w:type="dxa"/>
            </w:tcMar>
          </w:tcPr>
          <w:p>
            <w:pPr>
              <w:spacing w:after="0" w:line="240" w:lineRule="auto"/>
            </w:pPr>
            <w:r>
              <w:rPr>
                <w:rFonts w:ascii="Aptos" w:hAnsi="Aptos"/>
                <w:sz w:val="14"/>
              </w:rPr>
              <w:t>Reversibility</w:t>
            </w:r>
          </w:p>
        </w:tc>
        <w:tc>
          <w:tcPr>
            <w:tcW w:type="dxa" w:w="7632"/>
            <w:vAlign w:val="top"/>
            <w:tcMar>
              <w:top w:w="45" w:type="dxa"/>
              <w:start w:w="55" w:type="dxa"/>
              <w:bottom w:w="45" w:type="dxa"/>
              <w:end w:w="55" w:type="dxa"/>
            </w:tcMar>
          </w:tcPr>
          <w:p>
            <w:pPr>
              <w:spacing w:after="0" w:line="240" w:lineRule="auto"/>
            </w:pPr>
            <w:r>
              <w:rPr>
                <w:rFonts w:ascii="Aptos" w:hAnsi="Aptos"/>
                <w:sz w:val="14"/>
              </w:rPr>
              <w:t>Each release declares rollback, forward-fix, compensation, feature-disable, cache-rebuild, or re-index strategy.</w:t>
            </w:r>
          </w:p>
        </w:tc>
      </w:tr>
    </w:tbl>
    <w:p/>
    <w:p>
      <w:pPr>
        <w:pStyle w:val="Heading2"/>
        <w:keepNext/>
        <w:spacing w:before="120" w:after="80"/>
      </w:pPr>
    </w:p>
    <w:tbl>
      <w:tblPr>
        <w:tblStyle w:val="TableGrid"/>
        <w:tblW w:type="auto" w:w="0"/>
        <w:jc w:val="center"/>
        <w:tblLook w:firstColumn="1" w:firstRow="1" w:lastColumn="0" w:lastRow="0" w:noHBand="0" w:noVBand="1" w:val="04A0"/>
      </w:tblPr>
      <w:tblGrid>
        <w:gridCol w:w="10454"/>
      </w:tblGrid>
      <w:tr>
        <w:tc>
          <w:tcPr>
            <w:tcW w:type="dxa" w:w="10454"/>
            <w:shd w:fill="EAF2F8"/>
            <w:tcMar>
              <w:top w:w="145" w:type="dxa"/>
              <w:start w:w="160" w:type="dxa"/>
              <w:bottom w:w="145" w:type="dxa"/>
              <w:end w:w="160" w:type="dxa"/>
            </w:tcMar>
          </w:tcPr>
          <w:p>
            <w:pPr>
              <w:spacing w:after="60"/>
            </w:pPr>
            <w:r>
              <w:rPr>
                <w:rFonts w:ascii="Aptos" w:hAnsi="Aptos"/>
                <w:b/>
                <w:color w:val="1F4E79"/>
                <w:sz w:val="18"/>
              </w:rPr>
              <w:t>Release Readiness Gate</w:t>
            </w:r>
          </w:p>
          <w:p>
            <w:pPr>
              <w:spacing w:after="0"/>
            </w:pPr>
            <w:r>
              <w:rPr>
                <w:rFonts w:ascii="Aptos" w:hAnsi="Aptos"/>
                <w:sz w:val="17"/>
              </w:rPr>
              <w:t>A release cannot proceed unless architecture fitness functions pass, tests and scans are complete, evidence is retained, rollback/forward-fix paths are declared, and no unresolved high-severity principle violations remain.</w:t>
            </w:r>
          </w:p>
        </w:tc>
      </w:tr>
    </w:tbl>
    <w:p/>
    <w:p>
      <w:pPr>
        <w:pStyle w:val="Heading1"/>
        <w:keepNext/>
        <w:spacing w:before="160" w:after="80"/>
      </w:pPr>
    </w:p>
    <w:p>
      <w:pPr>
        <w:spacing w:after="80" w:line="250" w:lineRule="auto"/>
      </w:pPr>
      <w:r>
        <w:rPr>
          <w:rFonts w:ascii="Aptos" w:hAnsi="Aptos"/>
          <w:sz w:val="18"/>
        </w:rPr>
        <w:t>Auto-Heal, Auto-Learn, and Auto-Improve are governed improvement loops, not licenses for autonomous self-modification. They must preserve or improve architecture boundaries, SOLID compliance, security posture, testability, observability, resilience, reversibility, and AVCI evidence.</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728"/>
            <w:shd w:fill="1F4E79"/>
            <w:tcMar>
              <w:top w:w="50" w:type="dxa"/>
              <w:start w:w="55" w:type="dxa"/>
              <w:bottom w:w="50" w:type="dxa"/>
              <w:end w:w="55" w:type="dxa"/>
            </w:tcMar>
          </w:tcPr>
          <w:p>
            <w:pPr>
              <w:spacing w:after="0"/>
              <w:jc w:val="center"/>
            </w:pPr>
            <w:r>
              <w:rPr>
                <w:rFonts w:ascii="Aptos" w:hAnsi="Aptos"/>
                <w:b/>
                <w:color w:val="FFFFFF"/>
                <w:sz w:val="13"/>
              </w:rPr>
              <w:t>Capability</w:t>
            </w:r>
          </w:p>
        </w:tc>
        <w:tc>
          <w:tcPr>
            <w:tcW w:type="dxa" w:w="3744"/>
            <w:shd w:fill="1F4E79"/>
            <w:tcMar>
              <w:top w:w="50" w:type="dxa"/>
              <w:start w:w="55" w:type="dxa"/>
              <w:bottom w:w="50" w:type="dxa"/>
              <w:end w:w="55" w:type="dxa"/>
            </w:tcMar>
          </w:tcPr>
          <w:p>
            <w:pPr>
              <w:spacing w:after="0"/>
              <w:jc w:val="center"/>
            </w:pPr>
            <w:r>
              <w:rPr>
                <w:rFonts w:ascii="Aptos" w:hAnsi="Aptos"/>
                <w:b/>
                <w:color w:val="FFFFFF"/>
                <w:sz w:val="13"/>
              </w:rPr>
              <w:t>Allowed Outcome</w:t>
            </w:r>
          </w:p>
        </w:tc>
        <w:tc>
          <w:tcPr>
            <w:tcW w:type="dxa" w:w="4608"/>
            <w:shd w:fill="1F4E79"/>
            <w:tcMar>
              <w:top w:w="50" w:type="dxa"/>
              <w:start w:w="55" w:type="dxa"/>
              <w:bottom w:w="50" w:type="dxa"/>
              <w:end w:w="55" w:type="dxa"/>
            </w:tcMar>
          </w:tcPr>
          <w:p>
            <w:pPr>
              <w:spacing w:after="0"/>
              <w:jc w:val="center"/>
            </w:pPr>
            <w:r>
              <w:rPr>
                <w:rFonts w:ascii="Aptos" w:hAnsi="Aptos"/>
                <w:b/>
                <w:color w:val="FFFFFF"/>
                <w:sz w:val="13"/>
              </w:rPr>
              <w:t>Mandatory Acceptance Conditions</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Auto-Heal</w:t>
            </w:r>
          </w:p>
        </w:tc>
        <w:tc>
          <w:tcPr>
            <w:tcW w:type="dxa" w:w="3744"/>
            <w:vAlign w:val="top"/>
            <w:tcMar>
              <w:top w:w="45" w:type="dxa"/>
              <w:start w:w="55" w:type="dxa"/>
              <w:bottom w:w="45" w:type="dxa"/>
              <w:end w:w="55" w:type="dxa"/>
            </w:tcMar>
          </w:tcPr>
          <w:p>
            <w:pPr>
              <w:spacing w:after="0" w:line="240" w:lineRule="auto"/>
            </w:pPr>
            <w:r>
              <w:rPr>
                <w:rFonts w:ascii="Aptos" w:hAnsi="Aptos"/>
                <w:sz w:val="13"/>
              </w:rPr>
              <w:t>Detect failure, classify cause, propose minimal remediation, create PR/MR, run safe tests, escalate where risk requires.</w:t>
            </w:r>
          </w:p>
        </w:tc>
        <w:tc>
          <w:tcPr>
            <w:tcW w:type="dxa" w:w="4608"/>
            <w:vAlign w:val="top"/>
            <w:tcMar>
              <w:top w:w="45" w:type="dxa"/>
              <w:start w:w="55" w:type="dxa"/>
              <w:bottom w:w="45" w:type="dxa"/>
              <w:end w:w="55" w:type="dxa"/>
            </w:tcMar>
          </w:tcPr>
          <w:p>
            <w:pPr>
              <w:spacing w:after="0" w:line="240" w:lineRule="auto"/>
            </w:pPr>
            <w:r>
              <w:rPr>
                <w:rFonts w:ascii="Aptos" w:hAnsi="Aptos"/>
                <w:sz w:val="13"/>
              </w:rPr>
              <w:t>Evidence-based, minimal, idempotent, tested, secure, observable, reversible, and does not bypass architecture boundaries.</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Auto-Learn</w:t>
            </w:r>
          </w:p>
        </w:tc>
        <w:tc>
          <w:tcPr>
            <w:tcW w:type="dxa" w:w="3744"/>
            <w:vAlign w:val="top"/>
            <w:tcMar>
              <w:top w:w="45" w:type="dxa"/>
              <w:start w:w="55" w:type="dxa"/>
              <w:bottom w:w="45" w:type="dxa"/>
              <w:end w:w="55" w:type="dxa"/>
            </w:tcMar>
          </w:tcPr>
          <w:p>
            <w:pPr>
              <w:spacing w:after="0" w:line="240" w:lineRule="auto"/>
            </w:pPr>
            <w:r>
              <w:rPr>
                <w:rFonts w:ascii="Aptos" w:hAnsi="Aptos"/>
                <w:sz w:val="13"/>
              </w:rPr>
              <w:t>Convert resolved incidents, reviews, postmortems, and approved patterns into candidate knowledge.</w:t>
            </w:r>
          </w:p>
        </w:tc>
        <w:tc>
          <w:tcPr>
            <w:tcW w:type="dxa" w:w="4608"/>
            <w:vAlign w:val="top"/>
            <w:tcMar>
              <w:top w:w="45" w:type="dxa"/>
              <w:start w:w="55" w:type="dxa"/>
              <w:bottom w:w="45" w:type="dxa"/>
              <w:end w:w="55" w:type="dxa"/>
            </w:tcMar>
          </w:tcPr>
          <w:p>
            <w:pPr>
              <w:spacing w:after="0" w:line="240" w:lineRule="auto"/>
            </w:pPr>
            <w:r>
              <w:rPr>
                <w:rFonts w:ascii="Aptos" w:hAnsi="Aptos"/>
                <w:sz w:val="13"/>
              </w:rPr>
              <w:t>Attributable, cited, human-reviewed, classification-safe, non-conflicting, freshness-checked, and promoted through knowledge workflow.</w:t>
            </w:r>
          </w:p>
        </w:tc>
      </w:tr>
      <w:tr>
        <w:trPr>
          <w:cantSplit/>
        </w:trPr>
        <w:tc>
          <w:tcPr>
            <w:tcW w:type="dxa" w:w="1728"/>
            <w:vAlign w:val="top"/>
            <w:tcMar>
              <w:top w:w="45" w:type="dxa"/>
              <w:start w:w="55" w:type="dxa"/>
              <w:bottom w:w="45" w:type="dxa"/>
              <w:end w:w="55" w:type="dxa"/>
            </w:tcMar>
          </w:tcPr>
          <w:p>
            <w:pPr>
              <w:spacing w:after="0" w:line="240" w:lineRule="auto"/>
            </w:pPr>
            <w:r>
              <w:rPr>
                <w:rFonts w:ascii="Aptos" w:hAnsi="Aptos"/>
                <w:sz w:val="13"/>
              </w:rPr>
              <w:t>Auto-Improve</w:t>
            </w:r>
          </w:p>
        </w:tc>
        <w:tc>
          <w:tcPr>
            <w:tcW w:type="dxa" w:w="3744"/>
            <w:vAlign w:val="top"/>
            <w:tcMar>
              <w:top w:w="45" w:type="dxa"/>
              <w:start w:w="55" w:type="dxa"/>
              <w:bottom w:w="45" w:type="dxa"/>
              <w:end w:w="55" w:type="dxa"/>
            </w:tcMar>
          </w:tcPr>
          <w:p>
            <w:pPr>
              <w:spacing w:after="0" w:line="240" w:lineRule="auto"/>
            </w:pPr>
            <w:r>
              <w:rPr>
                <w:rFonts w:ascii="Aptos" w:hAnsi="Aptos"/>
                <w:sz w:val="13"/>
              </w:rPr>
              <w:t>Propose refactoring, architecture debt reduction, guardrail improvement, policy hardening, test expansion, or operational optimization.</w:t>
            </w:r>
          </w:p>
        </w:tc>
        <w:tc>
          <w:tcPr>
            <w:tcW w:type="dxa" w:w="4608"/>
            <w:vAlign w:val="top"/>
            <w:tcMar>
              <w:top w:w="45" w:type="dxa"/>
              <w:start w:w="55" w:type="dxa"/>
              <w:bottom w:w="45" w:type="dxa"/>
              <w:end w:w="55" w:type="dxa"/>
            </w:tcMar>
          </w:tcPr>
          <w:p>
            <w:pPr>
              <w:spacing w:after="0" w:line="240" w:lineRule="auto"/>
            </w:pPr>
            <w:r>
              <w:rPr>
                <w:rFonts w:ascii="Aptos" w:hAnsi="Aptos"/>
                <w:sz w:val="13"/>
              </w:rPr>
              <w:t>Measurably improves risk, complexity, defect rate, latency, security, maintainability, or evidence completeness without weakening principles.</w:t>
            </w:r>
          </w:p>
        </w:tc>
      </w:tr>
    </w:tbl>
    <w:p/>
    <w:p>
      <w:pPr>
        <w:pStyle w:val="Heading2"/>
        <w:keepNext/>
        <w:spacing w:before="120" w:after="80"/>
      </w:pPr>
    </w:p>
    <w:p>
      <w:pPr>
        <w:pStyle w:val="ListBullet"/>
        <w:spacing w:after="40"/>
        <w:ind w:left="259"/>
      </w:pPr>
      <w:r>
        <w:rPr>
          <w:rFonts w:ascii="Aptos" w:hAnsi="Aptos"/>
          <w:sz w:val="17"/>
        </w:rPr>
        <w:t>Reject any automated change that weakens SOLID, Clean Architecture, DDD boundaries, ports/adapters, testability, security, observability, reversibility, or AVCI evidence.</w:t>
      </w:r>
    </w:p>
    <w:p>
      <w:pPr>
        <w:pStyle w:val="ListBullet"/>
        <w:spacing w:after="40"/>
        <w:ind w:left="259"/>
      </w:pPr>
      <w:r>
        <w:rPr>
          <w:rFonts w:ascii="Aptos" w:hAnsi="Aptos"/>
          <w:sz w:val="17"/>
        </w:rPr>
        <w:t>Reject any remediation that bypasses LiteLLM, Guardrails, Harness, OPA, SBAC, Git/MR review, CI gates, or human approval for high-risk action.</w:t>
      </w:r>
    </w:p>
    <w:p>
      <w:pPr>
        <w:pStyle w:val="ListBullet"/>
        <w:spacing w:after="40"/>
        <w:ind w:left="259"/>
      </w:pPr>
      <w:r>
        <w:rPr>
          <w:rFonts w:ascii="Aptos" w:hAnsi="Aptos"/>
          <w:sz w:val="17"/>
        </w:rPr>
        <w:t>Reject any learned knowledge that conflicts with approved source documents, lacks citations, uses real PII, or is based on stale/superseded artifacts.</w:t>
      </w:r>
    </w:p>
    <w:p>
      <w:pPr>
        <w:pStyle w:val="ListBullet"/>
        <w:spacing w:after="40"/>
        <w:ind w:left="259"/>
      </w:pPr>
      <w:r>
        <w:rPr>
          <w:rFonts w:ascii="Aptos" w:hAnsi="Aptos"/>
          <w:sz w:val="17"/>
        </w:rPr>
        <w:t>Reject repeated AI remediation after three failed attempts and escalate to human engineering review.</w:t>
      </w:r>
    </w:p>
    <w:p>
      <w:pPr>
        <w:pStyle w:val="Heading1"/>
        <w:keepNext/>
        <w:spacing w:before="160" w:after="80"/>
      </w:pPr>
    </w:p>
    <w:p>
      <w:pPr>
        <w:spacing w:after="80" w:line="250" w:lineRule="auto"/>
      </w:pPr>
      <w:r>
        <w:rPr>
          <w:rFonts w:ascii="Aptos" w:hAnsi="Aptos"/>
          <w:sz w:val="18"/>
        </w:rPr>
        <w:t>Developers and AI assistants must work within the architecture. Convenience shortcuts that bypass architecture boundaries are treated as defects, not productivity improvements.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shd w:fill="1F4E79"/>
            <w:tcMar>
              <w:top w:w="50" w:type="dxa"/>
              <w:start w:w="55" w:type="dxa"/>
              <w:bottom w:w="50" w:type="dxa"/>
              <w:end w:w="55" w:type="dxa"/>
            </w:tcMar>
          </w:tcPr>
          <w:p>
            <w:pPr>
              <w:spacing w:after="0"/>
              <w:jc w:val="center"/>
            </w:pPr>
            <w:r>
              <w:rPr>
                <w:rFonts w:ascii="Aptos" w:hAnsi="Aptos"/>
                <w:b/>
                <w:color w:val="FFFFFF"/>
                <w:sz w:val="14"/>
              </w:rPr>
              <w:t>Rule</w:t>
            </w:r>
          </w:p>
        </w:tc>
        <w:tc>
          <w:tcPr>
            <w:tcW w:type="dxa" w:w="7200"/>
            <w:shd w:fill="1F4E79"/>
            <w:tcMar>
              <w:top w:w="50" w:type="dxa"/>
              <w:start w:w="55" w:type="dxa"/>
              <w:bottom w:w="50" w:type="dxa"/>
              <w:end w:w="55" w:type="dxa"/>
            </w:tcMar>
          </w:tcPr>
          <w:p>
            <w:pPr>
              <w:spacing w:after="0"/>
              <w:jc w:val="center"/>
            </w:pPr>
            <w:r>
              <w:rPr>
                <w:rFonts w:ascii="Aptos" w:hAnsi="Aptos"/>
                <w:b/>
                <w:color w:val="FFFFFF"/>
                <w:sz w:val="14"/>
              </w:rPr>
              <w:t>Mandatory Practice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No direct model calls</w:t>
            </w:r>
          </w:p>
        </w:tc>
        <w:tc>
          <w:tcPr>
            <w:tcW w:type="dxa" w:w="7200"/>
            <w:vAlign w:val="top"/>
            <w:tcMar>
              <w:top w:w="45" w:type="dxa"/>
              <w:start w:w="55" w:type="dxa"/>
              <w:bottom w:w="45" w:type="dxa"/>
              <w:end w:w="55" w:type="dxa"/>
            </w:tcMar>
          </w:tcPr>
          <w:p>
            <w:pPr>
              <w:spacing w:after="0" w:line="240" w:lineRule="auto"/>
            </w:pPr>
            <w:r>
              <w:rPr>
                <w:rFonts w:ascii="Aptos" w:hAnsi="Aptos"/>
                <w:sz w:val="14"/>
              </w:rPr>
              <w:t>All model traffic goes through LiteLLM and guardrails. Provider SDK imports in application services are prohibited.</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No business logic in controllers</w:t>
            </w:r>
          </w:p>
        </w:tc>
        <w:tc>
          <w:tcPr>
            <w:tcW w:type="dxa" w:w="7200"/>
            <w:vAlign w:val="top"/>
            <w:tcMar>
              <w:top w:w="45" w:type="dxa"/>
              <w:start w:w="55" w:type="dxa"/>
              <w:bottom w:w="45" w:type="dxa"/>
              <w:end w:w="55" w:type="dxa"/>
            </w:tcMar>
          </w:tcPr>
          <w:p>
            <w:pPr>
              <w:spacing w:after="0" w:line="240" w:lineRule="auto"/>
            </w:pPr>
            <w:r>
              <w:rPr>
                <w:rFonts w:ascii="Aptos" w:hAnsi="Aptos"/>
                <w:sz w:val="14"/>
              </w:rPr>
              <w:t>Controllers translate protocol input to application use cases and return safe responses only.</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No infrastructure in domain</w:t>
            </w:r>
          </w:p>
        </w:tc>
        <w:tc>
          <w:tcPr>
            <w:tcW w:type="dxa" w:w="7200"/>
            <w:vAlign w:val="top"/>
            <w:tcMar>
              <w:top w:w="45" w:type="dxa"/>
              <w:start w:w="55" w:type="dxa"/>
              <w:bottom w:w="45" w:type="dxa"/>
              <w:end w:w="55" w:type="dxa"/>
            </w:tcMar>
          </w:tcPr>
          <w:p>
            <w:pPr>
              <w:spacing w:after="0" w:line="240" w:lineRule="auto"/>
            </w:pPr>
            <w:r>
              <w:rPr>
                <w:rFonts w:ascii="Aptos" w:hAnsi="Aptos"/>
                <w:sz w:val="14"/>
              </w:rPr>
              <w:t>Domain logic cannot import database clients, HTTP clients, Kafka, provider SDKs, Vault, or framework-specific objects.</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No duplicated standard concerns</w:t>
            </w:r>
          </w:p>
        </w:tc>
        <w:tc>
          <w:tcPr>
            <w:tcW w:type="dxa" w:w="7200"/>
            <w:vAlign w:val="top"/>
            <w:tcMar>
              <w:top w:w="45" w:type="dxa"/>
              <w:start w:w="55" w:type="dxa"/>
              <w:bottom w:w="45" w:type="dxa"/>
              <w:end w:w="55" w:type="dxa"/>
            </w:tcMar>
          </w:tcPr>
          <w:p>
            <w:pPr>
              <w:spacing w:after="0" w:line="240" w:lineRule="auto"/>
            </w:pPr>
            <w:r>
              <w:rPr>
                <w:rFonts w:ascii="Aptos" w:hAnsi="Aptos"/>
                <w:sz w:val="14"/>
              </w:rPr>
              <w:t>Security, validation, idempotency, audit, telemetry, retries, error handling, and responses are framework concerns unless approved otherwise.</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No hidden cross-context writes</w:t>
            </w:r>
          </w:p>
        </w:tc>
        <w:tc>
          <w:tcPr>
            <w:tcW w:type="dxa" w:w="7200"/>
            <w:vAlign w:val="top"/>
            <w:tcMar>
              <w:top w:w="45" w:type="dxa"/>
              <w:start w:w="55" w:type="dxa"/>
              <w:bottom w:w="45" w:type="dxa"/>
              <w:end w:w="55" w:type="dxa"/>
            </w:tcMar>
          </w:tcPr>
          <w:p>
            <w:pPr>
              <w:spacing w:after="0" w:line="240" w:lineRule="auto"/>
            </w:pPr>
            <w:r>
              <w:rPr>
                <w:rFonts w:ascii="Aptos" w:hAnsi="Aptos"/>
                <w:sz w:val="14"/>
              </w:rPr>
              <w:t>Services may not write another bounded context's schema or tables.</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No manual production mutation</w:t>
            </w:r>
          </w:p>
        </w:tc>
        <w:tc>
          <w:tcPr>
            <w:tcW w:type="dxa" w:w="7200"/>
            <w:vAlign w:val="top"/>
            <w:tcMar>
              <w:top w:w="45" w:type="dxa"/>
              <w:start w:w="55" w:type="dxa"/>
              <w:bottom w:w="45" w:type="dxa"/>
              <w:end w:w="55" w:type="dxa"/>
            </w:tcMar>
          </w:tcPr>
          <w:p>
            <w:pPr>
              <w:spacing w:after="0" w:line="240" w:lineRule="auto"/>
            </w:pPr>
            <w:r>
              <w:rPr>
                <w:rFonts w:ascii="Aptos" w:hAnsi="Aptos"/>
                <w:sz w:val="14"/>
              </w:rPr>
              <w:t>Production changes occur through GitOps, migrations, approved workflows, or time-bound break-glass with reconciliation.</w:t>
            </w:r>
          </w:p>
        </w:tc>
      </w:tr>
      <w:tr>
        <w:trPr>
          <w:cantSplit/>
        </w:trPr>
        <w:tc>
          <w:tcPr>
            <w:tcW w:type="dxa" w:w="2880"/>
            <w:vAlign w:val="top"/>
            <w:tcMar>
              <w:top w:w="45" w:type="dxa"/>
              <w:start w:w="55" w:type="dxa"/>
              <w:bottom w:w="45" w:type="dxa"/>
              <w:end w:w="55" w:type="dxa"/>
            </w:tcMar>
          </w:tcPr>
          <w:p>
            <w:pPr>
              <w:spacing w:after="0" w:line="240" w:lineRule="auto"/>
            </w:pPr>
            <w:r>
              <w:rPr>
                <w:rFonts w:ascii="Aptos" w:hAnsi="Aptos"/>
                <w:sz w:val="14"/>
              </w:rPr>
              <w:t>No unreviewed AI code</w:t>
            </w:r>
          </w:p>
        </w:tc>
        <w:tc>
          <w:tcPr>
            <w:tcW w:type="dxa" w:w="7200"/>
            <w:vAlign w:val="top"/>
            <w:tcMar>
              <w:top w:w="45" w:type="dxa"/>
              <w:start w:w="55" w:type="dxa"/>
              <w:bottom w:w="45" w:type="dxa"/>
              <w:end w:w="55" w:type="dxa"/>
            </w:tcMar>
          </w:tcPr>
          <w:p>
            <w:pPr>
              <w:spacing w:after="0" w:line="240" w:lineRule="auto"/>
            </w:pPr>
            <w:r>
              <w:rPr>
                <w:rFonts w:ascii="Aptos" w:hAnsi="Aptos"/>
                <w:sz w:val="14"/>
              </w:rPr>
              <w:t>AI-generated code carries the same accountability, test, security, and review requirements as human code.</w:t>
            </w:r>
          </w:p>
        </w:tc>
      </w:tr>
    </w:tbl>
    <w:p/>
    <w:p>
      <w:pPr>
        <w:pStyle w:val="Heading2"/>
        <w:keepNext/>
        <w:spacing w:before="12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592"/>
            <w:shd w:fill="1F4E79"/>
            <w:tcMar>
              <w:top w:w="50" w:type="dxa"/>
              <w:start w:w="55" w:type="dxa"/>
              <w:bottom w:w="50" w:type="dxa"/>
              <w:end w:w="55" w:type="dxa"/>
            </w:tcMar>
          </w:tcPr>
          <w:p>
            <w:pPr>
              <w:spacing w:after="0"/>
              <w:jc w:val="center"/>
            </w:pPr>
            <w:r>
              <w:rPr>
                <w:rFonts w:ascii="Aptos" w:hAnsi="Aptos"/>
                <w:b/>
                <w:color w:val="FFFFFF"/>
                <w:sz w:val="14"/>
              </w:rPr>
              <w:t>Evidence Item</w:t>
            </w:r>
          </w:p>
        </w:tc>
        <w:tc>
          <w:tcPr>
            <w:tcW w:type="dxa" w:w="7488"/>
            <w:shd w:fill="1F4E79"/>
            <w:tcMar>
              <w:top w:w="50" w:type="dxa"/>
              <w:start w:w="55" w:type="dxa"/>
              <w:bottom w:w="50" w:type="dxa"/>
              <w:end w:w="55" w:type="dxa"/>
            </w:tcMar>
          </w:tcPr>
          <w:p>
            <w:pPr>
              <w:spacing w:after="0"/>
              <w:jc w:val="center"/>
            </w:pPr>
            <w:r>
              <w:rPr>
                <w:rFonts w:ascii="Aptos" w:hAnsi="Aptos"/>
                <w:b/>
                <w:color w:val="FFFFFF"/>
                <w:sz w:val="14"/>
              </w:rPr>
              <w:t>Required Content</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Principle impact</w:t>
            </w:r>
          </w:p>
        </w:tc>
        <w:tc>
          <w:tcPr>
            <w:tcW w:type="dxa" w:w="7488"/>
            <w:vAlign w:val="top"/>
            <w:tcMar>
              <w:top w:w="45" w:type="dxa"/>
              <w:start w:w="55" w:type="dxa"/>
              <w:bottom w:w="45" w:type="dxa"/>
              <w:end w:w="55" w:type="dxa"/>
            </w:tcMar>
          </w:tcPr>
          <w:p>
            <w:pPr>
              <w:spacing w:after="0" w:line="240" w:lineRule="auto"/>
            </w:pPr>
            <w:r>
              <w:rPr>
                <w:rFonts w:ascii="Aptos" w:hAnsi="Aptos"/>
                <w:sz w:val="14"/>
              </w:rPr>
              <w:t>Positive, neutral, or negative impact on each relevant 01A principle; negative impact requires waiver.</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Boundary impact</w:t>
            </w:r>
          </w:p>
        </w:tc>
        <w:tc>
          <w:tcPr>
            <w:tcW w:type="dxa" w:w="7488"/>
            <w:vAlign w:val="top"/>
            <w:tcMar>
              <w:top w:w="45" w:type="dxa"/>
              <w:start w:w="55" w:type="dxa"/>
              <w:bottom w:w="45" w:type="dxa"/>
              <w:end w:w="55" w:type="dxa"/>
            </w:tcMar>
          </w:tcPr>
          <w:p>
            <w:pPr>
              <w:spacing w:after="0" w:line="240" w:lineRule="auto"/>
            </w:pPr>
            <w:r>
              <w:rPr>
                <w:rFonts w:ascii="Aptos" w:hAnsi="Aptos"/>
                <w:sz w:val="14"/>
              </w:rPr>
              <w:t>Service, bounded context, schema, API/event, workflow, model route, and data classification impact.</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Fitness results</w:t>
            </w:r>
          </w:p>
        </w:tc>
        <w:tc>
          <w:tcPr>
            <w:tcW w:type="dxa" w:w="7488"/>
            <w:vAlign w:val="top"/>
            <w:tcMar>
              <w:top w:w="45" w:type="dxa"/>
              <w:start w:w="55" w:type="dxa"/>
              <w:bottom w:w="45" w:type="dxa"/>
              <w:end w:w="55" w:type="dxa"/>
            </w:tcMar>
          </w:tcPr>
          <w:p>
            <w:pPr>
              <w:spacing w:after="0" w:line="240" w:lineRule="auto"/>
            </w:pPr>
            <w:r>
              <w:rPr>
                <w:rFonts w:ascii="Aptos" w:hAnsi="Aptos"/>
                <w:sz w:val="14"/>
              </w:rPr>
              <w:t>Architecture tests, policy tests, contract tests, guardrail tests, security tests, and CI evidence links.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Reversibility</w:t>
            </w:r>
          </w:p>
        </w:tc>
        <w:tc>
          <w:tcPr>
            <w:tcW w:type="dxa" w:w="7488"/>
            <w:vAlign w:val="top"/>
            <w:tcMar>
              <w:top w:w="45" w:type="dxa"/>
              <w:start w:w="55" w:type="dxa"/>
              <w:bottom w:w="45" w:type="dxa"/>
              <w:end w:w="55" w:type="dxa"/>
            </w:tcMar>
          </w:tcPr>
          <w:p>
            <w:pPr>
              <w:spacing w:after="0" w:line="240" w:lineRule="auto"/>
            </w:pPr>
            <w:r>
              <w:rPr>
                <w:rFonts w:ascii="Aptos" w:hAnsi="Aptos"/>
                <w:sz w:val="14"/>
              </w:rPr>
              <w:t>Rollback, forward-fix, compensation, feature flag, or deactivation path.</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AI involvement</w:t>
            </w:r>
          </w:p>
        </w:tc>
        <w:tc>
          <w:tcPr>
            <w:tcW w:type="dxa" w:w="7488"/>
            <w:vAlign w:val="top"/>
            <w:tcMar>
              <w:top w:w="45" w:type="dxa"/>
              <w:start w:w="55" w:type="dxa"/>
              <w:bottom w:w="45" w:type="dxa"/>
              <w:end w:w="55" w:type="dxa"/>
            </w:tcMar>
          </w:tcPr>
          <w:p>
            <w:pPr>
              <w:spacing w:after="0" w:line="240" w:lineRule="auto"/>
            </w:pPr>
            <w:r>
              <w:rPr>
                <w:rFonts w:ascii="Aptos" w:hAnsi="Aptos"/>
                <w:sz w:val="14"/>
              </w:rPr>
              <w:t>Tool/model used, prompt intent, retrieved sources, files changed, tests run, and human checker.</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AVCI summary</w:t>
            </w:r>
          </w:p>
        </w:tc>
        <w:tc>
          <w:tcPr>
            <w:tcW w:type="dxa" w:w="7488"/>
            <w:vAlign w:val="top"/>
            <w:tcMar>
              <w:top w:w="45" w:type="dxa"/>
              <w:start w:w="55" w:type="dxa"/>
              <w:bottom w:w="45" w:type="dxa"/>
              <w:end w:w="55" w:type="dxa"/>
            </w:tcMar>
          </w:tcPr>
          <w:p>
            <w:pPr>
              <w:spacing w:after="0" w:line="240" w:lineRule="auto"/>
            </w:pPr>
            <w:r>
              <w:rPr>
                <w:rFonts w:ascii="Aptos" w:hAnsi="Aptos"/>
                <w:sz w:val="14"/>
              </w:rPr>
              <w:t>Attributable, Verifiable, Classifiable, Improvable evidence fields.</w:t>
            </w:r>
          </w:p>
        </w:tc>
      </w:tr>
    </w:tbl>
    <w:p/>
    <w:p>
      <w:pPr>
        <w:pStyle w:val="Heading1"/>
        <w:keepNext/>
        <w:spacing w:before="160" w:after="80"/>
      </w:pPr>
    </w:p>
    <w:p>
      <w:pPr>
        <w:spacing w:after="80" w:line="250" w:lineRule="auto"/>
      </w:pPr>
      <w:r>
        <w:rPr>
          <w:rFonts w:ascii="Aptos" w:hAnsi="Aptos"/>
          <w:sz w:val="18"/>
        </w:rPr>
        <w:t>This blueprint is part of the AIRA cross-document revision package initiated by ADR-AIRA-2026-001. The following documents must be updated or verified to ensure consistent enforcement of 01A.</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3168"/>
            <w:shd w:fill="1F4E79"/>
            <w:tcMar>
              <w:top w:w="50" w:type="dxa"/>
              <w:start w:w="55" w:type="dxa"/>
              <w:bottom w:w="50" w:type="dxa"/>
              <w:end w:w="55" w:type="dxa"/>
            </w:tcMar>
          </w:tcPr>
          <w:p>
            <w:pPr>
              <w:spacing w:after="0"/>
              <w:jc w:val="center"/>
            </w:pPr>
            <w:r>
              <w:rPr>
                <w:rFonts w:ascii="Aptos" w:hAnsi="Aptos"/>
                <w:b/>
                <w:color w:val="FFFFFF"/>
                <w:sz w:val="14"/>
              </w:rPr>
              <w:t>Document</w:t>
            </w:r>
          </w:p>
        </w:tc>
        <w:tc>
          <w:tcPr>
            <w:tcW w:type="dxa" w:w="6912"/>
            <w:shd w:fill="1F4E79"/>
            <w:tcMar>
              <w:top w:w="50" w:type="dxa"/>
              <w:start w:w="55" w:type="dxa"/>
              <w:bottom w:w="50" w:type="dxa"/>
              <w:end w:w="55" w:type="dxa"/>
            </w:tcMar>
          </w:tcPr>
          <w:p>
            <w:pPr>
              <w:spacing w:after="0"/>
              <w:jc w:val="center"/>
            </w:pPr>
            <w:r>
              <w:rPr>
                <w:rFonts w:ascii="Aptos" w:hAnsi="Aptos"/>
                <w:b/>
                <w:color w:val="FFFFFF"/>
                <w:sz w:val="14"/>
              </w:rPr>
              <w:t>Required Alignment</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01 AVCI Engineering Standard</w:t>
            </w:r>
          </w:p>
        </w:tc>
        <w:tc>
          <w:tcPr>
            <w:tcW w:type="dxa" w:w="6912"/>
            <w:vAlign w:val="top"/>
            <w:tcMar>
              <w:top w:w="45" w:type="dxa"/>
              <w:start w:w="55" w:type="dxa"/>
              <w:bottom w:w="45" w:type="dxa"/>
              <w:end w:w="55" w:type="dxa"/>
            </w:tcMar>
          </w:tcPr>
          <w:p>
            <w:pPr>
              <w:spacing w:after="0" w:line="240" w:lineRule="auto"/>
            </w:pPr>
            <w:r>
              <w:rPr>
                <w:rFonts w:ascii="Aptos" w:hAnsi="Aptos"/>
                <w:sz w:val="14"/>
              </w:rPr>
              <w:t>Universal quality gate and evidence schema include 01A principle impact.</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03 Developer Guide</w:t>
            </w:r>
          </w:p>
        </w:tc>
        <w:tc>
          <w:tcPr>
            <w:tcW w:type="dxa" w:w="6912"/>
            <w:vAlign w:val="top"/>
            <w:tcMar>
              <w:top w:w="45" w:type="dxa"/>
              <w:start w:w="55" w:type="dxa"/>
              <w:bottom w:w="45" w:type="dxa"/>
              <w:end w:w="55" w:type="dxa"/>
            </w:tcMar>
          </w:tcPr>
          <w:p>
            <w:pPr>
              <w:spacing w:after="0" w:line="240" w:lineRule="auto"/>
            </w:pPr>
            <w:r>
              <w:rPr>
                <w:rFonts w:ascii="Aptos" w:hAnsi="Aptos"/>
                <w:sz w:val="14"/>
              </w:rPr>
              <w:t>Coding patterns enforce SOLID, Clean Architecture, DDD, ports/adapters, and no direct model calls.</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04 Technology Stack</w:t>
            </w:r>
          </w:p>
        </w:tc>
        <w:tc>
          <w:tcPr>
            <w:tcW w:type="dxa" w:w="6912"/>
            <w:vAlign w:val="top"/>
            <w:tcMar>
              <w:top w:w="45" w:type="dxa"/>
              <w:start w:w="55" w:type="dxa"/>
              <w:bottom w:w="45" w:type="dxa"/>
              <w:end w:w="55" w:type="dxa"/>
            </w:tcMar>
          </w:tcPr>
          <w:p>
            <w:pPr>
              <w:spacing w:after="0" w:line="240" w:lineRule="auto"/>
            </w:pPr>
            <w:r>
              <w:rPr>
                <w:rFonts w:ascii="Aptos" w:hAnsi="Aptos"/>
                <w:sz w:val="14"/>
              </w:rPr>
              <w:t>Tooling includes architecture fitness, policy, security, dependency, contract, and AI evaluation enforcement.</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05 Information Nervous System</w:t>
            </w:r>
          </w:p>
        </w:tc>
        <w:tc>
          <w:tcPr>
            <w:tcW w:type="dxa" w:w="6912"/>
            <w:vAlign w:val="top"/>
            <w:tcMar>
              <w:top w:w="45" w:type="dxa"/>
              <w:start w:w="55" w:type="dxa"/>
              <w:bottom w:w="45" w:type="dxa"/>
              <w:end w:w="55" w:type="dxa"/>
            </w:tcMar>
          </w:tcPr>
          <w:p>
            <w:pPr>
              <w:spacing w:after="0" w:line="240" w:lineRule="auto"/>
            </w:pPr>
            <w:r>
              <w:rPr>
                <w:rFonts w:ascii="Aptos" w:hAnsi="Aptos"/>
                <w:sz w:val="14"/>
              </w:rPr>
              <w:t>Knowledge and Auto-Learn metadata include principle impact and source precedence.</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06 CLAUDE.md Reference</w:t>
            </w:r>
          </w:p>
        </w:tc>
        <w:tc>
          <w:tcPr>
            <w:tcW w:type="dxa" w:w="6912"/>
            <w:vAlign w:val="top"/>
            <w:tcMar>
              <w:top w:w="45" w:type="dxa"/>
              <w:start w:w="55" w:type="dxa"/>
              <w:bottom w:w="45" w:type="dxa"/>
              <w:end w:w="55" w:type="dxa"/>
            </w:tcMar>
          </w:tcPr>
          <w:p>
            <w:pPr>
              <w:spacing w:after="0" w:line="240" w:lineRule="auto"/>
            </w:pPr>
            <w:r>
              <w:rPr>
                <w:rFonts w:ascii="Aptos" w:hAnsi="Aptos"/>
                <w:sz w:val="14"/>
              </w:rPr>
              <w:t>Repository rules and AI coding rules prohibit principle violations and architecture bypasses.</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07 Skills Framework</w:t>
            </w:r>
          </w:p>
        </w:tc>
        <w:tc>
          <w:tcPr>
            <w:tcW w:type="dxa" w:w="6912"/>
            <w:vAlign w:val="top"/>
            <w:tcMar>
              <w:top w:w="45" w:type="dxa"/>
              <w:start w:w="55" w:type="dxa"/>
              <w:bottom w:w="45" w:type="dxa"/>
              <w:end w:w="55" w:type="dxa"/>
            </w:tcMar>
          </w:tcPr>
          <w:p>
            <w:pPr>
              <w:spacing w:after="0" w:line="240" w:lineRule="auto"/>
            </w:pPr>
            <w:r>
              <w:rPr>
                <w:rFonts w:ascii="Aptos" w:hAnsi="Aptos"/>
                <w:sz w:val="14"/>
              </w:rPr>
              <w:t>Human/agent skills include SOLID, DDD, architecture review, secure coding, and safe remediation.</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08 Unit Testing Standard</w:t>
            </w:r>
          </w:p>
        </w:tc>
        <w:tc>
          <w:tcPr>
            <w:tcW w:type="dxa" w:w="6912"/>
            <w:vAlign w:val="top"/>
            <w:tcMar>
              <w:top w:w="45" w:type="dxa"/>
              <w:start w:w="55" w:type="dxa"/>
              <w:bottom w:w="45" w:type="dxa"/>
              <w:end w:w="55" w:type="dxa"/>
            </w:tcMar>
          </w:tcPr>
          <w:p>
            <w:pPr>
              <w:spacing w:after="0" w:line="240" w:lineRule="auto"/>
            </w:pPr>
            <w:r>
              <w:rPr>
                <w:rFonts w:ascii="Aptos" w:hAnsi="Aptos"/>
                <w:sz w:val="14"/>
              </w:rPr>
              <w:t>Tests include architecture tests, idempotency tests, deterministic tests, guardrail tests, and rollback evidence.</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10 MicroFunction documents</w:t>
            </w:r>
          </w:p>
        </w:tc>
        <w:tc>
          <w:tcPr>
            <w:tcW w:type="dxa" w:w="6912"/>
            <w:vAlign w:val="top"/>
            <w:tcMar>
              <w:top w:w="45" w:type="dxa"/>
              <w:start w:w="55" w:type="dxa"/>
              <w:bottom w:w="45" w:type="dxa"/>
              <w:end w:w="55" w:type="dxa"/>
            </w:tcMar>
          </w:tcPr>
          <w:p>
            <w:pPr>
              <w:spacing w:after="0" w:line="240" w:lineRule="auto"/>
            </w:pPr>
            <w:r>
              <w:rPr>
                <w:rFonts w:ascii="Aptos" w:hAnsi="Aptos"/>
                <w:sz w:val="14"/>
              </w:rPr>
              <w:t>MicroFunctions remain single-responsibility, observable, idempotent, testable, compensatable, and isolated.</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11 DevSecOps Standard</w:t>
            </w:r>
          </w:p>
        </w:tc>
        <w:tc>
          <w:tcPr>
            <w:tcW w:type="dxa" w:w="6912"/>
            <w:vAlign w:val="top"/>
            <w:tcMar>
              <w:top w:w="45" w:type="dxa"/>
              <w:start w:w="55" w:type="dxa"/>
              <w:bottom w:w="45" w:type="dxa"/>
              <w:end w:w="55" w:type="dxa"/>
            </w:tcMar>
          </w:tcPr>
          <w:p>
            <w:pPr>
              <w:spacing w:after="0" w:line="240" w:lineRule="auto"/>
            </w:pPr>
            <w:r>
              <w:rPr>
                <w:rFonts w:ascii="Aptos" w:hAnsi="Aptos"/>
                <w:sz w:val="14"/>
              </w:rPr>
              <w:t>Pipelines block untested, unsafe, non-reversible, or principle-weakening Auto-* PRs.</w:t>
            </w:r>
          </w:p>
        </w:tc>
      </w:tr>
      <w:tr>
        <w:trPr>
          <w:cantSplit/>
        </w:trPr>
        <w:tc>
          <w:tcPr>
            <w:tcW w:type="dxa" w:w="3168"/>
            <w:vAlign w:val="top"/>
            <w:tcMar>
              <w:top w:w="45" w:type="dxa"/>
              <w:start w:w="55" w:type="dxa"/>
              <w:bottom w:w="45" w:type="dxa"/>
              <w:end w:w="55" w:type="dxa"/>
            </w:tcMar>
          </w:tcPr>
          <w:p>
            <w:pPr>
              <w:spacing w:after="0" w:line="240" w:lineRule="auto"/>
            </w:pPr>
            <w:r>
              <w:rPr>
                <w:rFonts w:ascii="Aptos" w:hAnsi="Aptos"/>
                <w:sz w:val="14"/>
              </w:rPr>
              <w:t>13-17 Specialist Standards</w:t>
            </w:r>
          </w:p>
        </w:tc>
        <w:tc>
          <w:tcPr>
            <w:tcW w:type="dxa" w:w="6912"/>
            <w:vAlign w:val="top"/>
            <w:tcMar>
              <w:top w:w="45" w:type="dxa"/>
              <w:start w:w="55" w:type="dxa"/>
              <w:bottom w:w="45" w:type="dxa"/>
              <w:end w:w="55" w:type="dxa"/>
            </w:tcMar>
          </w:tcPr>
          <w:p>
            <w:pPr>
              <w:spacing w:after="0" w:line="240" w:lineRule="auto"/>
            </w:pPr>
            <w:r>
              <w:rPr>
                <w:rFonts w:ascii="Aptos" w:hAnsi="Aptos"/>
                <w:sz w:val="14"/>
              </w:rPr>
              <w:t>Knowledge, ADR/TDL, API, database, and security standards implement principle-specific acceptance gates.</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2091"/>
        <w:gridCol w:w="2091"/>
        <w:gridCol w:w="2091"/>
        <w:gridCol w:w="2091"/>
        <w:gridCol w:w="2091"/>
      </w:tblGrid>
      <w:tr>
        <w:trPr>
          <w:tblHeader w:val="true"/>
        </w:trPr>
        <w:tc>
          <w:tcPr>
            <w:tcW w:type="dxa" w:w="2592"/>
            <w:shd w:fill="1F4E79"/>
            <w:tcMar>
              <w:top w:w="50" w:type="dxa"/>
              <w:start w:w="55" w:type="dxa"/>
              <w:bottom w:w="50" w:type="dxa"/>
              <w:end w:w="55" w:type="dxa"/>
            </w:tcMar>
          </w:tcPr>
          <w:p>
            <w:pPr>
              <w:spacing w:after="0"/>
              <w:jc w:val="center"/>
            </w:pPr>
            <w:r>
              <w:rPr>
                <w:rFonts w:ascii="Aptos" w:hAnsi="Aptos"/>
                <w:b/>
                <w:color w:val="FFFFFF"/>
                <w:sz w:val="12"/>
              </w:rPr>
              <w:t>Activity</w:t>
            </w:r>
          </w:p>
        </w:tc>
        <w:tc>
          <w:tcPr>
            <w:tcW w:type="dxa" w:w="2015"/>
            <w:shd w:fill="1F4E79"/>
            <w:tcMar>
              <w:top w:w="50" w:type="dxa"/>
              <w:start w:w="55" w:type="dxa"/>
              <w:bottom w:w="50" w:type="dxa"/>
              <w:end w:w="55" w:type="dxa"/>
            </w:tcMar>
          </w:tcPr>
          <w:p>
            <w:pPr>
              <w:spacing w:after="0"/>
              <w:jc w:val="center"/>
            </w:pPr>
            <w:r>
              <w:rPr>
                <w:rFonts w:ascii="Aptos" w:hAnsi="Aptos"/>
                <w:b/>
                <w:color w:val="FFFFFF"/>
                <w:sz w:val="12"/>
              </w:rPr>
              <w:t>Responsible</w:t>
            </w:r>
          </w:p>
        </w:tc>
        <w:tc>
          <w:tcPr>
            <w:tcW w:type="dxa" w:w="2015"/>
            <w:shd w:fill="1F4E79"/>
            <w:tcMar>
              <w:top w:w="50" w:type="dxa"/>
              <w:start w:w="55" w:type="dxa"/>
              <w:bottom w:w="50" w:type="dxa"/>
              <w:end w:w="55" w:type="dxa"/>
            </w:tcMar>
          </w:tcPr>
          <w:p>
            <w:pPr>
              <w:spacing w:after="0"/>
              <w:jc w:val="center"/>
            </w:pPr>
            <w:r>
              <w:rPr>
                <w:rFonts w:ascii="Aptos" w:hAnsi="Aptos"/>
                <w:b/>
                <w:color w:val="FFFFFF"/>
                <w:sz w:val="12"/>
              </w:rPr>
              <w:t>Accountable</w:t>
            </w:r>
          </w:p>
        </w:tc>
        <w:tc>
          <w:tcPr>
            <w:tcW w:type="dxa" w:w="2160"/>
            <w:shd w:fill="1F4E79"/>
            <w:tcMar>
              <w:top w:w="50" w:type="dxa"/>
              <w:start w:w="55" w:type="dxa"/>
              <w:bottom w:w="50" w:type="dxa"/>
              <w:end w:w="55" w:type="dxa"/>
            </w:tcMar>
          </w:tcPr>
          <w:p>
            <w:pPr>
              <w:spacing w:after="0"/>
              <w:jc w:val="center"/>
            </w:pPr>
            <w:r>
              <w:rPr>
                <w:rFonts w:ascii="Aptos" w:hAnsi="Aptos"/>
                <w:b/>
                <w:color w:val="FFFFFF"/>
                <w:sz w:val="12"/>
              </w:rPr>
              <w:t>Consulted</w:t>
            </w:r>
          </w:p>
        </w:tc>
        <w:tc>
          <w:tcPr>
            <w:tcW w:type="dxa" w:w="1872"/>
            <w:shd w:fill="1F4E79"/>
            <w:tcMar>
              <w:top w:w="50" w:type="dxa"/>
              <w:start w:w="55" w:type="dxa"/>
              <w:bottom w:w="50" w:type="dxa"/>
              <w:end w:w="55" w:type="dxa"/>
            </w:tcMar>
          </w:tcPr>
          <w:p>
            <w:pPr>
              <w:spacing w:after="0"/>
              <w:jc w:val="center"/>
            </w:pPr>
            <w:r>
              <w:rPr>
                <w:rFonts w:ascii="Aptos" w:hAnsi="Aptos"/>
                <w:b/>
                <w:color w:val="FFFFFF"/>
                <w:sz w:val="12"/>
              </w:rPr>
              <w:t>Informed</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2"/>
              </w:rPr>
              <w:t>Approve architecture principles and blueprint</w:t>
            </w:r>
          </w:p>
        </w:tc>
        <w:tc>
          <w:tcPr>
            <w:tcW w:type="dxa" w:w="2015"/>
            <w:vAlign w:val="top"/>
            <w:tcMar>
              <w:top w:w="45" w:type="dxa"/>
              <w:start w:w="55" w:type="dxa"/>
              <w:bottom w:w="45" w:type="dxa"/>
              <w:end w:w="55" w:type="dxa"/>
            </w:tcMar>
          </w:tcPr>
          <w:p>
            <w:pPr>
              <w:spacing w:after="0" w:line="240" w:lineRule="auto"/>
            </w:pPr>
            <w:r>
              <w:rPr>
                <w:rFonts w:ascii="Aptos" w:hAnsi="Aptos"/>
                <w:sz w:val="12"/>
              </w:rPr>
              <w:t>Enterprise Architect / Solutions Architecture Office</w:t>
            </w:r>
          </w:p>
        </w:tc>
        <w:tc>
          <w:tcPr>
            <w:tcW w:type="dxa" w:w="2015"/>
            <w:vAlign w:val="top"/>
            <w:tcMar>
              <w:top w:w="45" w:type="dxa"/>
              <w:start w:w="55" w:type="dxa"/>
              <w:bottom w:w="45" w:type="dxa"/>
              <w:end w:w="55" w:type="dxa"/>
            </w:tcMar>
          </w:tcPr>
          <w:p>
            <w:pPr>
              <w:spacing w:after="0" w:line="240" w:lineRule="auto"/>
            </w:pPr>
            <w:r>
              <w:rPr>
                <w:rFonts w:ascii="Aptos" w:hAnsi="Aptos"/>
                <w:sz w:val="12"/>
              </w:rPr>
              <w:t>Solutions Architect / IT Head</w:t>
            </w:r>
          </w:p>
        </w:tc>
        <w:tc>
          <w:tcPr>
            <w:tcW w:type="dxa" w:w="2160"/>
            <w:vAlign w:val="top"/>
            <w:tcMar>
              <w:top w:w="45" w:type="dxa"/>
              <w:start w:w="55" w:type="dxa"/>
              <w:bottom w:w="45" w:type="dxa"/>
              <w:end w:w="55" w:type="dxa"/>
            </w:tcMar>
          </w:tcPr>
          <w:p>
            <w:pPr>
              <w:spacing w:after="0" w:line="240" w:lineRule="auto"/>
            </w:pPr>
            <w:r>
              <w:rPr>
                <w:rFonts w:ascii="Aptos" w:hAnsi="Aptos"/>
                <w:sz w:val="12"/>
              </w:rPr>
              <w:t>Security, DevSecOps, Development Lead, QA, DBA</w:t>
            </w:r>
          </w:p>
        </w:tc>
        <w:tc>
          <w:tcPr>
            <w:tcW w:type="dxa" w:w="1872"/>
            <w:vAlign w:val="top"/>
            <w:tcMar>
              <w:top w:w="45" w:type="dxa"/>
              <w:start w:w="55" w:type="dxa"/>
              <w:bottom w:w="45" w:type="dxa"/>
              <w:end w:w="55" w:type="dxa"/>
            </w:tcMar>
          </w:tcPr>
          <w:p>
            <w:pPr>
              <w:spacing w:after="0" w:line="240" w:lineRule="auto"/>
            </w:pPr>
            <w:r>
              <w:rPr>
                <w:rFonts w:ascii="Aptos" w:hAnsi="Aptos"/>
                <w:sz w:val="12"/>
              </w:rPr>
              <w:t>Development team, Internal Audit</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2"/>
              </w:rPr>
              <w:t>Maintain service boundaries</w:t>
            </w:r>
          </w:p>
        </w:tc>
        <w:tc>
          <w:tcPr>
            <w:tcW w:type="dxa" w:w="2015"/>
            <w:vAlign w:val="top"/>
            <w:tcMar>
              <w:top w:w="45" w:type="dxa"/>
              <w:start w:w="55" w:type="dxa"/>
              <w:bottom w:w="45" w:type="dxa"/>
              <w:end w:w="55" w:type="dxa"/>
            </w:tcMar>
          </w:tcPr>
          <w:p>
            <w:pPr>
              <w:spacing w:after="0" w:line="240" w:lineRule="auto"/>
            </w:pPr>
            <w:r>
              <w:rPr>
                <w:rFonts w:ascii="Aptos" w:hAnsi="Aptos"/>
                <w:sz w:val="12"/>
              </w:rPr>
              <w:t>Development Leads</w:t>
            </w:r>
          </w:p>
        </w:tc>
        <w:tc>
          <w:tcPr>
            <w:tcW w:type="dxa" w:w="2015"/>
            <w:vAlign w:val="top"/>
            <w:tcMar>
              <w:top w:w="45" w:type="dxa"/>
              <w:start w:w="55" w:type="dxa"/>
              <w:bottom w:w="45" w:type="dxa"/>
              <w:end w:w="55" w:type="dxa"/>
            </w:tcMar>
          </w:tcPr>
          <w:p>
            <w:pPr>
              <w:spacing w:after="0" w:line="240" w:lineRule="auto"/>
            </w:pPr>
            <w:r>
              <w:rPr>
                <w:rFonts w:ascii="Aptos" w:hAnsi="Aptos"/>
                <w:sz w:val="12"/>
              </w:rPr>
              <w:t>Enterprise Architect</w:t>
            </w:r>
          </w:p>
        </w:tc>
        <w:tc>
          <w:tcPr>
            <w:tcW w:type="dxa" w:w="2160"/>
            <w:vAlign w:val="top"/>
            <w:tcMar>
              <w:top w:w="45" w:type="dxa"/>
              <w:start w:w="55" w:type="dxa"/>
              <w:bottom w:w="45" w:type="dxa"/>
              <w:end w:w="55" w:type="dxa"/>
            </w:tcMar>
          </w:tcPr>
          <w:p>
            <w:pPr>
              <w:spacing w:after="0" w:line="240" w:lineRule="auto"/>
            </w:pPr>
            <w:r>
              <w:rPr>
                <w:rFonts w:ascii="Aptos" w:hAnsi="Aptos"/>
                <w:sz w:val="12"/>
              </w:rPr>
              <w:t>Domain SMEs, DBA, Security</w:t>
            </w:r>
          </w:p>
        </w:tc>
        <w:tc>
          <w:tcPr>
            <w:tcW w:type="dxa" w:w="1872"/>
            <w:vAlign w:val="top"/>
            <w:tcMar>
              <w:top w:w="45" w:type="dxa"/>
              <w:start w:w="55" w:type="dxa"/>
              <w:bottom w:w="45" w:type="dxa"/>
              <w:end w:w="55" w:type="dxa"/>
            </w:tcMar>
          </w:tcPr>
          <w:p>
            <w:pPr>
              <w:spacing w:after="0" w:line="240" w:lineRule="auto"/>
            </w:pPr>
            <w:r>
              <w:rPr>
                <w:rFonts w:ascii="Aptos" w:hAnsi="Aptos"/>
                <w:sz w:val="12"/>
              </w:rPr>
              <w:t>Developers, QA</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2"/>
              </w:rPr>
              <w:t>Enforce fitness functions</w:t>
            </w:r>
          </w:p>
        </w:tc>
        <w:tc>
          <w:tcPr>
            <w:tcW w:type="dxa" w:w="2015"/>
            <w:vAlign w:val="top"/>
            <w:tcMar>
              <w:top w:w="45" w:type="dxa"/>
              <w:start w:w="55" w:type="dxa"/>
              <w:bottom w:w="45" w:type="dxa"/>
              <w:end w:w="55" w:type="dxa"/>
            </w:tcMar>
          </w:tcPr>
          <w:p>
            <w:pPr>
              <w:spacing w:after="0" w:line="240" w:lineRule="auto"/>
            </w:pPr>
            <w:r>
              <w:rPr>
                <w:rFonts w:ascii="Aptos" w:hAnsi="Aptos"/>
                <w:sz w:val="12"/>
              </w:rPr>
              <w:t>DevSecOps / QA</w:t>
            </w:r>
          </w:p>
        </w:tc>
        <w:tc>
          <w:tcPr>
            <w:tcW w:type="dxa" w:w="2015"/>
            <w:vAlign w:val="top"/>
            <w:tcMar>
              <w:top w:w="45" w:type="dxa"/>
              <w:start w:w="55" w:type="dxa"/>
              <w:bottom w:w="45" w:type="dxa"/>
              <w:end w:w="55" w:type="dxa"/>
            </w:tcMar>
          </w:tcPr>
          <w:p>
            <w:pPr>
              <w:spacing w:after="0" w:line="240" w:lineRule="auto"/>
            </w:pPr>
            <w:r>
              <w:rPr>
                <w:rFonts w:ascii="Aptos" w:hAnsi="Aptos"/>
                <w:sz w:val="12"/>
              </w:rPr>
              <w:t>AI DevSecOps Lead</w:t>
            </w:r>
          </w:p>
        </w:tc>
        <w:tc>
          <w:tcPr>
            <w:tcW w:type="dxa" w:w="2160"/>
            <w:vAlign w:val="top"/>
            <w:tcMar>
              <w:top w:w="45" w:type="dxa"/>
              <w:start w:w="55" w:type="dxa"/>
              <w:bottom w:w="45" w:type="dxa"/>
              <w:end w:w="55" w:type="dxa"/>
            </w:tcMar>
          </w:tcPr>
          <w:p>
            <w:pPr>
              <w:spacing w:after="0" w:line="240" w:lineRule="auto"/>
            </w:pPr>
            <w:r>
              <w:rPr>
                <w:rFonts w:ascii="Aptos" w:hAnsi="Aptos"/>
                <w:sz w:val="12"/>
              </w:rPr>
              <w:t>Development Lead, Security</w:t>
            </w:r>
          </w:p>
        </w:tc>
        <w:tc>
          <w:tcPr>
            <w:tcW w:type="dxa" w:w="1872"/>
            <w:vAlign w:val="top"/>
            <w:tcMar>
              <w:top w:w="45" w:type="dxa"/>
              <w:start w:w="55" w:type="dxa"/>
              <w:bottom w:w="45" w:type="dxa"/>
              <w:end w:w="55" w:type="dxa"/>
            </w:tcMar>
          </w:tcPr>
          <w:p>
            <w:pPr>
              <w:spacing w:after="0" w:line="240" w:lineRule="auto"/>
            </w:pPr>
            <w:r>
              <w:rPr>
                <w:rFonts w:ascii="Aptos" w:hAnsi="Aptos"/>
                <w:sz w:val="12"/>
              </w:rPr>
              <w:t>All engineers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2"/>
              </w:rPr>
              <w:t>Approve Auto-Heal remediation</w:t>
            </w:r>
          </w:p>
        </w:tc>
        <w:tc>
          <w:tcPr>
            <w:tcW w:type="dxa" w:w="2015"/>
            <w:vAlign w:val="top"/>
            <w:tcMar>
              <w:top w:w="45" w:type="dxa"/>
              <w:start w:w="55" w:type="dxa"/>
              <w:bottom w:w="45" w:type="dxa"/>
              <w:end w:w="55" w:type="dxa"/>
            </w:tcMar>
          </w:tcPr>
          <w:p>
            <w:pPr>
              <w:spacing w:after="0" w:line="240" w:lineRule="auto"/>
            </w:pPr>
            <w:r>
              <w:rPr>
                <w:rFonts w:ascii="Aptos" w:hAnsi="Aptos"/>
                <w:sz w:val="12"/>
              </w:rPr>
              <w:t>Development Lead / SRE</w:t>
            </w:r>
          </w:p>
        </w:tc>
        <w:tc>
          <w:tcPr>
            <w:tcW w:type="dxa" w:w="2015"/>
            <w:vAlign w:val="top"/>
            <w:tcMar>
              <w:top w:w="45" w:type="dxa"/>
              <w:start w:w="55" w:type="dxa"/>
              <w:bottom w:w="45" w:type="dxa"/>
              <w:end w:w="55" w:type="dxa"/>
            </w:tcMar>
          </w:tcPr>
          <w:p>
            <w:pPr>
              <w:spacing w:after="0" w:line="240" w:lineRule="auto"/>
            </w:pPr>
            <w:r>
              <w:rPr>
                <w:rFonts w:ascii="Aptos" w:hAnsi="Aptos"/>
                <w:sz w:val="12"/>
              </w:rPr>
              <w:t>Change Owner</w:t>
            </w:r>
          </w:p>
        </w:tc>
        <w:tc>
          <w:tcPr>
            <w:tcW w:type="dxa" w:w="2160"/>
            <w:vAlign w:val="top"/>
            <w:tcMar>
              <w:top w:w="45" w:type="dxa"/>
              <w:start w:w="55" w:type="dxa"/>
              <w:bottom w:w="45" w:type="dxa"/>
              <w:end w:w="55" w:type="dxa"/>
            </w:tcMar>
          </w:tcPr>
          <w:p>
            <w:pPr>
              <w:spacing w:after="0" w:line="240" w:lineRule="auto"/>
            </w:pPr>
            <w:r>
              <w:rPr>
                <w:rFonts w:ascii="Aptos" w:hAnsi="Aptos"/>
                <w:sz w:val="12"/>
              </w:rPr>
              <w:t>Security, QA, Architecture</w:t>
            </w:r>
          </w:p>
        </w:tc>
        <w:tc>
          <w:tcPr>
            <w:tcW w:type="dxa" w:w="1872"/>
            <w:vAlign w:val="top"/>
            <w:tcMar>
              <w:top w:w="45" w:type="dxa"/>
              <w:start w:w="55" w:type="dxa"/>
              <w:bottom w:w="45" w:type="dxa"/>
              <w:end w:w="55" w:type="dxa"/>
            </w:tcMar>
          </w:tcPr>
          <w:p>
            <w:pPr>
              <w:spacing w:after="0" w:line="240" w:lineRule="auto"/>
            </w:pPr>
            <w:r>
              <w:rPr>
                <w:rFonts w:ascii="Aptos" w:hAnsi="Aptos"/>
                <w:sz w:val="12"/>
              </w:rPr>
              <w:t>CAB, affected teams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2"/>
              </w:rPr>
              <w:t>Promote Auto-Learn knowledge</w:t>
            </w:r>
          </w:p>
        </w:tc>
        <w:tc>
          <w:tcPr>
            <w:tcW w:type="dxa" w:w="2015"/>
            <w:vAlign w:val="top"/>
            <w:tcMar>
              <w:top w:w="45" w:type="dxa"/>
              <w:start w:w="55" w:type="dxa"/>
              <w:bottom w:w="45" w:type="dxa"/>
              <w:end w:w="55" w:type="dxa"/>
            </w:tcMar>
          </w:tcPr>
          <w:p>
            <w:pPr>
              <w:spacing w:after="0" w:line="240" w:lineRule="auto"/>
            </w:pPr>
            <w:r>
              <w:rPr>
                <w:rFonts w:ascii="Aptos" w:hAnsi="Aptos"/>
                <w:sz w:val="12"/>
              </w:rPr>
              <w:t>Knowledge Steward</w:t>
            </w:r>
          </w:p>
        </w:tc>
        <w:tc>
          <w:tcPr>
            <w:tcW w:type="dxa" w:w="2015"/>
            <w:vAlign w:val="top"/>
            <w:tcMar>
              <w:top w:w="45" w:type="dxa"/>
              <w:start w:w="55" w:type="dxa"/>
              <w:bottom w:w="45" w:type="dxa"/>
              <w:end w:w="55" w:type="dxa"/>
            </w:tcMar>
          </w:tcPr>
          <w:p>
            <w:pPr>
              <w:spacing w:after="0" w:line="240" w:lineRule="auto"/>
            </w:pPr>
            <w:r>
              <w:rPr>
                <w:rFonts w:ascii="Aptos" w:hAnsi="Aptos"/>
                <w:sz w:val="12"/>
              </w:rPr>
              <w:t>Domain Owner</w:t>
            </w:r>
          </w:p>
        </w:tc>
        <w:tc>
          <w:tcPr>
            <w:tcW w:type="dxa" w:w="2160"/>
            <w:vAlign w:val="top"/>
            <w:tcMar>
              <w:top w:w="45" w:type="dxa"/>
              <w:start w:w="55" w:type="dxa"/>
              <w:bottom w:w="45" w:type="dxa"/>
              <w:end w:w="55" w:type="dxa"/>
            </w:tcMar>
          </w:tcPr>
          <w:p>
            <w:pPr>
              <w:spacing w:after="0" w:line="240" w:lineRule="auto"/>
            </w:pPr>
            <w:r>
              <w:rPr>
                <w:rFonts w:ascii="Aptos" w:hAnsi="Aptos"/>
                <w:sz w:val="12"/>
              </w:rPr>
              <w:t>Architecture, Security, QA</w:t>
            </w:r>
          </w:p>
        </w:tc>
        <w:tc>
          <w:tcPr>
            <w:tcW w:type="dxa" w:w="1872"/>
            <w:vAlign w:val="top"/>
            <w:tcMar>
              <w:top w:w="45" w:type="dxa"/>
              <w:start w:w="55" w:type="dxa"/>
              <w:bottom w:w="45" w:type="dxa"/>
              <w:end w:w="55" w:type="dxa"/>
            </w:tcMar>
          </w:tcPr>
          <w:p>
            <w:pPr>
              <w:spacing w:after="0" w:line="240" w:lineRule="auto"/>
            </w:pPr>
            <w:r>
              <w:rPr>
                <w:rFonts w:ascii="Aptos" w:hAnsi="Aptos"/>
                <w:sz w:val="12"/>
              </w:rPr>
              <w:t>Developers and AI users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2"/>
              </w:rPr>
              <w:t>Approve principle waiver</w:t>
            </w:r>
          </w:p>
        </w:tc>
        <w:tc>
          <w:tcPr>
            <w:tcW w:type="dxa" w:w="2015"/>
            <w:vAlign w:val="top"/>
            <w:tcMar>
              <w:top w:w="45" w:type="dxa"/>
              <w:start w:w="55" w:type="dxa"/>
              <w:bottom w:w="45" w:type="dxa"/>
              <w:end w:w="55" w:type="dxa"/>
            </w:tcMar>
          </w:tcPr>
          <w:p>
            <w:pPr>
              <w:spacing w:after="0" w:line="240" w:lineRule="auto"/>
            </w:pPr>
            <w:r>
              <w:rPr>
                <w:rFonts w:ascii="Aptos" w:hAnsi="Aptos"/>
                <w:sz w:val="12"/>
              </w:rPr>
              <w:t>Requesting Owner</w:t>
            </w:r>
          </w:p>
        </w:tc>
        <w:tc>
          <w:tcPr>
            <w:tcW w:type="dxa" w:w="2015"/>
            <w:vAlign w:val="top"/>
            <w:tcMar>
              <w:top w:w="45" w:type="dxa"/>
              <w:start w:w="55" w:type="dxa"/>
              <w:bottom w:w="45" w:type="dxa"/>
              <w:end w:w="55" w:type="dxa"/>
            </w:tcMar>
          </w:tcPr>
          <w:p>
            <w:pPr>
              <w:spacing w:after="0" w:line="240" w:lineRule="auto"/>
            </w:pPr>
            <w:r>
              <w:rPr>
                <w:rFonts w:ascii="Aptos" w:hAnsi="Aptos"/>
                <w:sz w:val="12"/>
              </w:rPr>
              <w:t>Architecture Board / CAB</w:t>
            </w:r>
          </w:p>
        </w:tc>
        <w:tc>
          <w:tcPr>
            <w:tcW w:type="dxa" w:w="2160"/>
            <w:vAlign w:val="top"/>
            <w:tcMar>
              <w:top w:w="45" w:type="dxa"/>
              <w:start w:w="55" w:type="dxa"/>
              <w:bottom w:w="45" w:type="dxa"/>
              <w:end w:w="55" w:type="dxa"/>
            </w:tcMar>
          </w:tcPr>
          <w:p>
            <w:pPr>
              <w:spacing w:after="0" w:line="240" w:lineRule="auto"/>
            </w:pPr>
            <w:r>
              <w:rPr>
                <w:rFonts w:ascii="Aptos" w:hAnsi="Aptos"/>
                <w:sz w:val="12"/>
              </w:rPr>
              <w:t>Risk Owner, Security, Compliance</w:t>
            </w:r>
          </w:p>
        </w:tc>
        <w:tc>
          <w:tcPr>
            <w:tcW w:type="dxa" w:w="1872"/>
            <w:vAlign w:val="top"/>
            <w:tcMar>
              <w:top w:w="45" w:type="dxa"/>
              <w:start w:w="55" w:type="dxa"/>
              <w:bottom w:w="45" w:type="dxa"/>
              <w:end w:w="55" w:type="dxa"/>
            </w:tcMar>
          </w:tcPr>
          <w:p>
            <w:pPr>
              <w:spacing w:after="0" w:line="240" w:lineRule="auto"/>
            </w:pPr>
            <w:r>
              <w:rPr>
                <w:rFonts w:ascii="Aptos" w:hAnsi="Aptos"/>
                <w:sz w:val="12"/>
              </w:rPr>
              <w:t>Internal Audit</w:t>
            </w:r>
          </w:p>
        </w:tc>
      </w:tr>
    </w:tbl>
    <w:p/>
    <w:p>
      <w:pPr>
        <w:pStyle w:val="Heading2"/>
        <w:keepNext/>
        <w:spacing w:before="120" w:after="80"/>
      </w:pPr>
    </w:p>
    <w:p>
      <w:pPr>
        <w:pStyle w:val="ListBullet"/>
        <w:spacing w:after="40"/>
        <w:ind w:left="259"/>
      </w:pPr>
      <w:r>
        <w:rPr>
          <w:rFonts w:ascii="Aptos" w:hAnsi="Aptos"/>
          <w:sz w:val="17"/>
        </w:rPr>
        <w:t>Architecture Review Board: approves architecture invariants, major boundaries, ADRs, material waivers, and blueprint revisions.</w:t>
      </w:r>
    </w:p>
    <w:p>
      <w:pPr>
        <w:pStyle w:val="ListBullet"/>
        <w:spacing w:after="40"/>
        <w:ind w:left="259"/>
      </w:pPr>
      <w:r>
        <w:rPr>
          <w:rFonts w:ascii="Aptos" w:hAnsi="Aptos"/>
          <w:sz w:val="17"/>
        </w:rPr>
        <w:t>Change Advisory Board: approves production-impacting changes, exception handling, release readiness, and break-glass reconciliation.</w:t>
      </w:r>
    </w:p>
    <w:p>
      <w:pPr>
        <w:pStyle w:val="ListBullet"/>
        <w:spacing w:after="40"/>
        <w:ind w:left="259"/>
      </w:pPr>
      <w:r>
        <w:rPr>
          <w:rFonts w:ascii="Aptos" w:hAnsi="Aptos"/>
          <w:sz w:val="17"/>
        </w:rPr>
        <w:t>Engineering Review: validates fitness functions, code quality, tests, architectural alignment, and readiness to merge.</w:t>
      </w:r>
    </w:p>
    <w:p>
      <w:pPr>
        <w:pStyle w:val="ListBullet"/>
        <w:spacing w:after="40"/>
        <w:ind w:left="259"/>
      </w:pPr>
      <w:r>
        <w:rPr>
          <w:rFonts w:ascii="Aptos" w:hAnsi="Aptos"/>
          <w:sz w:val="17"/>
        </w:rPr>
        <w:t>Knowledge Review: promotes Auto-Learn outputs, LLM Wiki artifacts, Obsidian notes, and retired/superseded references.</w:t>
      </w:r>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72"/>
            <w:shd w:fill="1F4E79"/>
            <w:tcMar>
              <w:top w:w="50" w:type="dxa"/>
              <w:start w:w="55" w:type="dxa"/>
              <w:bottom w:w="50" w:type="dxa"/>
              <w:end w:w="55" w:type="dxa"/>
            </w:tcMar>
          </w:tcPr>
          <w:p>
            <w:pPr>
              <w:spacing w:after="0"/>
              <w:jc w:val="center"/>
            </w:pPr>
            <w:r>
              <w:rPr>
                <w:rFonts w:ascii="Aptos" w:hAnsi="Aptos"/>
                <w:b/>
                <w:color w:val="FFFFFF"/>
                <w:sz w:val="13"/>
              </w:rPr>
              <w:t>Phase</w:t>
            </w:r>
          </w:p>
        </w:tc>
        <w:tc>
          <w:tcPr>
            <w:tcW w:type="dxa" w:w="4031"/>
            <w:shd w:fill="1F4E79"/>
            <w:tcMar>
              <w:top w:w="50" w:type="dxa"/>
              <w:start w:w="55" w:type="dxa"/>
              <w:bottom w:w="50" w:type="dxa"/>
              <w:end w:w="55" w:type="dxa"/>
            </w:tcMar>
          </w:tcPr>
          <w:p>
            <w:pPr>
              <w:spacing w:after="0"/>
              <w:jc w:val="center"/>
            </w:pPr>
            <w:r>
              <w:rPr>
                <w:rFonts w:ascii="Aptos" w:hAnsi="Aptos"/>
                <w:b/>
                <w:color w:val="FFFFFF"/>
                <w:sz w:val="13"/>
              </w:rPr>
              <w:t>Objective</w:t>
            </w:r>
          </w:p>
        </w:tc>
        <w:tc>
          <w:tcPr>
            <w:tcW w:type="dxa" w:w="4176"/>
            <w:shd w:fill="1F4E79"/>
            <w:tcMar>
              <w:top w:w="50" w:type="dxa"/>
              <w:start w:w="55" w:type="dxa"/>
              <w:bottom w:w="50" w:type="dxa"/>
              <w:end w:w="55" w:type="dxa"/>
            </w:tcMar>
          </w:tcPr>
          <w:p>
            <w:pPr>
              <w:spacing w:after="0"/>
              <w:jc w:val="center"/>
            </w:pPr>
            <w:r>
              <w:rPr>
                <w:rFonts w:ascii="Aptos" w:hAnsi="Aptos"/>
                <w:b/>
                <w:color w:val="FFFFFF"/>
                <w:sz w:val="13"/>
              </w:rPr>
              <w:t>Exit Criteria</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P1 - Adopt v5.0 Blueprint</w:t>
            </w:r>
          </w:p>
        </w:tc>
        <w:tc>
          <w:tcPr>
            <w:tcW w:type="dxa" w:w="4031"/>
            <w:vAlign w:val="top"/>
            <w:tcMar>
              <w:top w:w="45" w:type="dxa"/>
              <w:start w:w="55" w:type="dxa"/>
              <w:bottom w:w="45" w:type="dxa"/>
              <w:end w:w="55" w:type="dxa"/>
            </w:tcMar>
          </w:tcPr>
          <w:p>
            <w:pPr>
              <w:spacing w:after="0" w:line="240" w:lineRule="auto"/>
            </w:pPr>
            <w:r>
              <w:rPr>
                <w:rFonts w:ascii="Aptos" w:hAnsi="Aptos"/>
                <w:sz w:val="13"/>
              </w:rPr>
              <w:t>Approve this blueprint and align with ADR-AIRA-2026-001, 01A, and AVCI v3.0.</w:t>
            </w:r>
          </w:p>
        </w:tc>
        <w:tc>
          <w:tcPr>
            <w:tcW w:type="dxa" w:w="4176"/>
            <w:vAlign w:val="top"/>
            <w:tcMar>
              <w:top w:w="45" w:type="dxa"/>
              <w:start w:w="55" w:type="dxa"/>
              <w:bottom w:w="45" w:type="dxa"/>
              <w:end w:w="55" w:type="dxa"/>
            </w:tcMar>
          </w:tcPr>
          <w:p>
            <w:pPr>
              <w:spacing w:after="0" w:line="240" w:lineRule="auto"/>
            </w:pPr>
            <w:r>
              <w:rPr>
                <w:rFonts w:ascii="Aptos" w:hAnsi="Aptos"/>
                <w:sz w:val="13"/>
              </w:rPr>
              <w:t>Board/CAB approval, document registry updated, obsolete v4.0 marked superseded.</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P2 - Update developer enforcement</w:t>
            </w:r>
          </w:p>
        </w:tc>
        <w:tc>
          <w:tcPr>
            <w:tcW w:type="dxa" w:w="4031"/>
            <w:vAlign w:val="top"/>
            <w:tcMar>
              <w:top w:w="45" w:type="dxa"/>
              <w:start w:w="55" w:type="dxa"/>
              <w:bottom w:w="45" w:type="dxa"/>
              <w:end w:w="55" w:type="dxa"/>
            </w:tcMar>
          </w:tcPr>
          <w:p>
            <w:pPr>
              <w:spacing w:after="0" w:line="240" w:lineRule="auto"/>
            </w:pPr>
            <w:r>
              <w:rPr>
                <w:rFonts w:ascii="Aptos" w:hAnsi="Aptos"/>
                <w:sz w:val="13"/>
              </w:rPr>
              <w:t>Revise Developer Guide, CLAUDE.md, Unit Testing, DevSecOps, and MicroFunction standards.</w:t>
            </w:r>
          </w:p>
        </w:tc>
        <w:tc>
          <w:tcPr>
            <w:tcW w:type="dxa" w:w="4176"/>
            <w:vAlign w:val="top"/>
            <w:tcMar>
              <w:top w:w="45" w:type="dxa"/>
              <w:start w:w="55" w:type="dxa"/>
              <w:bottom w:w="45" w:type="dxa"/>
              <w:end w:w="55" w:type="dxa"/>
            </w:tcMar>
          </w:tcPr>
          <w:p>
            <w:pPr>
              <w:spacing w:after="0" w:line="240" w:lineRule="auto"/>
            </w:pPr>
            <w:r>
              <w:rPr>
                <w:rFonts w:ascii="Aptos" w:hAnsi="Aptos"/>
                <w:sz w:val="13"/>
              </w:rPr>
              <w:t>Repository rules, PR templates, and CI gates updated.</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P3 - Implement fitness functions</w:t>
            </w:r>
          </w:p>
        </w:tc>
        <w:tc>
          <w:tcPr>
            <w:tcW w:type="dxa" w:w="4031"/>
            <w:vAlign w:val="top"/>
            <w:tcMar>
              <w:top w:w="45" w:type="dxa"/>
              <w:start w:w="55" w:type="dxa"/>
              <w:bottom w:w="45" w:type="dxa"/>
              <w:end w:w="55" w:type="dxa"/>
            </w:tcMar>
          </w:tcPr>
          <w:p>
            <w:pPr>
              <w:spacing w:after="0" w:line="240" w:lineRule="auto"/>
            </w:pPr>
            <w:r>
              <w:rPr>
                <w:rFonts w:ascii="Aptos" w:hAnsi="Aptos"/>
                <w:sz w:val="13"/>
              </w:rPr>
              <w:t>Implement initial architecture tests, import bans, contract checks, policy tests, and guardrail tests.</w:t>
            </w:r>
          </w:p>
        </w:tc>
        <w:tc>
          <w:tcPr>
            <w:tcW w:type="dxa" w:w="4176"/>
            <w:vAlign w:val="top"/>
            <w:tcMar>
              <w:top w:w="45" w:type="dxa"/>
              <w:start w:w="55" w:type="dxa"/>
              <w:bottom w:w="45" w:type="dxa"/>
              <w:end w:w="55" w:type="dxa"/>
            </w:tcMar>
          </w:tcPr>
          <w:p>
            <w:pPr>
              <w:spacing w:after="0" w:line="240" w:lineRule="auto"/>
            </w:pPr>
            <w:r>
              <w:rPr>
                <w:rFonts w:ascii="Aptos" w:hAnsi="Aptos"/>
                <w:sz w:val="13"/>
              </w:rPr>
              <w:t>Fitness functions FF-01 through FF-10 running in CI with evidence retention.</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P4 - Apply to foundation code</w:t>
            </w:r>
          </w:p>
        </w:tc>
        <w:tc>
          <w:tcPr>
            <w:tcW w:type="dxa" w:w="4031"/>
            <w:vAlign w:val="top"/>
            <w:tcMar>
              <w:top w:w="45" w:type="dxa"/>
              <w:start w:w="55" w:type="dxa"/>
              <w:bottom w:w="45" w:type="dxa"/>
              <w:end w:w="55" w:type="dxa"/>
            </w:tcMar>
          </w:tcPr>
          <w:p>
            <w:pPr>
              <w:spacing w:after="0" w:line="240" w:lineRule="auto"/>
            </w:pPr>
            <w:r>
              <w:rPr>
                <w:rFonts w:ascii="Aptos" w:hAnsi="Aptos"/>
                <w:sz w:val="13"/>
              </w:rPr>
              <w:t>Use the blueprint to build repository skeleton, service boundaries, MicroFunction runtime, and CI/CD foundation.</w:t>
            </w:r>
          </w:p>
        </w:tc>
        <w:tc>
          <w:tcPr>
            <w:tcW w:type="dxa" w:w="4176"/>
            <w:vAlign w:val="top"/>
            <w:tcMar>
              <w:top w:w="45" w:type="dxa"/>
              <w:start w:w="55" w:type="dxa"/>
              <w:bottom w:w="45" w:type="dxa"/>
              <w:end w:w="55" w:type="dxa"/>
            </w:tcMar>
          </w:tcPr>
          <w:p>
            <w:pPr>
              <w:spacing w:after="0" w:line="240" w:lineRule="auto"/>
            </w:pPr>
            <w:r>
              <w:rPr>
                <w:rFonts w:ascii="Aptos" w:hAnsi="Aptos"/>
                <w:sz w:val="13"/>
              </w:rPr>
              <w:t>Foundation services pass architecture, unit, contract, security, and evidence gates.</w:t>
            </w:r>
          </w:p>
        </w:tc>
      </w:tr>
      <w:tr>
        <w:trPr>
          <w:cantSplit/>
        </w:trPr>
        <w:tc>
          <w:tcPr>
            <w:tcW w:type="dxa" w:w="1872"/>
            <w:vAlign w:val="top"/>
            <w:tcMar>
              <w:top w:w="45" w:type="dxa"/>
              <w:start w:w="55" w:type="dxa"/>
              <w:bottom w:w="45" w:type="dxa"/>
              <w:end w:w="55" w:type="dxa"/>
            </w:tcMar>
          </w:tcPr>
          <w:p>
            <w:pPr>
              <w:spacing w:after="0" w:line="240" w:lineRule="auto"/>
            </w:pPr>
            <w:r>
              <w:rPr>
                <w:rFonts w:ascii="Aptos" w:hAnsi="Aptos"/>
                <w:sz w:val="13"/>
              </w:rPr>
              <w:t>P5 - Govern Auto-* loops</w:t>
            </w:r>
          </w:p>
        </w:tc>
        <w:tc>
          <w:tcPr>
            <w:tcW w:type="dxa" w:w="4031"/>
            <w:vAlign w:val="top"/>
            <w:tcMar>
              <w:top w:w="45" w:type="dxa"/>
              <w:start w:w="55" w:type="dxa"/>
              <w:bottom w:w="45" w:type="dxa"/>
              <w:end w:w="55" w:type="dxa"/>
            </w:tcMar>
          </w:tcPr>
          <w:p>
            <w:pPr>
              <w:spacing w:after="0" w:line="240" w:lineRule="auto"/>
            </w:pPr>
            <w:r>
              <w:rPr>
                <w:rFonts w:ascii="Aptos" w:hAnsi="Aptos"/>
                <w:sz w:val="13"/>
              </w:rPr>
              <w:t>Enable controlled Auto-Heal, Auto-Learn, and Auto-Improve proposals.</w:t>
            </w:r>
          </w:p>
        </w:tc>
        <w:tc>
          <w:tcPr>
            <w:tcW w:type="dxa" w:w="4176"/>
            <w:vAlign w:val="top"/>
            <w:tcMar>
              <w:top w:w="45" w:type="dxa"/>
              <w:start w:w="55" w:type="dxa"/>
              <w:bottom w:w="45" w:type="dxa"/>
              <w:end w:w="55" w:type="dxa"/>
            </w:tcMar>
          </w:tcPr>
          <w:p>
            <w:pPr>
              <w:spacing w:after="0" w:line="240" w:lineRule="auto"/>
            </w:pPr>
            <w:r>
              <w:rPr>
                <w:rFonts w:ascii="Aptos" w:hAnsi="Aptos"/>
                <w:sz w:val="13"/>
              </w:rPr>
              <w:t>Auto-* proposals require human review, test evidence, reversibility, and principle impact assessment.</w:t>
            </w:r>
          </w:p>
        </w:tc>
      </w:tr>
    </w:tbl>
    <w:p/>
    <w:p>
      <w:pPr>
        <w:pStyle w:val="Heading2"/>
        <w:keepNext/>
        <w:spacing w:before="120" w:after="80"/>
      </w:pPr>
    </w:p>
    <w:p>
      <w:pPr>
        <w:pStyle w:val="ListBullet"/>
        <w:spacing w:after="40"/>
        <w:ind w:left="259"/>
      </w:pPr>
      <w:r>
        <w:rPr>
          <w:rFonts w:ascii="Aptos" w:hAnsi="Aptos"/>
          <w:sz w:val="17"/>
        </w:rPr>
        <w:t>Every AIRA service has an owner, bounded context, data ownership statement, API/event contract, security model, and observability evidence requirement.</w:t>
      </w:r>
    </w:p>
    <w:p>
      <w:pPr>
        <w:pStyle w:val="ListBullet"/>
        <w:spacing w:after="40"/>
        <w:ind w:left="259"/>
      </w:pPr>
      <w:r>
        <w:rPr>
          <w:rFonts w:ascii="Aptos" w:hAnsi="Aptos"/>
          <w:sz w:val="17"/>
        </w:rPr>
        <w:t>All model traffic is governed through LiteLLM aliases and guardrail checkpoints; direct provider SDK usage is blocked.</w:t>
      </w:r>
    </w:p>
    <w:p>
      <w:pPr>
        <w:pStyle w:val="ListBullet"/>
        <w:spacing w:after="40"/>
        <w:ind w:left="259"/>
      </w:pPr>
      <w:r>
        <w:rPr>
          <w:rFonts w:ascii="Aptos" w:hAnsi="Aptos"/>
          <w:sz w:val="17"/>
        </w:rPr>
        <w:t>AI agent actions are routed through Harness, SBAC, OPA, trust scoring, audit, and human approval where required.</w:t>
      </w:r>
    </w:p>
    <w:p>
      <w:pPr>
        <w:pStyle w:val="ListBullet"/>
        <w:spacing w:after="40"/>
        <w:ind w:left="259"/>
      </w:pPr>
      <w:r>
        <w:rPr>
          <w:rFonts w:ascii="Aptos" w:hAnsi="Aptos"/>
          <w:sz w:val="17"/>
        </w:rPr>
        <w:t>Architecture fitness functions are defined, assigned, implemented in CI where possible, and linked to evidence retention.</w:t>
      </w:r>
    </w:p>
    <w:p>
      <w:pPr>
        <w:pStyle w:val="ListBullet"/>
        <w:spacing w:after="40"/>
        <w:ind w:left="259"/>
      </w:pPr>
      <w:r>
        <w:rPr>
          <w:rFonts w:ascii="Aptos" w:hAnsi="Aptos"/>
          <w:sz w:val="17"/>
        </w:rPr>
        <w:t>MicroFunction and workflow patterns preserve SOLID, Clean Architecture, DDD, ports/adapters, idempotency, observability, and reversibility.</w:t>
      </w:r>
    </w:p>
    <w:p>
      <w:pPr>
        <w:pStyle w:val="ListBullet"/>
        <w:spacing w:after="40"/>
        <w:ind w:left="259"/>
      </w:pPr>
      <w:r>
        <w:rPr>
          <w:rFonts w:ascii="Aptos" w:hAnsi="Aptos"/>
          <w:sz w:val="17"/>
        </w:rPr>
        <w:t>Cross-document revisions reference this blueprint, 01A, and AVCI v3.0 consistently.</w:t>
      </w:r>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3024"/>
            <w:shd w:fill="1F4E79"/>
            <w:tcMar>
              <w:top w:w="50" w:type="dxa"/>
              <w:start w:w="55" w:type="dxa"/>
              <w:bottom w:w="50" w:type="dxa"/>
              <w:end w:w="55" w:type="dxa"/>
            </w:tcMar>
          </w:tcPr>
          <w:p>
            <w:pPr>
              <w:spacing w:after="0"/>
              <w:jc w:val="center"/>
            </w:pPr>
            <w:r>
              <w:rPr>
                <w:rFonts w:ascii="Aptos" w:hAnsi="Aptos"/>
                <w:b/>
                <w:color w:val="FFFFFF"/>
                <w:sz w:val="14"/>
              </w:rPr>
              <w:t>Field</w:t>
            </w:r>
          </w:p>
        </w:tc>
        <w:tc>
          <w:tcPr>
            <w:tcW w:type="dxa" w:w="7056"/>
            <w:shd w:fill="1F4E79"/>
            <w:tcMar>
              <w:top w:w="50" w:type="dxa"/>
              <w:start w:w="55" w:type="dxa"/>
              <w:bottom w:w="50" w:type="dxa"/>
              <w:end w:w="55" w:type="dxa"/>
            </w:tcMar>
          </w:tcPr>
          <w:p>
            <w:pPr>
              <w:spacing w:after="0"/>
              <w:jc w:val="center"/>
            </w:pPr>
            <w:r>
              <w:rPr>
                <w:rFonts w:ascii="Aptos" w:hAnsi="Aptos"/>
                <w:b/>
                <w:color w:val="FFFFFF"/>
                <w:sz w:val="14"/>
              </w:rPr>
              <w:t>Description</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artifact_id</w:t>
            </w:r>
          </w:p>
        </w:tc>
        <w:tc>
          <w:tcPr>
            <w:tcW w:type="dxa" w:w="7056"/>
            <w:vAlign w:val="top"/>
            <w:tcMar>
              <w:top w:w="45" w:type="dxa"/>
              <w:start w:w="55" w:type="dxa"/>
              <w:bottom w:w="45" w:type="dxa"/>
              <w:end w:w="55" w:type="dxa"/>
            </w:tcMar>
          </w:tcPr>
          <w:p>
            <w:pPr>
              <w:spacing w:after="0" w:line="240" w:lineRule="auto"/>
            </w:pPr>
            <w:r>
              <w:rPr>
                <w:rFonts w:ascii="Aptos" w:hAnsi="Aptos"/>
                <w:sz w:val="14"/>
              </w:rPr>
              <w:t>Unique identifier of code, config, prompt, guardrail, policy, schema, MicroFunction, or document artifact.</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artifact_type</w:t>
            </w:r>
          </w:p>
        </w:tc>
        <w:tc>
          <w:tcPr>
            <w:tcW w:type="dxa" w:w="7056"/>
            <w:vAlign w:val="top"/>
            <w:tcMar>
              <w:top w:w="45" w:type="dxa"/>
              <w:start w:w="55" w:type="dxa"/>
              <w:bottom w:w="45" w:type="dxa"/>
              <w:end w:w="55" w:type="dxa"/>
            </w:tcMar>
          </w:tcPr>
          <w:p>
            <w:pPr>
              <w:spacing w:after="0" w:line="240" w:lineRule="auto"/>
            </w:pPr>
            <w:r>
              <w:rPr>
                <w:rFonts w:ascii="Aptos" w:hAnsi="Aptos"/>
                <w:sz w:val="14"/>
              </w:rPr>
              <w:t>Code, configuration, migration, contract, prompt, guardrail, model route, workflow, document, policy, test, or remediation.</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owner</w:t>
            </w:r>
          </w:p>
        </w:tc>
        <w:tc>
          <w:tcPr>
            <w:tcW w:type="dxa" w:w="7056"/>
            <w:vAlign w:val="top"/>
            <w:tcMar>
              <w:top w:w="45" w:type="dxa"/>
              <w:start w:w="55" w:type="dxa"/>
              <w:bottom w:w="45" w:type="dxa"/>
              <w:end w:w="55" w:type="dxa"/>
            </w:tcMar>
          </w:tcPr>
          <w:p>
            <w:pPr>
              <w:spacing w:after="0" w:line="240" w:lineRule="auto"/>
            </w:pPr>
            <w:r>
              <w:rPr>
                <w:rFonts w:ascii="Aptos" w:hAnsi="Aptos"/>
                <w:sz w:val="14"/>
              </w:rPr>
              <w:t>Named human owner accountable for the artifact.</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source_refs</w:t>
            </w:r>
          </w:p>
        </w:tc>
        <w:tc>
          <w:tcPr>
            <w:tcW w:type="dxa" w:w="7056"/>
            <w:vAlign w:val="top"/>
            <w:tcMar>
              <w:top w:w="45" w:type="dxa"/>
              <w:start w:w="55" w:type="dxa"/>
              <w:bottom w:w="45" w:type="dxa"/>
              <w:end w:w="55" w:type="dxa"/>
            </w:tcMar>
          </w:tcPr>
          <w:p>
            <w:pPr>
              <w:spacing w:after="0" w:line="240" w:lineRule="auto"/>
            </w:pPr>
            <w:r>
              <w:rPr>
                <w:rFonts w:ascii="Aptos" w:hAnsi="Aptos"/>
                <w:sz w:val="14"/>
              </w:rPr>
              <w:t>Ticket, ADR/TDL, requirement, commit, contract, or source document references.</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classification</w:t>
            </w:r>
          </w:p>
        </w:tc>
        <w:tc>
          <w:tcPr>
            <w:tcW w:type="dxa" w:w="7056"/>
            <w:vAlign w:val="top"/>
            <w:tcMar>
              <w:top w:w="45" w:type="dxa"/>
              <w:start w:w="55" w:type="dxa"/>
              <w:bottom w:w="45" w:type="dxa"/>
              <w:end w:w="55" w:type="dxa"/>
            </w:tcMar>
          </w:tcPr>
          <w:p>
            <w:pPr>
              <w:spacing w:after="0" w:line="240" w:lineRule="auto"/>
            </w:pPr>
            <w:r>
              <w:rPr>
                <w:rFonts w:ascii="Aptos" w:hAnsi="Aptos"/>
                <w:sz w:val="14"/>
              </w:rPr>
              <w:t>Public, Internal, Confidential, or Restricted classification and handling rules.</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principle_impact</w:t>
            </w:r>
          </w:p>
        </w:tc>
        <w:tc>
          <w:tcPr>
            <w:tcW w:type="dxa" w:w="7056"/>
            <w:vAlign w:val="top"/>
            <w:tcMar>
              <w:top w:w="45" w:type="dxa"/>
              <w:start w:w="55" w:type="dxa"/>
              <w:bottom w:w="45" w:type="dxa"/>
              <w:end w:w="55" w:type="dxa"/>
            </w:tcMar>
          </w:tcPr>
          <w:p>
            <w:pPr>
              <w:spacing w:after="0" w:line="240" w:lineRule="auto"/>
            </w:pPr>
            <w:r>
              <w:rPr>
                <w:rFonts w:ascii="Aptos" w:hAnsi="Aptos"/>
                <w:sz w:val="14"/>
              </w:rPr>
              <w:t>Positive, neutral, negative, or not applicable for relevant 01A principles.</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architecture_boundary_impact</w:t>
            </w:r>
          </w:p>
        </w:tc>
        <w:tc>
          <w:tcPr>
            <w:tcW w:type="dxa" w:w="7056"/>
            <w:vAlign w:val="top"/>
            <w:tcMar>
              <w:top w:w="45" w:type="dxa"/>
              <w:start w:w="55" w:type="dxa"/>
              <w:bottom w:w="45" w:type="dxa"/>
              <w:end w:w="55" w:type="dxa"/>
            </w:tcMar>
          </w:tcPr>
          <w:p>
            <w:pPr>
              <w:spacing w:after="0" w:line="240" w:lineRule="auto"/>
            </w:pPr>
            <w:r>
              <w:rPr>
                <w:rFonts w:ascii="Aptos" w:hAnsi="Aptos"/>
                <w:sz w:val="14"/>
              </w:rPr>
              <w:t>Affected service, bounded context, schema, API/event, workflow, data source, model route, or policy boundary.</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fitness_function_results</w:t>
            </w:r>
          </w:p>
        </w:tc>
        <w:tc>
          <w:tcPr>
            <w:tcW w:type="dxa" w:w="7056"/>
            <w:vAlign w:val="top"/>
            <w:tcMar>
              <w:top w:w="45" w:type="dxa"/>
              <w:start w:w="55" w:type="dxa"/>
              <w:bottom w:w="45" w:type="dxa"/>
              <w:end w:w="55" w:type="dxa"/>
            </w:tcMar>
          </w:tcPr>
          <w:p>
            <w:pPr>
              <w:spacing w:after="0" w:line="240" w:lineRule="auto"/>
            </w:pPr>
            <w:r>
              <w:rPr>
                <w:rFonts w:ascii="Aptos" w:hAnsi="Aptos"/>
                <w:sz w:val="14"/>
              </w:rPr>
              <w:t>Passed/failed/not-applicable results and evidence links for applicable fitness functions.</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security_impact</w:t>
            </w:r>
          </w:p>
        </w:tc>
        <w:tc>
          <w:tcPr>
            <w:tcW w:type="dxa" w:w="7056"/>
            <w:vAlign w:val="top"/>
            <w:tcMar>
              <w:top w:w="45" w:type="dxa"/>
              <w:start w:w="55" w:type="dxa"/>
              <w:bottom w:w="45" w:type="dxa"/>
              <w:end w:w="55" w:type="dxa"/>
            </w:tcMar>
          </w:tcPr>
          <w:p>
            <w:pPr>
              <w:spacing w:after="0" w:line="240" w:lineRule="auto"/>
            </w:pPr>
            <w:r>
              <w:rPr>
                <w:rFonts w:ascii="Aptos" w:hAnsi="Aptos"/>
                <w:sz w:val="14"/>
              </w:rPr>
              <w:t>Authentication, authorization, secrets, logging, data classification, model routing, and access-control impact.</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testability_impact</w:t>
            </w:r>
          </w:p>
        </w:tc>
        <w:tc>
          <w:tcPr>
            <w:tcW w:type="dxa" w:w="7056"/>
            <w:vAlign w:val="top"/>
            <w:tcMar>
              <w:top w:w="45" w:type="dxa"/>
              <w:start w:w="55" w:type="dxa"/>
              <w:bottom w:w="45" w:type="dxa"/>
              <w:end w:w="55" w:type="dxa"/>
            </w:tcMar>
          </w:tcPr>
          <w:p>
            <w:pPr>
              <w:spacing w:after="0" w:line="240" w:lineRule="auto"/>
            </w:pPr>
            <w:r>
              <w:rPr>
                <w:rFonts w:ascii="Aptos" w:hAnsi="Aptos"/>
                <w:sz w:val="14"/>
              </w:rPr>
              <w:t>Unit, component, contract, policy, guardrail, architecture, and regression test impact.</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reversibility_plan</w:t>
            </w:r>
          </w:p>
        </w:tc>
        <w:tc>
          <w:tcPr>
            <w:tcW w:type="dxa" w:w="7056"/>
            <w:vAlign w:val="top"/>
            <w:tcMar>
              <w:top w:w="45" w:type="dxa"/>
              <w:start w:w="55" w:type="dxa"/>
              <w:bottom w:w="45" w:type="dxa"/>
              <w:end w:w="55" w:type="dxa"/>
            </w:tcMar>
          </w:tcPr>
          <w:p>
            <w:pPr>
              <w:spacing w:after="0" w:line="240" w:lineRule="auto"/>
            </w:pPr>
            <w:r>
              <w:rPr>
                <w:rFonts w:ascii="Aptos" w:hAnsi="Aptos"/>
                <w:sz w:val="14"/>
              </w:rPr>
              <w:t>Rollback, forward-fix, compensation, feature flag, deactivation, or rebuild path.</w:t>
            </w:r>
          </w:p>
        </w:tc>
      </w:tr>
      <w:tr>
        <w:trPr>
          <w:cantSplit/>
        </w:trPr>
        <w:tc>
          <w:tcPr>
            <w:tcW w:type="dxa" w:w="3024"/>
            <w:vAlign w:val="top"/>
            <w:tcMar>
              <w:top w:w="45" w:type="dxa"/>
              <w:start w:w="55" w:type="dxa"/>
              <w:bottom w:w="45" w:type="dxa"/>
              <w:end w:w="55" w:type="dxa"/>
            </w:tcMar>
          </w:tcPr>
          <w:p>
            <w:pPr>
              <w:spacing w:after="0" w:line="240" w:lineRule="auto"/>
            </w:pPr>
            <w:r>
              <w:rPr>
                <w:rFonts w:ascii="Aptos" w:hAnsi="Aptos"/>
                <w:sz w:val="14"/>
              </w:rPr>
              <w:t>approval_state</w:t>
            </w:r>
          </w:p>
        </w:tc>
        <w:tc>
          <w:tcPr>
            <w:tcW w:type="dxa" w:w="7056"/>
            <w:vAlign w:val="top"/>
            <w:tcMar>
              <w:top w:w="45" w:type="dxa"/>
              <w:start w:w="55" w:type="dxa"/>
              <w:bottom w:w="45" w:type="dxa"/>
              <w:end w:w="55" w:type="dxa"/>
            </w:tcMar>
          </w:tcPr>
          <w:p>
            <w:pPr>
              <w:spacing w:after="0" w:line="240" w:lineRule="auto"/>
            </w:pPr>
            <w:r>
              <w:rPr>
                <w:rFonts w:ascii="Aptos" w:hAnsi="Aptos"/>
                <w:sz w:val="14"/>
              </w:rPr>
              <w:t>Draft, reviewed, approved, waived, superseded, or retired.</w:t>
            </w:r>
          </w:p>
        </w:tc>
      </w:tr>
    </w:tbl>
    <w:p/>
    <w:p>
      <w:pPr>
        <w:pStyle w:val="Heading1"/>
        <w:keepNext/>
        <w:spacing w:before="160" w:after="80"/>
      </w:pPr>
    </w:p>
    <w:p>
      <w:pPr>
        <w:spacing w:after="40"/>
      </w:pPr>
      <w:r>
        <w:rPr>
          <w:rFonts w:ascii="Aptos" w:hAnsi="Aptos"/>
          <w:b/>
          <w:color w:val="1F4E79"/>
          <w:sz w:val="17"/>
        </w:rPr>
        <w:t>Copy-ready PR/MR template block</w:t>
      </w:r>
    </w:p>
    <w:tbl>
      <w:tblPr>
        <w:tblStyle w:val="TableGrid"/>
        <w:tblW w:type="auto" w:w="0"/>
        <w:tblLook w:firstColumn="1" w:firstRow="1" w:lastColumn="0" w:lastRow="0" w:noHBand="0" w:noVBand="1" w:val="04A0"/>
      </w:tblPr>
      <w:tblGrid>
        <w:gridCol w:w="10454"/>
      </w:tblGrid>
      <w:tr>
        <w:tc>
          <w:tcPr>
            <w:tcW w:type="dxa" w:w="10454"/>
            <w:shd w:fill="F4F6F7"/>
            <w:tcMar>
              <w:top w:w="100" w:type="dxa"/>
              <w:start w:w="120" w:type="dxa"/>
              <w:bottom w:w="100" w:type="dxa"/>
              <w:end w:w="120" w:type="dxa"/>
            </w:tcMar>
          </w:tcPr>
          <w:p>
            <w:pPr>
              <w:spacing w:after="0"/>
            </w:pPr>
            <w:r>
              <w:rPr>
                <w:rFonts w:ascii="Courier New" w:hAnsi="Courier New"/>
                <w:color w:val="333333"/>
                <w:sz w:val="12"/>
              </w:rPr>
              <w:t>## AIRA Architecture Compliance Summary</w:t>
            </w:r>
            <w:r>
              <w:br/>
            </w:r>
            <w:r>
              <w:rPr>
                <w:rFonts w:ascii="Courier New" w:hAnsi="Courier New"/>
                <w:color w:val="333333"/>
                <w:sz w:val="12"/>
              </w:rPr>
            </w:r>
            <w:r>
              <w:br/>
            </w:r>
            <w:r>
              <w:rPr>
                <w:rFonts w:ascii="Courier New" w:hAnsi="Courier New"/>
                <w:color w:val="333333"/>
                <w:sz w:val="12"/>
              </w:rPr>
              <w:t>### Attributable</w:t>
            </w:r>
            <w:r>
              <w:br/>
            </w:r>
            <w:r>
              <w:rPr>
                <w:rFonts w:ascii="Courier New" w:hAnsi="Courier New"/>
                <w:color w:val="333333"/>
                <w:sz w:val="12"/>
              </w:rPr>
              <w:t>- Owner:</w:t>
            </w:r>
            <w:r>
              <w:br/>
            </w:r>
            <w:r>
              <w:rPr>
                <w:rFonts w:ascii="Courier New" w:hAnsi="Courier New"/>
                <w:color w:val="333333"/>
                <w:sz w:val="12"/>
              </w:rPr>
              <w:t>- Ticket / ADR / TDL:</w:t>
            </w:r>
            <w:r>
              <w:br/>
            </w:r>
            <w:r>
              <w:rPr>
                <w:rFonts w:ascii="Courier New" w:hAnsi="Courier New"/>
                <w:color w:val="333333"/>
                <w:sz w:val="12"/>
              </w:rPr>
              <w:t>- AI tool/model used, if any:</w:t>
            </w:r>
            <w:r>
              <w:br/>
            </w:r>
            <w:r>
              <w:rPr>
                <w:rFonts w:ascii="Courier New" w:hAnsi="Courier New"/>
                <w:color w:val="333333"/>
                <w:sz w:val="12"/>
              </w:rPr>
            </w:r>
            <w:r>
              <w:br/>
            </w:r>
            <w:r>
              <w:rPr>
                <w:rFonts w:ascii="Courier New" w:hAnsi="Courier New"/>
                <w:color w:val="333333"/>
                <w:sz w:val="12"/>
              </w:rPr>
              <w:t>### Verifiable</w:t>
            </w:r>
            <w:r>
              <w:br/>
            </w:r>
            <w:r>
              <w:rPr>
                <w:rFonts w:ascii="Courier New" w:hAnsi="Courier New"/>
                <w:color w:val="333333"/>
                <w:sz w:val="12"/>
              </w:rPr>
              <w:t>- Tests run:</w:t>
            </w:r>
            <w:r>
              <w:br/>
            </w:r>
            <w:r>
              <w:rPr>
                <w:rFonts w:ascii="Courier New" w:hAnsi="Courier New"/>
                <w:color w:val="333333"/>
                <w:sz w:val="12"/>
              </w:rPr>
              <w:t>- Fitness functions passed:</w:t>
            </w:r>
            <w:r>
              <w:br/>
            </w:r>
            <w:r>
              <w:rPr>
                <w:rFonts w:ascii="Courier New" w:hAnsi="Courier New"/>
                <w:color w:val="333333"/>
                <w:sz w:val="12"/>
              </w:rPr>
              <w:t>- Security/policy checks:</w:t>
            </w:r>
            <w:r>
              <w:br/>
            </w:r>
            <w:r>
              <w:rPr>
                <w:rFonts w:ascii="Courier New" w:hAnsi="Courier New"/>
                <w:color w:val="333333"/>
                <w:sz w:val="12"/>
              </w:rPr>
              <w:t>- Contract/schema checks:</w:t>
            </w:r>
            <w:r>
              <w:br/>
            </w:r>
            <w:r>
              <w:rPr>
                <w:rFonts w:ascii="Courier New" w:hAnsi="Courier New"/>
                <w:color w:val="333333"/>
                <w:sz w:val="12"/>
              </w:rPr>
            </w:r>
            <w:r>
              <w:br/>
            </w:r>
            <w:r>
              <w:rPr>
                <w:rFonts w:ascii="Courier New" w:hAnsi="Courier New"/>
                <w:color w:val="333333"/>
                <w:sz w:val="12"/>
              </w:rPr>
              <w:t>### Classifiable</w:t>
            </w:r>
            <w:r>
              <w:br/>
            </w:r>
            <w:r>
              <w:rPr>
                <w:rFonts w:ascii="Courier New" w:hAnsi="Courier New"/>
                <w:color w:val="333333"/>
                <w:sz w:val="12"/>
              </w:rPr>
              <w:t>- Data classification affected:</w:t>
            </w:r>
            <w:r>
              <w:br/>
            </w:r>
            <w:r>
              <w:rPr>
                <w:rFonts w:ascii="Courier New" w:hAnsi="Courier New"/>
                <w:color w:val="333333"/>
                <w:sz w:val="12"/>
              </w:rPr>
              <w:t>- Model route eligibility:</w:t>
            </w:r>
            <w:r>
              <w:br/>
            </w:r>
            <w:r>
              <w:rPr>
                <w:rFonts w:ascii="Courier New" w:hAnsi="Courier New"/>
                <w:color w:val="333333"/>
                <w:sz w:val="12"/>
              </w:rPr>
              <w:t>- Logging/redaction impact:</w:t>
            </w:r>
            <w:r>
              <w:br/>
            </w:r>
            <w:r>
              <w:rPr>
                <w:rFonts w:ascii="Courier New" w:hAnsi="Courier New"/>
                <w:color w:val="333333"/>
                <w:sz w:val="12"/>
              </w:rPr>
            </w:r>
            <w:r>
              <w:br/>
            </w:r>
            <w:r>
              <w:rPr>
                <w:rFonts w:ascii="Courier New" w:hAnsi="Courier New"/>
                <w:color w:val="333333"/>
                <w:sz w:val="12"/>
              </w:rPr>
              <w:t>### Improvable</w:t>
            </w:r>
            <w:r>
              <w:br/>
            </w:r>
            <w:r>
              <w:rPr>
                <w:rFonts w:ascii="Courier New" w:hAnsi="Courier New"/>
                <w:color w:val="333333"/>
                <w:sz w:val="12"/>
              </w:rPr>
              <w:t>- Improvement rationale:</w:t>
            </w:r>
            <w:r>
              <w:br/>
            </w:r>
            <w:r>
              <w:rPr>
                <w:rFonts w:ascii="Courier New" w:hAnsi="Courier New"/>
                <w:color w:val="333333"/>
                <w:sz w:val="12"/>
              </w:rPr>
              <w:t>- Metrics affected:</w:t>
            </w:r>
            <w:r>
              <w:br/>
            </w:r>
            <w:r>
              <w:rPr>
                <w:rFonts w:ascii="Courier New" w:hAnsi="Courier New"/>
                <w:color w:val="333333"/>
                <w:sz w:val="12"/>
              </w:rPr>
              <w:t>- Follow-up backlog item, if any:</w:t>
            </w:r>
            <w:r>
              <w:br/>
            </w:r>
            <w:r>
              <w:rPr>
                <w:rFonts w:ascii="Courier New" w:hAnsi="Courier New"/>
                <w:color w:val="333333"/>
                <w:sz w:val="12"/>
              </w:rPr>
            </w:r>
            <w:r>
              <w:br/>
            </w:r>
            <w:r>
              <w:rPr>
                <w:rFonts w:ascii="Courier New" w:hAnsi="Courier New"/>
                <w:color w:val="333333"/>
                <w:sz w:val="12"/>
              </w:rPr>
              <w:t>### Enterprise Design Principle Impact</w:t>
            </w:r>
            <w:r>
              <w:br/>
            </w:r>
            <w:r>
              <w:rPr>
                <w:rFonts w:ascii="Courier New" w:hAnsi="Courier New"/>
                <w:color w:val="333333"/>
                <w:sz w:val="12"/>
              </w:rPr>
              <w:t>- SOLID impact:</w:t>
            </w:r>
            <w:r>
              <w:br/>
            </w:r>
            <w:r>
              <w:rPr>
                <w:rFonts w:ascii="Courier New" w:hAnsi="Courier New"/>
                <w:color w:val="333333"/>
                <w:sz w:val="12"/>
              </w:rPr>
              <w:t>- Clean Architecture / DDD / Ports-Adapters impact:</w:t>
            </w:r>
            <w:r>
              <w:br/>
            </w:r>
            <w:r>
              <w:rPr>
                <w:rFonts w:ascii="Courier New" w:hAnsi="Courier New"/>
                <w:color w:val="333333"/>
                <w:sz w:val="12"/>
              </w:rPr>
              <w:t>- Idempotency / determinism / resilience impact:</w:t>
            </w:r>
            <w:r>
              <w:br/>
            </w:r>
            <w:r>
              <w:rPr>
                <w:rFonts w:ascii="Courier New" w:hAnsi="Courier New"/>
                <w:color w:val="333333"/>
                <w:sz w:val="12"/>
              </w:rPr>
              <w:t>- Observability / security / policy-as-code impact:</w:t>
            </w:r>
            <w:r>
              <w:br/>
            </w:r>
            <w:r>
              <w:rPr>
                <w:rFonts w:ascii="Courier New" w:hAnsi="Courier New"/>
                <w:color w:val="333333"/>
                <w:sz w:val="12"/>
              </w:rPr>
              <w:t>- Reversibility / rollbackability impact:</w:t>
            </w:r>
            <w:r>
              <w:br/>
            </w:r>
            <w:r>
              <w:rPr>
                <w:rFonts w:ascii="Courier New" w:hAnsi="Courier New"/>
                <w:color w:val="333333"/>
                <w:sz w:val="12"/>
              </w:rPr>
              <w:t>- Waiver required: Yes/No</w:t>
            </w:r>
          </w:p>
        </w:tc>
      </w:tr>
    </w:tbl>
    <w:p/>
    <w:p>
      <w:pPr>
        <w:pStyle w:val="Heading1"/>
        <w:keepNext/>
        <w:spacing w:before="160" w:after="80"/>
      </w:pPr>
    </w:p>
    <w:p>
      <w:pPr>
        <w:pStyle w:val="ListBullet"/>
        <w:spacing w:after="40"/>
        <w:ind w:left="259"/>
      </w:pPr>
      <w:r>
        <w:rPr>
          <w:rFonts w:ascii="Aptos" w:hAnsi="Aptos"/>
          <w:sz w:val="17"/>
        </w:rPr>
        <w:t>Direct model provider SDK imports or hardcoded model-provider URLs in application services.</w:t>
      </w:r>
    </w:p>
    <w:p>
      <w:pPr>
        <w:pStyle w:val="ListBullet"/>
        <w:spacing w:after="40"/>
        <w:ind w:left="259"/>
      </w:pPr>
      <w:r>
        <w:rPr>
          <w:rFonts w:ascii="Aptos" w:hAnsi="Aptos"/>
          <w:sz w:val="17"/>
        </w:rPr>
        <w:t>Bypass flags for NeMo Guardrails, Harness, OPA, SBAC, audit, or classification routing.</w:t>
      </w:r>
    </w:p>
    <w:p>
      <w:pPr>
        <w:pStyle w:val="ListBullet"/>
        <w:spacing w:after="40"/>
        <w:ind w:left="259"/>
      </w:pPr>
      <w:r>
        <w:rPr>
          <w:rFonts w:ascii="Aptos" w:hAnsi="Aptos"/>
          <w:sz w:val="17"/>
        </w:rPr>
        <w:t>AI agents with direct production credentials or autonomous override authority.</w:t>
      </w:r>
    </w:p>
    <w:p>
      <w:pPr>
        <w:pStyle w:val="ListBullet"/>
        <w:spacing w:after="40"/>
        <w:ind w:left="259"/>
      </w:pPr>
      <w:r>
        <w:rPr>
          <w:rFonts w:ascii="Aptos" w:hAnsi="Aptos"/>
          <w:sz w:val="17"/>
        </w:rPr>
        <w:t>Domain code that depends on database clients, web clients, Kafka clients, model SDKs, or framework transport objects.</w:t>
      </w:r>
    </w:p>
    <w:p>
      <w:pPr>
        <w:pStyle w:val="ListBullet"/>
        <w:spacing w:after="40"/>
        <w:ind w:left="259"/>
      </w:pPr>
      <w:r>
        <w:rPr>
          <w:rFonts w:ascii="Aptos" w:hAnsi="Aptos"/>
          <w:sz w:val="17"/>
        </w:rPr>
        <w:t>Controllers, UI components, workflow definitions, or prompts that contain hidden business decision ownership.</w:t>
      </w:r>
    </w:p>
    <w:p>
      <w:pPr>
        <w:pStyle w:val="ListBullet"/>
        <w:spacing w:after="40"/>
        <w:ind w:left="259"/>
      </w:pPr>
      <w:r>
        <w:rPr>
          <w:rFonts w:ascii="Aptos" w:hAnsi="Aptos"/>
          <w:sz w:val="17"/>
        </w:rPr>
        <w:t>Cross-bounded-context database writes or shared mutable tables without approved platform ownership.</w:t>
      </w:r>
    </w:p>
    <w:p>
      <w:pPr>
        <w:pStyle w:val="ListBullet"/>
        <w:spacing w:after="40"/>
        <w:ind w:left="259"/>
      </w:pPr>
      <w:r>
        <w:rPr>
          <w:rFonts w:ascii="Aptos" w:hAnsi="Aptos"/>
          <w:sz w:val="17"/>
        </w:rPr>
        <w:t>Manual production kubectl, production database edits, or click-ops configuration outside approved break-glass workflows.</w:t>
      </w:r>
    </w:p>
    <w:p>
      <w:pPr>
        <w:pStyle w:val="ListBullet"/>
        <w:spacing w:after="40"/>
        <w:ind w:left="259"/>
      </w:pPr>
      <w:r>
        <w:rPr>
          <w:rFonts w:ascii="Aptos" w:hAnsi="Aptos"/>
          <w:sz w:val="17"/>
        </w:rPr>
        <w:t>Real customer PII, secrets, credentials, or restricted documents in prompts, tests, logs, traces, screenshots, examples, or embeddings.</w:t>
      </w:r>
    </w:p>
    <w:p>
      <w:pPr>
        <w:pStyle w:val="ListBullet"/>
        <w:spacing w:after="40"/>
        <w:ind w:left="259"/>
      </w:pPr>
      <w:r>
        <w:rPr>
          <w:rFonts w:ascii="Aptos" w:hAnsi="Aptos"/>
          <w:sz w:val="17"/>
        </w:rPr>
        <w:t>Auto-Heal or Auto-Improve changes that remove tests, weaken security, disable observability, skip approvals, or reduce reversibility.</w:t>
      </w:r>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592"/>
            <w:shd w:fill="1F4E79"/>
            <w:tcMar>
              <w:top w:w="50" w:type="dxa"/>
              <w:start w:w="55" w:type="dxa"/>
              <w:bottom w:w="50" w:type="dxa"/>
              <w:end w:w="55" w:type="dxa"/>
            </w:tcMar>
          </w:tcPr>
          <w:p>
            <w:pPr>
              <w:spacing w:after="0"/>
              <w:jc w:val="center"/>
            </w:pPr>
            <w:r>
              <w:rPr>
                <w:rFonts w:ascii="Aptos" w:hAnsi="Aptos"/>
                <w:b/>
                <w:color w:val="FFFFFF"/>
                <w:sz w:val="14"/>
              </w:rPr>
              <w:t>AVCI Property</w:t>
            </w:r>
          </w:p>
        </w:tc>
        <w:tc>
          <w:tcPr>
            <w:tcW w:type="dxa" w:w="7488"/>
            <w:shd w:fill="1F4E79"/>
            <w:tcMar>
              <w:top w:w="50" w:type="dxa"/>
              <w:start w:w="55" w:type="dxa"/>
              <w:bottom w:w="50" w:type="dxa"/>
              <w:end w:w="55" w:type="dxa"/>
            </w:tcMar>
          </w:tcPr>
          <w:p>
            <w:pPr>
              <w:spacing w:after="0"/>
              <w:jc w:val="center"/>
            </w:pPr>
            <w:r>
              <w:rPr>
                <w:rFonts w:ascii="Aptos" w:hAnsi="Aptos"/>
                <w:b/>
                <w:color w:val="FFFFFF"/>
                <w:sz w:val="14"/>
              </w:rPr>
              <w:t>v5.0 Compliance</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Attributable</w:t>
            </w:r>
          </w:p>
        </w:tc>
        <w:tc>
          <w:tcPr>
            <w:tcW w:type="dxa" w:w="7488"/>
            <w:vAlign w:val="top"/>
            <w:tcMar>
              <w:top w:w="45" w:type="dxa"/>
              <w:start w:w="55" w:type="dxa"/>
              <w:bottom w:w="45" w:type="dxa"/>
              <w:end w:w="55" w:type="dxa"/>
            </w:tcMar>
          </w:tcPr>
          <w:p>
            <w:pPr>
              <w:spacing w:after="0" w:line="240" w:lineRule="auto"/>
            </w:pPr>
            <w:r>
              <w:rPr>
                <w:rFonts w:ascii="Aptos" w:hAnsi="Aptos"/>
                <w:sz w:val="14"/>
              </w:rPr>
              <w:t>Document owner, governing ADR, canonical 01A reference, companion documents, and review authority are declared.</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Verifiable</w:t>
            </w:r>
          </w:p>
        </w:tc>
        <w:tc>
          <w:tcPr>
            <w:tcW w:type="dxa" w:w="7488"/>
            <w:vAlign w:val="top"/>
            <w:tcMar>
              <w:top w:w="45" w:type="dxa"/>
              <w:start w:w="55" w:type="dxa"/>
              <w:bottom w:w="45" w:type="dxa"/>
              <w:end w:w="55" w:type="dxa"/>
            </w:tcMar>
          </w:tcPr>
          <w:p>
            <w:pPr>
              <w:spacing w:after="0" w:line="240" w:lineRule="auto"/>
            </w:pPr>
            <w:r>
              <w:rPr>
                <w:rFonts w:ascii="Aptos" w:hAnsi="Aptos"/>
                <w:sz w:val="14"/>
              </w:rPr>
              <w:t>Architecture rules are mapped to fitness functions, tests, policies, evidence gates, and review procedures.</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Classifiable</w:t>
            </w:r>
          </w:p>
        </w:tc>
        <w:tc>
          <w:tcPr>
            <w:tcW w:type="dxa" w:w="7488"/>
            <w:vAlign w:val="top"/>
            <w:tcMar>
              <w:top w:w="45" w:type="dxa"/>
              <w:start w:w="55" w:type="dxa"/>
              <w:bottom w:w="45" w:type="dxa"/>
              <w:end w:w="55" w:type="dxa"/>
            </w:tcMar>
          </w:tcPr>
          <w:p>
            <w:pPr>
              <w:spacing w:after="0" w:line="240" w:lineRule="auto"/>
            </w:pPr>
            <w:r>
              <w:rPr>
                <w:rFonts w:ascii="Aptos" w:hAnsi="Aptos"/>
                <w:sz w:val="14"/>
              </w:rPr>
              <w:t>Document and architecture artifacts are CONFIDENTIAL - Internal Use Only; runtime artifacts inherit classification-driven routing and handling.</w:t>
            </w:r>
          </w:p>
        </w:tc>
      </w:tr>
      <w:tr>
        <w:trPr>
          <w:cantSplit/>
        </w:trPr>
        <w:tc>
          <w:tcPr>
            <w:tcW w:type="dxa" w:w="2592"/>
            <w:vAlign w:val="top"/>
            <w:tcMar>
              <w:top w:w="45" w:type="dxa"/>
              <w:start w:w="55" w:type="dxa"/>
              <w:bottom w:w="45" w:type="dxa"/>
              <w:end w:w="55" w:type="dxa"/>
            </w:tcMar>
          </w:tcPr>
          <w:p>
            <w:pPr>
              <w:spacing w:after="0" w:line="240" w:lineRule="auto"/>
            </w:pPr>
            <w:r>
              <w:rPr>
                <w:rFonts w:ascii="Aptos" w:hAnsi="Aptos"/>
                <w:sz w:val="14"/>
              </w:rPr>
              <w:t>Improvable</w:t>
            </w:r>
          </w:p>
        </w:tc>
        <w:tc>
          <w:tcPr>
            <w:tcW w:type="dxa" w:w="7488"/>
            <w:vAlign w:val="top"/>
            <w:tcMar>
              <w:top w:w="45" w:type="dxa"/>
              <w:start w:w="55" w:type="dxa"/>
              <w:bottom w:w="45" w:type="dxa"/>
              <w:end w:w="55" w:type="dxa"/>
            </w:tcMar>
          </w:tcPr>
          <w:p>
            <w:pPr>
              <w:spacing w:after="0" w:line="240" w:lineRule="auto"/>
            </w:pPr>
            <w:r>
              <w:rPr>
                <w:rFonts w:ascii="Aptos" w:hAnsi="Aptos"/>
                <w:sz w:val="14"/>
              </w:rPr>
              <w:t>Blueprint is versioned, supersedable, reviewed quarterly, and linked to ADR/TDL, CI evidence, incident feedback, and Auto-* governance loops.</w:t>
            </w:r>
          </w:p>
        </w:tc>
      </w:tr>
    </w:tbl>
    <w:p/>
    <w:sectPr w:rsidR="00FC693F" w:rsidRPr="0006063C" w:rsidSect="00034616">
      <w:headerReference w:type="default" r:id="rId9"/>
      <w:footerReference w:type="default" r:id="rId10"/>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Solutions Architecture Office | </w:t>
    </w: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6"/>
      </w:rPr>
      <w:t>AIRA AI-Native Engineering Blueprint v5.0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02-AIRA Engineering Blueprint v5.0</dc:title>
  <dc:subject>Build-ready AIRA architecture with Enterprise Design Principles and SOLID Enforcement Layer</dc:subject>
  <dc:creator>Solutions Architecture Office</dc:creator>
  <cp:keywords>AIRA, Engineering Blueprint, SOLID, Clean Architecture, DDD, AVCI, Auto-Heal, Auto-Learn, Auto-Improve</cp:keywords>
  <dc:description>Confidential internal architecture blueprint generated for architecture review.</dc:description>
  <cp:lastModifiedBy/>
  <cp:revision>1</cp:revision>
  <dcterms:created xsi:type="dcterms:W3CDTF">2013-12-23T23:15:00Z</dcterms:created>
  <dcterms:modified xsi:type="dcterms:W3CDTF">2013-12-23T23:15:00Z</dcterms:modified>
  <cp:category/>
</cp:coreProperties>
</file>