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rFonts w:ascii="Arial" w:hAnsi="Arial" w:eastAsia="Arial"/>
          <w:b/>
          <w:i w:val="0"/>
          <w:sz w:val="40"/>
        </w:rPr>
        <w:t>AIRA</w:t>
      </w:r>
    </w:p>
    <w:p>
      <w:pPr>
        <w:spacing w:after="100" w:line="252" w:lineRule="auto"/>
        <w:jc w:val="center"/>
      </w:pPr>
      <w:r>
        <w:rPr>
          <w:rFonts w:ascii="Arial" w:hAnsi="Arial" w:eastAsia="Arial"/>
          <w:b w:val="0"/>
          <w:i w:val="0"/>
          <w:sz w:val="24"/>
        </w:rPr>
        <w:t>AI-Native Enterprise Platform</w:t>
      </w:r>
    </w:p>
    <w:p>
      <w:pPr>
        <w:spacing w:after="100" w:line="252" w:lineRule="auto"/>
      </w:pPr>
    </w:p>
    <w:p>
      <w:pPr>
        <w:pStyle w:val="Title"/>
        <w:jc w:val="center"/>
      </w:pPr>
      <w:r>
        <w:rPr>
          <w:rFonts w:ascii="Arial" w:hAnsi="Arial" w:eastAsia="Arial"/>
          <w:b w:val="0"/>
          <w:i w:val="0"/>
        </w:rPr>
        <w:t>Production-Ready Technology Stack</w:t>
      </w:r>
    </w:p>
    <w:p>
      <w:pPr>
        <w:spacing w:after="100" w:line="252" w:lineRule="auto"/>
        <w:jc w:val="center"/>
      </w:pPr>
      <w:r>
        <w:rPr>
          <w:rFonts w:ascii="Arial" w:hAnsi="Arial" w:eastAsia="Arial"/>
          <w:b w:val="0"/>
          <w:i w:val="0"/>
          <w:sz w:val="20"/>
        </w:rPr>
        <w:t>Technology Selection | Lifecycle Governance | AI-Native Runtime | Voice Agent Orchestration | Code Intelligence | SOLID/AVCI Enforcement</w:t>
      </w:r>
    </w:p>
    <w:p>
      <w:pPr>
        <w:spacing w:after="100" w:line="252" w:lineRule="auto"/>
        <w:jc w:val="center"/>
      </w:pPr>
      <w:r>
        <w:rPr>
          <w:rFonts w:ascii="Arial" w:hAnsi="Arial" w:eastAsia="Arial"/>
          <w:b/>
          <w:i w:val="0"/>
          <w:sz w:val="22"/>
        </w:rPr>
        <w:t>Version 9.0 - May 2026</w:t>
      </w:r>
    </w:p>
    <w:p>
      <w:pPr>
        <w:spacing w:after="100" w:line="252" w:lineRule="auto"/>
      </w:pPr>
    </w:p>
    <w:tbl>
      <w:tblPr>
        <w:tblStyle w:val="TableGrid"/>
        <w:tblW w:type="auto" w:w="0"/>
        <w:jc w:val="center"/>
        <w:tblLook w:firstColumn="1" w:firstRow="1" w:lastColumn="0" w:lastRow="0" w:noHBand="0" w:noVBand="1" w:val="04A0"/>
      </w:tblPr>
      <w:tblGrid>
        <w:gridCol w:w="10656"/>
      </w:tblGrid>
      <w:tr>
        <w:tc>
          <w:tcPr>
            <w:tcW w:type="dxa" w:w="10656"/>
            <w:shd w:fill="D9EAF7"/>
          </w:tcPr>
          <w:p>
            <w:pPr>
              <w:spacing w:after="0" w:line="240" w:lineRule="auto"/>
            </w:pPr>
            <w:r>
              <w:rPr>
                <w:rFonts w:ascii="Arial" w:hAnsi="Arial" w:eastAsia="Arial"/>
              </w:rPr>
            </w:r>
            <w:r>
              <w:rPr>
                <w:rFonts w:ascii="Arial" w:hAnsi="Arial" w:eastAsia="Arial"/>
                <w:b/>
                <w:color w:val="1F4E79"/>
                <w:sz w:val="18"/>
              </w:rPr>
              <w:t>Executive Technology Position</w:t>
              <w:br/>
            </w:r>
            <w:r>
              <w:rPr>
                <w:rFonts w:ascii="Arial" w:hAnsi="Arial" w:eastAsia="Arial"/>
                <w:sz w:val="17"/>
              </w:rPr>
              <w:t>AIRA technology choices are approved only when they can be owned, versioned, secured, tested, monitored, classified, upgraded, retired, and proven to preserve SOLID compliance, Clean Architecture boundaries, DDD bounded contexts, testability, security posture, observability, reversibility, and AVCI evidence. Dograh and GitNexus are added in v9.0 as governed capabilities, not uncontrolled shortcuts.</w:t>
            </w:r>
          </w:p>
        </w:tc>
      </w:tr>
    </w:tbl>
    <w:p>
      <w:pPr>
        <w:spacing w:after="100" w:line="252" w:lineRule="auto"/>
      </w:pPr>
    </w:p>
    <w:tbl>
      <w:tblPr>
        <w:tblStyle w:val="TableGrid"/>
        <w:tblW w:type="auto" w:w="0"/>
        <w:jc w:val="center"/>
        <w:tblLayout w:type="autofit"/>
        <w:tblLook w:firstColumn="1" w:firstRow="1" w:lastColumn="0" w:lastRow="0" w:noHBand="0" w:noVBand="1" w:val="04A0"/>
      </w:tblPr>
      <w:tblGrid>
        <w:gridCol w:w="5328"/>
        <w:gridCol w:w="5328"/>
      </w:tblGrid>
      <w:tr>
        <w:tc>
          <w:tcPr>
            <w:tcW w:type="dxa" w:w="2592"/>
            <w:shd w:fill="1F4E79"/>
            <w:vAlign w:val="top"/>
          </w:tcPr>
          <w:p>
            <w:pPr>
              <w:spacing w:after="0" w:line="240" w:lineRule="auto"/>
              <w:jc w:val="left"/>
            </w:pPr>
            <w:r>
              <w:rPr>
                <w:rFonts w:ascii="Arial" w:hAnsi="Arial" w:eastAsia="Arial"/>
              </w:rPr>
            </w:r>
            <w:r>
              <w:rPr>
                <w:rFonts w:ascii="Arial" w:hAnsi="Arial" w:eastAsia="Arial"/>
                <w:b/>
                <w:color w:val="FFFFFF"/>
                <w:sz w:val="16"/>
              </w:rPr>
              <w:t>Property</w:t>
            </w:r>
          </w:p>
        </w:tc>
        <w:tc>
          <w:tcPr>
            <w:tcW w:type="dxa" w:w="7776"/>
            <w:shd w:fill="1F4E79"/>
            <w:vAlign w:val="top"/>
          </w:tcPr>
          <w:p>
            <w:pPr>
              <w:spacing w:after="0" w:line="240" w:lineRule="auto"/>
              <w:jc w:val="left"/>
            </w:pPr>
            <w:r>
              <w:rPr>
                <w:rFonts w:ascii="Arial" w:hAnsi="Arial" w:eastAsia="Arial"/>
              </w:rPr>
            </w:r>
            <w:r>
              <w:rPr>
                <w:rFonts w:ascii="Arial" w:hAnsi="Arial" w:eastAsia="Arial"/>
                <w:b/>
                <w:color w:val="FFFFFF"/>
                <w:sz w:val="16"/>
              </w:rPr>
              <w:t>Value</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Document Title</w:t>
            </w:r>
          </w:p>
        </w:tc>
        <w:tc>
          <w:tcPr>
            <w:tcW w:type="dxa" w:w="7776"/>
            <w:vAlign w:val="top"/>
          </w:tcPr>
          <w:p>
            <w:pPr>
              <w:spacing w:after="0" w:line="240" w:lineRule="auto"/>
              <w:jc w:val="left"/>
            </w:pPr>
            <w:r>
              <w:rPr>
                <w:rFonts w:ascii="Arial" w:hAnsi="Arial" w:eastAsia="Arial"/>
              </w:rPr>
            </w:r>
            <w:r>
              <w:rPr>
                <w:rFonts w:ascii="Arial" w:hAnsi="Arial" w:eastAsia="Arial"/>
                <w:b w:val="0"/>
                <w:sz w:val="16"/>
              </w:rPr>
              <w:t>AIRA Production-Ready Technology Stack</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Document ID</w:t>
            </w:r>
          </w:p>
        </w:tc>
        <w:tc>
          <w:tcPr>
            <w:tcW w:type="dxa" w:w="7776"/>
            <w:vAlign w:val="top"/>
          </w:tcPr>
          <w:p>
            <w:pPr>
              <w:spacing w:after="0" w:line="240" w:lineRule="auto"/>
              <w:jc w:val="left"/>
            </w:pPr>
            <w:r>
              <w:rPr>
                <w:rFonts w:ascii="Arial" w:hAnsi="Arial" w:eastAsia="Arial"/>
              </w:rPr>
            </w:r>
            <w:r>
              <w:rPr>
                <w:rFonts w:ascii="Arial" w:hAnsi="Arial" w:eastAsia="Arial"/>
                <w:b w:val="0"/>
                <w:sz w:val="16"/>
              </w:rPr>
              <w:t>AIRA-DOC-004</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Version</w:t>
            </w:r>
          </w:p>
        </w:tc>
        <w:tc>
          <w:tcPr>
            <w:tcW w:type="dxa" w:w="7776"/>
            <w:vAlign w:val="top"/>
          </w:tcPr>
          <w:p>
            <w:pPr>
              <w:spacing w:after="0" w:line="240" w:lineRule="auto"/>
              <w:jc w:val="left"/>
            </w:pPr>
            <w:r>
              <w:rPr>
                <w:rFonts w:ascii="Arial" w:hAnsi="Arial" w:eastAsia="Arial"/>
              </w:rPr>
            </w:r>
            <w:r>
              <w:rPr>
                <w:rFonts w:ascii="Arial" w:hAnsi="Arial" w:eastAsia="Arial"/>
                <w:b w:val="0"/>
                <w:sz w:val="16"/>
              </w:rPr>
              <w:t>v9.0 - Dograh, GitNexus, Lifecycle Refresh, and Missing Stack Completion</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Supersedes</w:t>
            </w:r>
          </w:p>
        </w:tc>
        <w:tc>
          <w:tcPr>
            <w:tcW w:type="dxa" w:w="7776"/>
            <w:vAlign w:val="top"/>
          </w:tcPr>
          <w:p>
            <w:pPr>
              <w:spacing w:after="0" w:line="240" w:lineRule="auto"/>
              <w:jc w:val="left"/>
            </w:pPr>
            <w:r>
              <w:rPr>
                <w:rFonts w:ascii="Arial" w:hAnsi="Arial" w:eastAsia="Arial"/>
              </w:rPr>
            </w:r>
            <w:r>
              <w:rPr>
                <w:rFonts w:ascii="Arial" w:hAnsi="Arial" w:eastAsia="Arial"/>
                <w:b w:val="0"/>
                <w:sz w:val="16"/>
              </w:rPr>
              <w:t>04-AIRA_Technology_Stack_v8.0</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Classification</w:t>
            </w:r>
          </w:p>
        </w:tc>
        <w:tc>
          <w:tcPr>
            <w:tcW w:type="dxa" w:w="7776"/>
            <w:vAlign w:val="top"/>
          </w:tcPr>
          <w:p>
            <w:pPr>
              <w:spacing w:after="0" w:line="240" w:lineRule="auto"/>
              <w:jc w:val="left"/>
            </w:pPr>
            <w:r>
              <w:rPr>
                <w:rFonts w:ascii="Arial" w:hAnsi="Arial" w:eastAsia="Arial"/>
              </w:rPr>
            </w:r>
            <w:r>
              <w:rPr>
                <w:rFonts w:ascii="Arial" w:hAnsi="Arial" w:eastAsia="Arial"/>
                <w:b w:val="0"/>
                <w:sz w:val="16"/>
              </w:rPr>
              <w:t>CONFIDENTIAL - Internal Use Only</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Status</w:t>
            </w:r>
          </w:p>
        </w:tc>
        <w:tc>
          <w:tcPr>
            <w:tcW w:type="dxa" w:w="7776"/>
            <w:vAlign w:val="top"/>
          </w:tcPr>
          <w:p>
            <w:pPr>
              <w:spacing w:after="0" w:line="240" w:lineRule="auto"/>
              <w:jc w:val="left"/>
            </w:pPr>
            <w:r>
              <w:rPr>
                <w:rFonts w:ascii="Arial" w:hAnsi="Arial" w:eastAsia="Arial"/>
              </w:rPr>
            </w:r>
            <w:r>
              <w:rPr>
                <w:rFonts w:ascii="Arial" w:hAnsi="Arial" w:eastAsia="Arial"/>
                <w:b w:val="0"/>
                <w:sz w:val="16"/>
              </w:rPr>
              <w:t>FOR ARCHITECTURE REVIEW BOARD / CAB APPROVAL</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Owner</w:t>
            </w:r>
          </w:p>
        </w:tc>
        <w:tc>
          <w:tcPr>
            <w:tcW w:type="dxa" w:w="7776"/>
            <w:vAlign w:val="top"/>
          </w:tcPr>
          <w:p>
            <w:pPr>
              <w:spacing w:after="0" w:line="240" w:lineRule="auto"/>
              <w:jc w:val="left"/>
            </w:pPr>
            <w:r>
              <w:rPr>
                <w:rFonts w:ascii="Arial" w:hAnsi="Arial" w:eastAsia="Arial"/>
              </w:rPr>
            </w:r>
            <w:r>
              <w:rPr>
                <w:rFonts w:ascii="Arial" w:hAnsi="Arial" w:eastAsia="Arial"/>
                <w:b w:val="0"/>
                <w:sz w:val="16"/>
              </w:rPr>
              <w:t>Solutions Architecture Office / AI-Native DevSecOps Lead</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Co-Owners</w:t>
            </w:r>
          </w:p>
        </w:tc>
        <w:tc>
          <w:tcPr>
            <w:tcW w:type="dxa" w:w="7776"/>
            <w:vAlign w:val="top"/>
          </w:tcPr>
          <w:p>
            <w:pPr>
              <w:spacing w:after="0" w:line="240" w:lineRule="auto"/>
              <w:jc w:val="left"/>
            </w:pPr>
            <w:r>
              <w:rPr>
                <w:rFonts w:ascii="Arial" w:hAnsi="Arial" w:eastAsia="Arial"/>
              </w:rPr>
            </w:r>
            <w:r>
              <w:rPr>
                <w:rFonts w:ascii="Arial" w:hAnsi="Arial" w:eastAsia="Arial"/>
                <w:b w:val="0"/>
                <w:sz w:val="16"/>
              </w:rPr>
              <w:t>Enterprise Architecture; DevSecOps; Security Architecture; QA Engineering; Platform Engineering; AI Engineering</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Effective Date</w:t>
            </w:r>
          </w:p>
        </w:tc>
        <w:tc>
          <w:tcPr>
            <w:tcW w:type="dxa" w:w="7776"/>
            <w:vAlign w:val="top"/>
          </w:tcPr>
          <w:p>
            <w:pPr>
              <w:spacing w:after="0" w:line="240" w:lineRule="auto"/>
              <w:jc w:val="left"/>
            </w:pPr>
            <w:r>
              <w:rPr>
                <w:rFonts w:ascii="Arial" w:hAnsi="Arial" w:eastAsia="Arial"/>
              </w:rPr>
            </w:r>
            <w:r>
              <w:rPr>
                <w:rFonts w:ascii="Arial" w:hAnsi="Arial" w:eastAsia="Arial"/>
                <w:b w:val="0"/>
                <w:sz w:val="16"/>
              </w:rPr>
              <w:t>Upon CAB / Architecture Review Board approval</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Review Cadence</w:t>
            </w:r>
          </w:p>
        </w:tc>
        <w:tc>
          <w:tcPr>
            <w:tcW w:type="dxa" w:w="7776"/>
            <w:vAlign w:val="top"/>
          </w:tcPr>
          <w:p>
            <w:pPr>
              <w:spacing w:after="0" w:line="240" w:lineRule="auto"/>
              <w:jc w:val="left"/>
            </w:pPr>
            <w:r>
              <w:rPr>
                <w:rFonts w:ascii="Arial" w:hAnsi="Arial" w:eastAsia="Arial"/>
              </w:rPr>
            </w:r>
            <w:r>
              <w:rPr>
                <w:rFonts w:ascii="Arial" w:hAnsi="Arial" w:eastAsia="Arial"/>
                <w:b w:val="0"/>
                <w:sz w:val="16"/>
              </w:rPr>
              <w:t>Quarterly; unscheduled on material technology, AI, voice, model, security, supply-chain, or lifecycle change</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Primary Decision Inputs</w:t>
            </w:r>
          </w:p>
        </w:tc>
        <w:tc>
          <w:tcPr>
            <w:tcW w:type="dxa" w:w="7776"/>
            <w:vAlign w:val="top"/>
          </w:tcPr>
          <w:p>
            <w:pPr>
              <w:spacing w:after="0" w:line="240" w:lineRule="auto"/>
              <w:jc w:val="left"/>
            </w:pPr>
            <w:r>
              <w:rPr>
                <w:rFonts w:ascii="Arial" w:hAnsi="Arial" w:eastAsia="Arial"/>
              </w:rPr>
            </w:r>
            <w:r>
              <w:rPr>
                <w:rFonts w:ascii="Arial" w:hAnsi="Arial" w:eastAsia="Arial"/>
                <w:b w:val="0"/>
                <w:sz w:val="16"/>
              </w:rPr>
              <w:t>ADR-AIRA-2026-001; AIRA Cross-Document Revision Control Matrix v1.0; 01A-AIRA Enterprise Design Principles and SOLID Enforcement Layer v1.0</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Companion Documents</w:t>
            </w:r>
          </w:p>
        </w:tc>
        <w:tc>
          <w:tcPr>
            <w:tcW w:type="dxa" w:w="7776"/>
            <w:vAlign w:val="top"/>
          </w:tcPr>
          <w:p>
            <w:pPr>
              <w:spacing w:after="0" w:line="240" w:lineRule="auto"/>
              <w:jc w:val="left"/>
            </w:pPr>
            <w:r>
              <w:rPr>
                <w:rFonts w:ascii="Arial" w:hAnsi="Arial" w:eastAsia="Arial"/>
              </w:rPr>
            </w:r>
            <w:r>
              <w:rPr>
                <w:rFonts w:ascii="Arial" w:hAnsi="Arial" w:eastAsia="Arial"/>
                <w:b w:val="0"/>
                <w:sz w:val="16"/>
              </w:rPr>
              <w:t>01 AVCI v3.0; 02 Engineering Blueprint v5.0; 03 Developer Guide v4.0; 05 Information Nervous System v4.0; 06 CLAUDE.md Reference v3.0; 07 Skills Framework v3.0; 08 Unit Testing v3.0; 09 Greenfield Environment v3.0; 10 MicroFunction Framework v3.0; 11 DevSecOps v3.0; 12 Rollout Pack v3.0; 13 Knowledge Governance v2.0; 14 ADR/TDL v2.0; 15 API Contract v2.0; 16 Database Standard v2.0; 17 Security Standard v2.0</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Compliance Scope</w:t>
            </w:r>
          </w:p>
        </w:tc>
        <w:tc>
          <w:tcPr>
            <w:tcW w:type="dxa" w:w="7776"/>
            <w:vAlign w:val="top"/>
          </w:tcPr>
          <w:p>
            <w:pPr>
              <w:spacing w:after="0" w:line="240" w:lineRule="auto"/>
              <w:jc w:val="left"/>
            </w:pPr>
            <w:r>
              <w:rPr>
                <w:rFonts w:ascii="Arial" w:hAnsi="Arial" w:eastAsia="Arial"/>
              </w:rPr>
            </w:r>
            <w:r>
              <w:rPr>
                <w:rFonts w:ascii="Arial" w:hAnsi="Arial" w:eastAsia="Arial"/>
                <w:b w:val="0"/>
                <w:sz w:val="16"/>
              </w:rPr>
              <w:t>AVCI; ISO/IEC 27001:2022; CIS Controls v8.1; NIST SSDF; NIST AI RMF; NIST AI 600-1; OWASP ASVS 5.0.0; OWASP SAMM; SOC 2; BSP IT Risk; SLSA Build Level 3 target</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6"/>
              </w:rPr>
              <w:t>Purpose</w:t>
            </w:r>
          </w:p>
        </w:tc>
        <w:tc>
          <w:tcPr>
            <w:tcW w:type="dxa" w:w="7776"/>
            <w:vAlign w:val="top"/>
          </w:tcPr>
          <w:p>
            <w:pPr>
              <w:spacing w:after="0" w:line="240" w:lineRule="auto"/>
              <w:jc w:val="left"/>
            </w:pPr>
            <w:r>
              <w:rPr>
                <w:rFonts w:ascii="Arial" w:hAnsi="Arial" w:eastAsia="Arial"/>
              </w:rPr>
            </w:r>
            <w:r>
              <w:rPr>
                <w:rFonts w:ascii="Arial" w:hAnsi="Arial" w:eastAsia="Arial"/>
                <w:b w:val="0"/>
                <w:sz w:val="16"/>
              </w:rPr>
              <w:t>Define the approved technology foundation, lifecycle status, version governance, enforcement tooling, AI-native runtime components, Dograh voice-agent orchestration controls, GitNexus code-intelligence controls, architecture fitness tools, and production readiness gates for AIRA.</w:t>
            </w:r>
          </w:p>
        </w:tc>
      </w:tr>
    </w:tbl>
    <w:p>
      <w:pPr>
        <w:spacing w:after="100" w:line="252" w:lineRule="auto"/>
      </w:pPr>
    </w:p>
    <w:p>
      <w:pPr>
        <w:pStyle w:val="Heading1"/>
        <w:spacing w:before="160" w:after="80"/>
      </w:pPr>
      <w:r>
        <w:rPr>
          <w:rFonts w:ascii="Arial" w:hAnsi="Arial" w:eastAsia="Arial"/>
          <w:b w:val="0"/>
          <w:i w:val="0"/>
        </w:rPr>
        <w:t>Table of Contents</w:t>
      </w:r>
    </w:p>
    <w:p>
      <w:pPr>
        <w:pStyle w:val="AIRASmall"/>
      </w:pPr>
      <w:r>
        <w:rPr>
          <w:rFonts w:ascii="Arial" w:hAnsi="Arial" w:eastAsia="Arial"/>
          <w:b w:val="0"/>
          <w:i w:val="0"/>
        </w:rPr>
        <w:t>1. Executive Summary</w:t>
      </w:r>
    </w:p>
    <w:p>
      <w:pPr>
        <w:pStyle w:val="AIRASmall"/>
      </w:pPr>
      <w:r>
        <w:rPr>
          <w:rFonts w:ascii="Arial" w:hAnsi="Arial" w:eastAsia="Arial"/>
          <w:b w:val="0"/>
          <w:i w:val="0"/>
        </w:rPr>
        <w:t>2. v8.0 Review Findings and v9.0 Decisions</w:t>
      </w:r>
    </w:p>
    <w:p>
      <w:pPr>
        <w:pStyle w:val="AIRASmall"/>
      </w:pPr>
      <w:r>
        <w:rPr>
          <w:rFonts w:ascii="Arial" w:hAnsi="Arial" w:eastAsia="Arial"/>
          <w:b w:val="0"/>
          <w:i w:val="0"/>
        </w:rPr>
        <w:t>3. Technology Governance Principles</w:t>
      </w:r>
    </w:p>
    <w:p>
      <w:pPr>
        <w:pStyle w:val="AIRASmall"/>
      </w:pPr>
      <w:r>
        <w:rPr>
          <w:rFonts w:ascii="Arial" w:hAnsi="Arial" w:eastAsia="Arial"/>
          <w:b w:val="0"/>
          <w:i w:val="0"/>
        </w:rPr>
        <w:t>4. Enterprise Design Principles Enforcement Mapping</w:t>
      </w:r>
    </w:p>
    <w:p>
      <w:pPr>
        <w:pStyle w:val="AIRASmall"/>
      </w:pPr>
      <w:r>
        <w:rPr>
          <w:rFonts w:ascii="Arial" w:hAnsi="Arial" w:eastAsia="Arial"/>
          <w:b w:val="0"/>
          <w:i w:val="0"/>
        </w:rPr>
        <w:t>5. Technology Status Definitions</w:t>
      </w:r>
    </w:p>
    <w:p>
      <w:pPr>
        <w:pStyle w:val="AIRASmall"/>
      </w:pPr>
      <w:r>
        <w:rPr>
          <w:rFonts w:ascii="Arial" w:hAnsi="Arial" w:eastAsia="Arial"/>
          <w:b w:val="0"/>
          <w:i w:val="0"/>
        </w:rPr>
        <w:t>6. Approved Technology Stack by Tier</w:t>
      </w:r>
    </w:p>
    <w:p>
      <w:pPr>
        <w:pStyle w:val="AIRASmall"/>
      </w:pPr>
      <w:r>
        <w:rPr>
          <w:rFonts w:ascii="Arial" w:hAnsi="Arial" w:eastAsia="Arial"/>
          <w:b w:val="0"/>
          <w:i w:val="0"/>
        </w:rPr>
        <w:t xml:space="preserve">   6.1 Tier 0 - Infrastructure, Virtualization, and OS Foundation</w:t>
      </w:r>
    </w:p>
    <w:p>
      <w:pPr>
        <w:pStyle w:val="AIRASmall"/>
      </w:pPr>
      <w:r>
        <w:rPr>
          <w:rFonts w:ascii="Arial" w:hAnsi="Arial" w:eastAsia="Arial"/>
          <w:b w:val="0"/>
          <w:i w:val="0"/>
        </w:rPr>
        <w:t xml:space="preserve">   6.2 Tier 1 - Kubernetes, Platform Runtime, and GitOps</w:t>
      </w:r>
    </w:p>
    <w:p>
      <w:pPr>
        <w:pStyle w:val="AIRASmall"/>
      </w:pPr>
      <w:r>
        <w:rPr>
          <w:rFonts w:ascii="Arial" w:hAnsi="Arial" w:eastAsia="Arial"/>
          <w:b w:val="0"/>
          <w:i w:val="0"/>
        </w:rPr>
        <w:t xml:space="preserve">   6.3 Tier 2 - Application Runtime and Development Frameworks</w:t>
      </w:r>
    </w:p>
    <w:p>
      <w:pPr>
        <w:pStyle w:val="AIRASmall"/>
      </w:pPr>
      <w:r>
        <w:rPr>
          <w:rFonts w:ascii="Arial" w:hAnsi="Arial" w:eastAsia="Arial"/>
          <w:b w:val="0"/>
          <w:i w:val="0"/>
        </w:rPr>
        <w:t xml:space="preserve">   6.4 Tier 3 - Data, Cache, Search, Eventing, and Workflow</w:t>
      </w:r>
    </w:p>
    <w:p>
      <w:pPr>
        <w:pStyle w:val="AIRASmall"/>
      </w:pPr>
      <w:r>
        <w:rPr>
          <w:rFonts w:ascii="Arial" w:hAnsi="Arial" w:eastAsia="Arial"/>
          <w:b w:val="0"/>
          <w:i w:val="0"/>
        </w:rPr>
        <w:t xml:space="preserve">   6.5 Tier 4 - AI-Native Runtime, Retrieval, Model, and Knowledge Governance</w:t>
      </w:r>
    </w:p>
    <w:p>
      <w:pPr>
        <w:pStyle w:val="AIRASmall"/>
      </w:pPr>
      <w:r>
        <w:rPr>
          <w:rFonts w:ascii="Arial" w:hAnsi="Arial" w:eastAsia="Arial"/>
          <w:b w:val="0"/>
          <w:i w:val="0"/>
        </w:rPr>
        <w:t xml:space="preserve">   6.6 Tier 4A - Voice AI and Conversation Runtime</w:t>
      </w:r>
    </w:p>
    <w:p>
      <w:pPr>
        <w:pStyle w:val="AIRASmall"/>
      </w:pPr>
      <w:r>
        <w:rPr>
          <w:rFonts w:ascii="Arial" w:hAnsi="Arial" w:eastAsia="Arial"/>
          <w:b w:val="0"/>
          <w:i w:val="0"/>
        </w:rPr>
        <w:t xml:space="preserve">   6.7 Tier 5 - Observability, Security Operations, and DevSecOps Enforcement</w:t>
      </w:r>
    </w:p>
    <w:p>
      <w:pPr>
        <w:pStyle w:val="AIRASmall"/>
      </w:pPr>
      <w:r>
        <w:rPr>
          <w:rFonts w:ascii="Arial" w:hAnsi="Arial" w:eastAsia="Arial"/>
          <w:b w:val="0"/>
          <w:i w:val="0"/>
        </w:rPr>
        <w:t xml:space="preserve">   6.8 Tier 6 - Developer Productivity, Code Intelligence, and Knowledge Tooling</w:t>
      </w:r>
    </w:p>
    <w:p>
      <w:pPr>
        <w:pStyle w:val="AIRASmall"/>
      </w:pPr>
      <w:r>
        <w:rPr>
          <w:rFonts w:ascii="Arial" w:hAnsi="Arial" w:eastAsia="Arial"/>
          <w:b w:val="0"/>
          <w:i w:val="0"/>
        </w:rPr>
        <w:t>7. Dograh Voice Agent Orchestration Governance</w:t>
      </w:r>
    </w:p>
    <w:p>
      <w:pPr>
        <w:pStyle w:val="AIRASmall"/>
      </w:pPr>
      <w:r>
        <w:rPr>
          <w:rFonts w:ascii="Arial" w:hAnsi="Arial" w:eastAsia="Arial"/>
          <w:b w:val="0"/>
          <w:i w:val="0"/>
        </w:rPr>
        <w:t>8. GitNexus Code Intelligence Governance</w:t>
      </w:r>
    </w:p>
    <w:p>
      <w:pPr>
        <w:pStyle w:val="AIRASmall"/>
      </w:pPr>
      <w:r>
        <w:rPr>
          <w:rFonts w:ascii="Arial" w:hAnsi="Arial" w:eastAsia="Arial"/>
          <w:b w:val="0"/>
          <w:i w:val="0"/>
        </w:rPr>
        <w:t>9. Architecture Fitness Function Tooling Baseline</w:t>
      </w:r>
    </w:p>
    <w:p>
      <w:pPr>
        <w:pStyle w:val="AIRASmall"/>
      </w:pPr>
      <w:r>
        <w:rPr>
          <w:rFonts w:ascii="Arial" w:hAnsi="Arial" w:eastAsia="Arial"/>
          <w:b w:val="0"/>
          <w:i w:val="0"/>
        </w:rPr>
        <w:t>10. Deprecated, Conditional, and Not-Approved Technologies</w:t>
      </w:r>
    </w:p>
    <w:p>
      <w:pPr>
        <w:pStyle w:val="AIRASmall"/>
      </w:pPr>
      <w:r>
        <w:rPr>
          <w:rFonts w:ascii="Arial" w:hAnsi="Arial" w:eastAsia="Arial"/>
          <w:b w:val="0"/>
          <w:i w:val="0"/>
        </w:rPr>
        <w:t>11. Production Readiness Checklist</w:t>
      </w:r>
    </w:p>
    <w:p>
      <w:pPr>
        <w:pStyle w:val="AIRASmall"/>
      </w:pPr>
      <w:r>
        <w:rPr>
          <w:rFonts w:ascii="Arial" w:hAnsi="Arial" w:eastAsia="Arial"/>
          <w:b w:val="0"/>
          <w:i w:val="0"/>
        </w:rPr>
        <w:t>12. Quarterly Technology Refresh Procedure</w:t>
      </w:r>
    </w:p>
    <w:p>
      <w:pPr>
        <w:pStyle w:val="AIRASmall"/>
      </w:pPr>
      <w:r>
        <w:rPr>
          <w:rFonts w:ascii="Arial" w:hAnsi="Arial" w:eastAsia="Arial"/>
          <w:b w:val="0"/>
          <w:i w:val="0"/>
        </w:rPr>
        <w:t>13. RACI for Technology Stack Governance</w:t>
      </w:r>
    </w:p>
    <w:p>
      <w:pPr>
        <w:pStyle w:val="AIRASmall"/>
      </w:pPr>
      <w:r>
        <w:rPr>
          <w:rFonts w:ascii="Arial" w:hAnsi="Arial" w:eastAsia="Arial"/>
          <w:b w:val="0"/>
          <w:i w:val="0"/>
        </w:rPr>
        <w:t>14. Implementation Roadmap</w:t>
      </w:r>
    </w:p>
    <w:p>
      <w:pPr>
        <w:pStyle w:val="AIRASmall"/>
      </w:pPr>
      <w:r>
        <w:rPr>
          <w:rFonts w:ascii="Arial" w:hAnsi="Arial" w:eastAsia="Arial"/>
          <w:b w:val="0"/>
          <w:i w:val="0"/>
        </w:rPr>
        <w:t>15. External Lifecycle Review Log</w:t>
      </w:r>
    </w:p>
    <w:p>
      <w:pPr>
        <w:pStyle w:val="AIRASmall"/>
      </w:pPr>
      <w:r>
        <w:rPr>
          <w:rFonts w:ascii="Arial" w:hAnsi="Arial" w:eastAsia="Arial"/>
          <w:b w:val="0"/>
          <w:i w:val="0"/>
        </w:rPr>
        <w:t>16. AVCI Compliance Summary</w:t>
      </w:r>
    </w:p>
    <w:p>
      <w:pPr>
        <w:pStyle w:val="Heading1"/>
        <w:spacing w:before="160" w:after="80"/>
      </w:pPr>
      <w:r>
        <w:rPr>
          <w:rFonts w:ascii="Arial" w:hAnsi="Arial" w:eastAsia="Arial"/>
          <w:b w:val="0"/>
          <w:i w:val="0"/>
        </w:rPr>
        <w:t>1. Executive Summary</w:t>
      </w:r>
    </w:p>
    <w:p>
      <w:pPr>
        <w:spacing w:after="100" w:line="252" w:lineRule="auto"/>
      </w:pPr>
      <w:r>
        <w:rPr>
          <w:rFonts w:ascii="Arial" w:hAnsi="Arial" w:eastAsia="Arial"/>
          <w:b w:val="0"/>
          <w:i w:val="0"/>
        </w:rPr>
        <w:t>This v9.0 revision updates the AIRA Technology Stack after the adoption of the Enterprise Design Principles and SOLID Enforcement Layer. It preserves the v8.0 position that technology is not a simple inventory; it is an enforceable control baseline for architecture discipline, secure-by-design implementation, reproducible delivery, governed AI acceleration, and evidence by construction.</w:t>
      </w:r>
    </w:p>
    <w:p>
      <w:pPr>
        <w:spacing w:after="100" w:line="252" w:lineRule="auto"/>
      </w:pPr>
      <w:r>
        <w:rPr>
          <w:rFonts w:ascii="Arial" w:hAnsi="Arial" w:eastAsia="Arial"/>
          <w:b w:val="0"/>
          <w:i w:val="0"/>
        </w:rPr>
        <w:t>The primary v9.0 changes are the controlled addition of Dograh as the Voice Agent Orchestration Platform and GitNexus as a governed code-intelligence and AI-agent context tool. Dograh is not treated as the only STT or TTS engine. Whisper, faster-whisper, whisper.cpp, Piper, Kokoro, and other approved providers remain swappable provider adapters behind AIRA controls. GitNexus is not a source-control replacement and must not execute changes; it is a derivative code-intelligence layer for impact analysis, dependency graphing, call-chain understanding, and MCP-mediated context delivery to approved AI assistants.</w:t>
      </w:r>
    </w:p>
    <w:tbl>
      <w:tblPr>
        <w:tblStyle w:val="TableGrid"/>
        <w:tblW w:type="auto" w:w="0"/>
        <w:jc w:val="center"/>
        <w:tblLook w:firstColumn="1" w:firstRow="1" w:lastColumn="0" w:lastRow="0" w:noHBand="0" w:noVBand="1" w:val="04A0"/>
      </w:tblPr>
      <w:tblGrid>
        <w:gridCol w:w="10656"/>
      </w:tblGrid>
      <w:tr>
        <w:tc>
          <w:tcPr>
            <w:tcW w:type="dxa" w:w="10656"/>
            <w:shd w:fill="D9EAF7"/>
          </w:tcPr>
          <w:p>
            <w:pPr>
              <w:spacing w:after="0" w:line="240" w:lineRule="auto"/>
            </w:pPr>
            <w:r>
              <w:rPr>
                <w:rFonts w:ascii="Arial" w:hAnsi="Arial" w:eastAsia="Arial"/>
              </w:rPr>
            </w:r>
            <w:r>
              <w:rPr>
                <w:rFonts w:ascii="Arial" w:hAnsi="Arial" w:eastAsia="Arial"/>
                <w:b/>
                <w:color w:val="1F4E79"/>
                <w:sz w:val="18"/>
              </w:rPr>
              <w:t>v9.0 Non-Negotiable Technology Rule</w:t>
              <w:br/>
            </w:r>
            <w:r>
              <w:rPr>
                <w:rFonts w:ascii="Arial" w:hAnsi="Arial" w:eastAsia="Arial"/>
                <w:sz w:val="17"/>
              </w:rPr>
              <w:t>No AIRA technology, library, framework, model, voice component, code-intelligence component, plug-in, build tool, runtime, database extension, workflow component, prompt tool, observability component, or agent connector may be adopted unless it preserves or improves SOLID compliance, Clean Architecture boundaries, DDD bounded contexts, testability, security posture, observability, reversibility, and AVCI evidence.</w:t>
            </w:r>
          </w:p>
        </w:tc>
      </w:tr>
    </w:tbl>
    <w:tbl>
      <w:tblPr>
        <w:tblStyle w:val="TableGrid"/>
        <w:tblW w:type="auto" w:w="0"/>
        <w:jc w:val="center"/>
        <w:tblLayout w:type="autofit"/>
        <w:tblLook w:firstColumn="1" w:firstRow="1" w:lastColumn="0" w:lastRow="0" w:noHBand="0" w:noVBand="1" w:val="04A0"/>
      </w:tblPr>
      <w:tblGrid>
        <w:gridCol w:w="5328"/>
        <w:gridCol w:w="5328"/>
      </w:tblGrid>
      <w:tr>
        <w:tc>
          <w:tcPr>
            <w:tcW w:type="dxa" w:w="5328"/>
            <w:shd w:fill="1F4E79"/>
            <w:vAlign w:val="top"/>
          </w:tcPr>
          <w:p>
            <w:pPr>
              <w:spacing w:after="0" w:line="240" w:lineRule="auto"/>
              <w:jc w:val="left"/>
            </w:pPr>
            <w:r>
              <w:rPr>
                <w:rFonts w:ascii="Arial" w:hAnsi="Arial" w:eastAsia="Arial"/>
              </w:rPr>
            </w:r>
            <w:r>
              <w:rPr>
                <w:rFonts w:ascii="Arial" w:hAnsi="Arial" w:eastAsia="Arial"/>
                <w:b/>
                <w:color w:val="FFFFFF"/>
                <w:sz w:val="16"/>
              </w:rPr>
              <w:t>Strategic Outcome</w:t>
            </w:r>
          </w:p>
        </w:tc>
        <w:tc>
          <w:tcPr>
            <w:tcW w:type="dxa" w:w="5328"/>
            <w:shd w:fill="1F4E79"/>
            <w:vAlign w:val="top"/>
          </w:tcPr>
          <w:p>
            <w:pPr>
              <w:spacing w:after="0" w:line="240" w:lineRule="auto"/>
              <w:jc w:val="left"/>
            </w:pPr>
            <w:r>
              <w:rPr>
                <w:rFonts w:ascii="Arial" w:hAnsi="Arial" w:eastAsia="Arial"/>
              </w:rPr>
            </w:r>
            <w:r>
              <w:rPr>
                <w:rFonts w:ascii="Arial" w:hAnsi="Arial" w:eastAsia="Arial"/>
                <w:b/>
                <w:color w:val="FFFFFF"/>
                <w:sz w:val="16"/>
              </w:rPr>
              <w:t>v9.0 Technology Response</w:t>
            </w:r>
          </w:p>
        </w:tc>
      </w:tr>
      <w:tr>
        <w:tc>
          <w:tcPr>
            <w:tcW w:type="dxa" w:w="5328"/>
            <w:vAlign w:val="top"/>
            <w:shd w:fill="F2F2F2"/>
          </w:tcPr>
          <w:p>
            <w:pPr>
              <w:spacing w:after="0" w:line="240" w:lineRule="auto"/>
              <w:jc w:val="left"/>
            </w:pPr>
            <w:r>
              <w:rPr>
                <w:rFonts w:ascii="Arial" w:hAnsi="Arial" w:eastAsia="Arial"/>
                <w:b/>
              </w:rPr>
            </w:r>
            <w:r>
              <w:rPr>
                <w:rFonts w:ascii="Arial" w:hAnsi="Arial" w:eastAsia="Arial"/>
                <w:b w:val="0"/>
                <w:sz w:val="16"/>
              </w:rPr>
              <w:t>Architecture preservation</w:t>
            </w:r>
          </w:p>
        </w:tc>
        <w:tc>
          <w:tcPr>
            <w:tcW w:type="dxa" w:w="5328"/>
            <w:vAlign w:val="top"/>
          </w:tcPr>
          <w:p>
            <w:pPr>
              <w:spacing w:after="0" w:line="240" w:lineRule="auto"/>
              <w:jc w:val="left"/>
            </w:pPr>
            <w:r>
              <w:rPr>
                <w:rFonts w:ascii="Arial" w:hAnsi="Arial" w:eastAsia="Arial"/>
              </w:rPr>
            </w:r>
            <w:r>
              <w:rPr>
                <w:rFonts w:ascii="Arial" w:hAnsi="Arial" w:eastAsia="Arial"/>
                <w:b w:val="0"/>
                <w:sz w:val="16"/>
              </w:rPr>
              <w:t>Adds GitNexus as a read-only derivative code-intelligence layer while keeping SCM, ADRs, contracts, ArchUnit, SonarQube, Semgrep, and CI gates authoritative.</w:t>
            </w:r>
          </w:p>
        </w:tc>
      </w:tr>
      <w:tr>
        <w:tc>
          <w:tcPr>
            <w:tcW w:type="dxa" w:w="5328"/>
            <w:vAlign w:val="top"/>
            <w:shd w:fill="F2F2F2"/>
          </w:tcPr>
          <w:p>
            <w:pPr>
              <w:spacing w:after="0" w:line="240" w:lineRule="auto"/>
              <w:jc w:val="left"/>
            </w:pPr>
            <w:r>
              <w:rPr>
                <w:rFonts w:ascii="Arial" w:hAnsi="Arial" w:eastAsia="Arial"/>
                <w:b/>
              </w:rPr>
            </w:r>
            <w:r>
              <w:rPr>
                <w:rFonts w:ascii="Arial" w:hAnsi="Arial" w:eastAsia="Arial"/>
                <w:b w:val="0"/>
                <w:sz w:val="16"/>
              </w:rPr>
              <w:t>Voice AI governance</w:t>
            </w:r>
          </w:p>
        </w:tc>
        <w:tc>
          <w:tcPr>
            <w:tcW w:type="dxa" w:w="5328"/>
            <w:vAlign w:val="top"/>
          </w:tcPr>
          <w:p>
            <w:pPr>
              <w:spacing w:after="0" w:line="240" w:lineRule="auto"/>
              <w:jc w:val="left"/>
            </w:pPr>
            <w:r>
              <w:rPr>
                <w:rFonts w:ascii="Arial" w:hAnsi="Arial" w:eastAsia="Arial"/>
              </w:rPr>
            </w:r>
            <w:r>
              <w:rPr>
                <w:rFonts w:ascii="Arial" w:hAnsi="Arial" w:eastAsia="Arial"/>
                <w:b w:val="0"/>
                <w:sz w:val="16"/>
              </w:rPr>
              <w:t>Adds Dograh as voice-agent orchestration only; STT, TTS, telephony, LLM, guardrails, retention, consent, and audit remain separately governed.</w:t>
            </w:r>
          </w:p>
        </w:tc>
      </w:tr>
      <w:tr>
        <w:tc>
          <w:tcPr>
            <w:tcW w:type="dxa" w:w="5328"/>
            <w:vAlign w:val="top"/>
            <w:shd w:fill="F2F2F2"/>
          </w:tcPr>
          <w:p>
            <w:pPr>
              <w:spacing w:after="0" w:line="240" w:lineRule="auto"/>
              <w:jc w:val="left"/>
            </w:pPr>
            <w:r>
              <w:rPr>
                <w:rFonts w:ascii="Arial" w:hAnsi="Arial" w:eastAsia="Arial"/>
                <w:b/>
              </w:rPr>
            </w:r>
            <w:r>
              <w:rPr>
                <w:rFonts w:ascii="Arial" w:hAnsi="Arial" w:eastAsia="Arial"/>
                <w:b w:val="0"/>
                <w:sz w:val="16"/>
              </w:rPr>
              <w:t>Current lifecycle posture</w:t>
            </w:r>
          </w:p>
        </w:tc>
        <w:tc>
          <w:tcPr>
            <w:tcW w:type="dxa" w:w="5328"/>
            <w:vAlign w:val="top"/>
          </w:tcPr>
          <w:p>
            <w:pPr>
              <w:spacing w:after="0" w:line="240" w:lineRule="auto"/>
              <w:jc w:val="left"/>
            </w:pPr>
            <w:r>
              <w:rPr>
                <w:rFonts w:ascii="Arial" w:hAnsi="Arial" w:eastAsia="Arial"/>
              </w:rPr>
            </w:r>
            <w:r>
              <w:rPr>
                <w:rFonts w:ascii="Arial" w:hAnsi="Arial" w:eastAsia="Arial"/>
                <w:b w:val="0"/>
                <w:sz w:val="16"/>
              </w:rPr>
              <w:t>Refreshes strategic baselines for Java, Spring, React, Next.js, Node.js, PostgreSQL, Kubernetes, Argo CD, Proxmox VE, LiteLLM, NeMo Guardrails, OpenTelemetry, and related components.</w:t>
            </w:r>
          </w:p>
        </w:tc>
      </w:tr>
      <w:tr>
        <w:tc>
          <w:tcPr>
            <w:tcW w:type="dxa" w:w="5328"/>
            <w:vAlign w:val="top"/>
            <w:shd w:fill="F2F2F2"/>
          </w:tcPr>
          <w:p>
            <w:pPr>
              <w:spacing w:after="0" w:line="240" w:lineRule="auto"/>
              <w:jc w:val="left"/>
            </w:pPr>
            <w:r>
              <w:rPr>
                <w:rFonts w:ascii="Arial" w:hAnsi="Arial" w:eastAsia="Arial"/>
                <w:b/>
              </w:rPr>
            </w:r>
            <w:r>
              <w:rPr>
                <w:rFonts w:ascii="Arial" w:hAnsi="Arial" w:eastAsia="Arial"/>
                <w:b w:val="0"/>
                <w:sz w:val="16"/>
              </w:rPr>
              <w:t>Safe AI acceleration</w:t>
            </w:r>
          </w:p>
        </w:tc>
        <w:tc>
          <w:tcPr>
            <w:tcW w:type="dxa" w:w="5328"/>
            <w:vAlign w:val="top"/>
          </w:tcPr>
          <w:p>
            <w:pPr>
              <w:spacing w:after="0" w:line="240" w:lineRule="auto"/>
              <w:jc w:val="left"/>
            </w:pPr>
            <w:r>
              <w:rPr>
                <w:rFonts w:ascii="Arial" w:hAnsi="Arial" w:eastAsia="Arial"/>
              </w:rPr>
            </w:r>
            <w:r>
              <w:rPr>
                <w:rFonts w:ascii="Arial" w:hAnsi="Arial" w:eastAsia="Arial"/>
                <w:b w:val="0"/>
                <w:sz w:val="16"/>
              </w:rPr>
              <w:t>Keeps LiteLLM-only model routing, NeMo guardrails, Harness-mediated tool execution, SBAC, OPA, trust scoring, and human approval for high-impact action.</w:t>
            </w:r>
          </w:p>
        </w:tc>
      </w:tr>
      <w:tr>
        <w:tc>
          <w:tcPr>
            <w:tcW w:type="dxa" w:w="5328"/>
            <w:vAlign w:val="top"/>
            <w:shd w:fill="F2F2F2"/>
          </w:tcPr>
          <w:p>
            <w:pPr>
              <w:spacing w:after="0" w:line="240" w:lineRule="auto"/>
              <w:jc w:val="left"/>
            </w:pPr>
            <w:r>
              <w:rPr>
                <w:rFonts w:ascii="Arial" w:hAnsi="Arial" w:eastAsia="Arial"/>
                <w:b/>
              </w:rPr>
            </w:r>
            <w:r>
              <w:rPr>
                <w:rFonts w:ascii="Arial" w:hAnsi="Arial" w:eastAsia="Arial"/>
                <w:b w:val="0"/>
                <w:sz w:val="16"/>
              </w:rPr>
              <w:t>Supply-chain control</w:t>
            </w:r>
          </w:p>
        </w:tc>
        <w:tc>
          <w:tcPr>
            <w:tcW w:type="dxa" w:w="5328"/>
            <w:vAlign w:val="top"/>
          </w:tcPr>
          <w:p>
            <w:pPr>
              <w:spacing w:after="0" w:line="240" w:lineRule="auto"/>
              <w:jc w:val="left"/>
            </w:pPr>
            <w:r>
              <w:rPr>
                <w:rFonts w:ascii="Arial" w:hAnsi="Arial" w:eastAsia="Arial"/>
              </w:rPr>
            </w:r>
            <w:r>
              <w:rPr>
                <w:rFonts w:ascii="Arial" w:hAnsi="Arial" w:eastAsia="Arial"/>
                <w:b w:val="0"/>
                <w:sz w:val="16"/>
              </w:rPr>
              <w:t>Adds stronger explicit controls for Sigstore/Cosign, provenance, SBOM, OpenSSF Scorecard, Renovate/Dependabot, Gitleaks, Trivy, and signed Golden Source artifacts.</w:t>
            </w:r>
          </w:p>
        </w:tc>
      </w:tr>
      <w:tr>
        <w:tc>
          <w:tcPr>
            <w:tcW w:type="dxa" w:w="5328"/>
            <w:vAlign w:val="top"/>
            <w:shd w:fill="F2F2F2"/>
          </w:tcPr>
          <w:p>
            <w:pPr>
              <w:spacing w:after="0" w:line="240" w:lineRule="auto"/>
              <w:jc w:val="left"/>
            </w:pPr>
            <w:r>
              <w:rPr>
                <w:rFonts w:ascii="Arial" w:hAnsi="Arial" w:eastAsia="Arial"/>
                <w:b/>
              </w:rPr>
            </w:r>
            <w:r>
              <w:rPr>
                <w:rFonts w:ascii="Arial" w:hAnsi="Arial" w:eastAsia="Arial"/>
                <w:b w:val="0"/>
                <w:sz w:val="16"/>
              </w:rPr>
              <w:t>Controlled improvement</w:t>
            </w:r>
          </w:p>
        </w:tc>
        <w:tc>
          <w:tcPr>
            <w:tcW w:type="dxa" w:w="5328"/>
            <w:vAlign w:val="top"/>
          </w:tcPr>
          <w:p>
            <w:pPr>
              <w:spacing w:after="0" w:line="240" w:lineRule="auto"/>
              <w:jc w:val="left"/>
            </w:pPr>
            <w:r>
              <w:rPr>
                <w:rFonts w:ascii="Arial" w:hAnsi="Arial" w:eastAsia="Arial"/>
              </w:rPr>
            </w:r>
            <w:r>
              <w:rPr>
                <w:rFonts w:ascii="Arial" w:hAnsi="Arial" w:eastAsia="Arial"/>
                <w:b w:val="0"/>
                <w:sz w:val="16"/>
              </w:rPr>
              <w:t>Auto-Heal, Auto-Learn, and Auto-Improve may propose technology refreshes only through reviewable, tested, reversible, evidence-producing paths.</w:t>
            </w:r>
          </w:p>
        </w:tc>
      </w:tr>
    </w:tbl>
    <w:p>
      <w:pPr>
        <w:spacing w:after="100" w:line="252" w:lineRule="auto"/>
      </w:pPr>
    </w:p>
    <w:p>
      <w:pPr>
        <w:pStyle w:val="Heading1"/>
        <w:spacing w:before="160" w:after="80"/>
      </w:pPr>
      <w:r>
        <w:rPr>
          <w:rFonts w:ascii="Arial" w:hAnsi="Arial" w:eastAsia="Arial"/>
          <w:b w:val="0"/>
          <w:i w:val="0"/>
        </w:rPr>
        <w:t>2. v8.0 Review Findings and v9.0 Decisions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152"/>
            <w:shd w:fill="1F4E79"/>
            <w:vAlign w:val="top"/>
          </w:tcPr>
          <w:p>
            <w:pPr>
              <w:spacing w:after="0" w:line="240" w:lineRule="auto"/>
              <w:jc w:val="left"/>
            </w:pPr>
            <w:r>
              <w:rPr>
                <w:rFonts w:ascii="Arial" w:hAnsi="Arial" w:eastAsia="Arial"/>
              </w:rPr>
            </w:r>
            <w:r>
              <w:rPr>
                <w:rFonts w:ascii="Arial" w:hAnsi="Arial" w:eastAsia="Arial"/>
                <w:b/>
                <w:color w:val="FFFFFF"/>
                <w:sz w:val="15"/>
              </w:rPr>
              <w:t>Severity</w:t>
            </w:r>
          </w:p>
        </w:tc>
        <w:tc>
          <w:tcPr>
            <w:tcW w:type="dxa" w:w="4464"/>
            <w:shd w:fill="1F4E79"/>
            <w:vAlign w:val="top"/>
          </w:tcPr>
          <w:p>
            <w:pPr>
              <w:spacing w:after="0" w:line="240" w:lineRule="auto"/>
              <w:jc w:val="left"/>
            </w:pPr>
            <w:r>
              <w:rPr>
                <w:rFonts w:ascii="Arial" w:hAnsi="Arial" w:eastAsia="Arial"/>
              </w:rPr>
            </w:r>
            <w:r>
              <w:rPr>
                <w:rFonts w:ascii="Arial" w:hAnsi="Arial" w:eastAsia="Arial"/>
                <w:b/>
                <w:color w:val="FFFFFF"/>
                <w:sz w:val="15"/>
              </w:rPr>
              <w:t>v8.0 Baseline / Gap</w:t>
            </w:r>
          </w:p>
        </w:tc>
        <w:tc>
          <w:tcPr>
            <w:tcW w:type="dxa" w:w="4752"/>
            <w:shd w:fill="1F4E79"/>
            <w:vAlign w:val="top"/>
          </w:tcPr>
          <w:p>
            <w:pPr>
              <w:spacing w:after="0" w:line="240" w:lineRule="auto"/>
              <w:jc w:val="left"/>
            </w:pPr>
            <w:r>
              <w:rPr>
                <w:rFonts w:ascii="Arial" w:hAnsi="Arial" w:eastAsia="Arial"/>
              </w:rPr>
            </w:r>
            <w:r>
              <w:rPr>
                <w:rFonts w:ascii="Arial" w:hAnsi="Arial" w:eastAsia="Arial"/>
                <w:b/>
                <w:color w:val="FFFFFF"/>
                <w:sz w:val="15"/>
              </w:rPr>
              <w:t>v9.0 Decision</w:t>
            </w:r>
          </w:p>
        </w:tc>
      </w:tr>
      <w:tr>
        <w:tc>
          <w:tcPr>
            <w:tcW w:type="dxa" w:w="1152"/>
            <w:vAlign w:val="top"/>
            <w:shd w:fill="F2F2F2"/>
          </w:tcPr>
          <w:p>
            <w:pPr>
              <w:spacing w:after="0" w:line="240" w:lineRule="auto"/>
              <w:jc w:val="left"/>
            </w:pPr>
            <w:r>
              <w:rPr>
                <w:rFonts w:ascii="Arial" w:hAnsi="Arial" w:eastAsia="Arial"/>
                <w:b/>
              </w:rPr>
            </w:r>
            <w:r>
              <w:rPr>
                <w:rFonts w:ascii="Arial" w:hAnsi="Arial" w:eastAsia="Arial"/>
                <w:b w:val="0"/>
                <w:sz w:val="15"/>
              </w:rPr>
              <w:t>Critical</w:t>
            </w:r>
          </w:p>
        </w:tc>
        <w:tc>
          <w:tcPr>
            <w:tcW w:type="dxa" w:w="4464"/>
            <w:vAlign w:val="top"/>
          </w:tcPr>
          <w:p>
            <w:pPr>
              <w:spacing w:after="0" w:line="240" w:lineRule="auto"/>
              <w:jc w:val="left"/>
            </w:pPr>
            <w:r>
              <w:rPr>
                <w:rFonts w:ascii="Arial" w:hAnsi="Arial" w:eastAsia="Arial"/>
              </w:rPr>
            </w:r>
            <w:r>
              <w:rPr>
                <w:rFonts w:ascii="Arial" w:hAnsi="Arial" w:eastAsia="Arial"/>
                <w:b w:val="0"/>
                <w:sz w:val="15"/>
              </w:rPr>
              <w:t>Voice AI was represented only through Speech/OCR components such as PaddleOCR, Whisper STT, Piper/Kokoro TTS. No explicit voice-agent orchestration platform was defined.</w:t>
            </w:r>
          </w:p>
        </w:tc>
        <w:tc>
          <w:tcPr>
            <w:tcW w:type="dxa" w:w="4752"/>
            <w:vAlign w:val="top"/>
          </w:tcPr>
          <w:p>
            <w:pPr>
              <w:spacing w:after="0" w:line="240" w:lineRule="auto"/>
              <w:jc w:val="left"/>
            </w:pPr>
            <w:r>
              <w:rPr>
                <w:rFonts w:ascii="Arial" w:hAnsi="Arial" w:eastAsia="Arial"/>
              </w:rPr>
            </w:r>
            <w:r>
              <w:rPr>
                <w:rFonts w:ascii="Arial" w:hAnsi="Arial" w:eastAsia="Arial"/>
                <w:b w:val="0"/>
                <w:sz w:val="15"/>
              </w:rPr>
              <w:t>Add Dograh as Conditional / Controlled Evaluation for voice-agent orchestration. It may orchestrate conversation flows, telephony/WebRTC, and voice workflows, but STT/TTS/LLM providers remain behind approved adapters and LiteLLM/guardrail controls.</w:t>
            </w:r>
          </w:p>
        </w:tc>
      </w:tr>
      <w:tr>
        <w:tc>
          <w:tcPr>
            <w:tcW w:type="dxa" w:w="1152"/>
            <w:vAlign w:val="top"/>
            <w:shd w:fill="F2F2F2"/>
          </w:tcPr>
          <w:p>
            <w:pPr>
              <w:spacing w:after="0" w:line="240" w:lineRule="auto"/>
              <w:jc w:val="left"/>
            </w:pPr>
            <w:r>
              <w:rPr>
                <w:rFonts w:ascii="Arial" w:hAnsi="Arial" w:eastAsia="Arial"/>
                <w:b/>
              </w:rPr>
            </w:r>
            <w:r>
              <w:rPr>
                <w:rFonts w:ascii="Arial" w:hAnsi="Arial" w:eastAsia="Arial"/>
                <w:b w:val="0"/>
                <w:sz w:val="15"/>
              </w:rPr>
              <w:t>Critical</w:t>
            </w:r>
          </w:p>
        </w:tc>
        <w:tc>
          <w:tcPr>
            <w:tcW w:type="dxa" w:w="4464"/>
            <w:vAlign w:val="top"/>
          </w:tcPr>
          <w:p>
            <w:pPr>
              <w:spacing w:after="0" w:line="240" w:lineRule="auto"/>
              <w:jc w:val="left"/>
            </w:pPr>
            <w:r>
              <w:rPr>
                <w:rFonts w:ascii="Arial" w:hAnsi="Arial" w:eastAsia="Arial"/>
              </w:rPr>
            </w:r>
            <w:r>
              <w:rPr>
                <w:rFonts w:ascii="Arial" w:hAnsi="Arial" w:eastAsia="Arial"/>
                <w:b w:val="0"/>
                <w:sz w:val="15"/>
              </w:rPr>
              <w:t>Codebase-level AI context tooling was not explicit. AI assistants could still rely on limited file context without governed whole-codebase impact awareness.</w:t>
            </w:r>
          </w:p>
        </w:tc>
        <w:tc>
          <w:tcPr>
            <w:tcW w:type="dxa" w:w="4752"/>
            <w:vAlign w:val="top"/>
          </w:tcPr>
          <w:p>
            <w:pPr>
              <w:spacing w:after="0" w:line="240" w:lineRule="auto"/>
              <w:jc w:val="left"/>
            </w:pPr>
            <w:r>
              <w:rPr>
                <w:rFonts w:ascii="Arial" w:hAnsi="Arial" w:eastAsia="Arial"/>
              </w:rPr>
            </w:r>
            <w:r>
              <w:rPr>
                <w:rFonts w:ascii="Arial" w:hAnsi="Arial" w:eastAsia="Arial"/>
                <w:b w:val="0"/>
                <w:sz w:val="15"/>
              </w:rPr>
              <w:t>Add GitNexus as Conditional / Controlled Developer Code Intelligence. It may provide repo indexing, dependency/call graph, and MCP context to approved assistants, but it remains read-only, derivative, and non-authoritative.</w:t>
            </w:r>
          </w:p>
        </w:tc>
      </w:tr>
      <w:tr>
        <w:tc>
          <w:tcPr>
            <w:tcW w:type="dxa" w:w="1152"/>
            <w:vAlign w:val="top"/>
            <w:shd w:fill="F2F2F2"/>
          </w:tcPr>
          <w:p>
            <w:pPr>
              <w:spacing w:after="0" w:line="240" w:lineRule="auto"/>
              <w:jc w:val="left"/>
            </w:pPr>
            <w:r>
              <w:rPr>
                <w:rFonts w:ascii="Arial" w:hAnsi="Arial" w:eastAsia="Arial"/>
                <w:b/>
              </w:rPr>
            </w:r>
            <w:r>
              <w:rPr>
                <w:rFonts w:ascii="Arial" w:hAnsi="Arial" w:eastAsia="Arial"/>
                <w:b w:val="0"/>
                <w:sz w:val="15"/>
              </w:rPr>
              <w:t>High</w:t>
            </w:r>
          </w:p>
        </w:tc>
        <w:tc>
          <w:tcPr>
            <w:tcW w:type="dxa" w:w="4464"/>
            <w:vAlign w:val="top"/>
          </w:tcPr>
          <w:p>
            <w:pPr>
              <w:spacing w:after="0" w:line="240" w:lineRule="auto"/>
              <w:jc w:val="left"/>
            </w:pPr>
            <w:r>
              <w:rPr>
                <w:rFonts w:ascii="Arial" w:hAnsi="Arial" w:eastAsia="Arial"/>
              </w:rPr>
            </w:r>
            <w:r>
              <w:rPr>
                <w:rFonts w:ascii="Arial" w:hAnsi="Arial" w:eastAsia="Arial"/>
                <w:b w:val="0"/>
                <w:sz w:val="15"/>
              </w:rPr>
              <w:t>Several strategic baselines were correct but needed lifecycle refresh based on current release posture.</w:t>
            </w:r>
          </w:p>
        </w:tc>
        <w:tc>
          <w:tcPr>
            <w:tcW w:type="dxa" w:w="4752"/>
            <w:vAlign w:val="top"/>
          </w:tcPr>
          <w:p>
            <w:pPr>
              <w:spacing w:after="0" w:line="240" w:lineRule="auto"/>
              <w:jc w:val="left"/>
            </w:pPr>
            <w:r>
              <w:rPr>
                <w:rFonts w:ascii="Arial" w:hAnsi="Arial" w:eastAsia="Arial"/>
              </w:rPr>
            </w:r>
            <w:r>
              <w:rPr>
                <w:rFonts w:ascii="Arial" w:hAnsi="Arial" w:eastAsia="Arial"/>
                <w:b w:val="0"/>
                <w:sz w:val="15"/>
              </w:rPr>
              <w:t>Refresh to Proxmox VE 9.1, Kubernetes supported branches 1.36/1.35/1.34, Argo CD supported 3.4/3.3/3.2, Java 25 LTS primary with Java 26 evaluation, Node 24 LTS primary with Node 26 evaluation, PostgreSQL 18, React 19.2, Next.js 16.2, LiteLLM 1.84.x, and NeMo Guardrails 0.21.x.</w:t>
            </w:r>
          </w:p>
        </w:tc>
      </w:tr>
      <w:tr>
        <w:tc>
          <w:tcPr>
            <w:tcW w:type="dxa" w:w="1152"/>
            <w:vAlign w:val="top"/>
            <w:shd w:fill="F2F2F2"/>
          </w:tcPr>
          <w:p>
            <w:pPr>
              <w:spacing w:after="0" w:line="240" w:lineRule="auto"/>
              <w:jc w:val="left"/>
            </w:pPr>
            <w:r>
              <w:rPr>
                <w:rFonts w:ascii="Arial" w:hAnsi="Arial" w:eastAsia="Arial"/>
                <w:b/>
              </w:rPr>
            </w:r>
            <w:r>
              <w:rPr>
                <w:rFonts w:ascii="Arial" w:hAnsi="Arial" w:eastAsia="Arial"/>
                <w:b w:val="0"/>
                <w:sz w:val="15"/>
              </w:rPr>
              <w:t>High</w:t>
            </w:r>
          </w:p>
        </w:tc>
        <w:tc>
          <w:tcPr>
            <w:tcW w:type="dxa" w:w="4464"/>
            <w:vAlign w:val="top"/>
          </w:tcPr>
          <w:p>
            <w:pPr>
              <w:spacing w:after="0" w:line="240" w:lineRule="auto"/>
              <w:jc w:val="left"/>
            </w:pPr>
            <w:r>
              <w:rPr>
                <w:rFonts w:ascii="Arial" w:hAnsi="Arial" w:eastAsia="Arial"/>
              </w:rPr>
            </w:r>
            <w:r>
              <w:rPr>
                <w:rFonts w:ascii="Arial" w:hAnsi="Arial" w:eastAsia="Arial"/>
                <w:b w:val="0"/>
                <w:sz w:val="15"/>
              </w:rPr>
              <w:t>AI gateway and guardrail components require stronger supply-chain and upgrade discipline due to fast-moving AI packages.</w:t>
            </w:r>
          </w:p>
        </w:tc>
        <w:tc>
          <w:tcPr>
            <w:tcW w:type="dxa" w:w="4752"/>
            <w:vAlign w:val="top"/>
          </w:tcPr>
          <w:p>
            <w:pPr>
              <w:spacing w:after="0" w:line="240" w:lineRule="auto"/>
              <w:jc w:val="left"/>
            </w:pPr>
            <w:r>
              <w:rPr>
                <w:rFonts w:ascii="Arial" w:hAnsi="Arial" w:eastAsia="Arial"/>
              </w:rPr>
            </w:r>
            <w:r>
              <w:rPr>
                <w:rFonts w:ascii="Arial" w:hAnsi="Arial" w:eastAsia="Arial"/>
                <w:b w:val="0"/>
                <w:sz w:val="15"/>
              </w:rPr>
              <w:t>Require signed images, SBOM, provenance, private package mirror, version quarantine, upgrade rehearsal, rollback plan, and post-upgrade model-route tests for LiteLLM, NeMo Guardrails, Dograh, GitNexus, and model-serving components.</w:t>
            </w:r>
          </w:p>
        </w:tc>
      </w:tr>
      <w:tr>
        <w:tc>
          <w:tcPr>
            <w:tcW w:type="dxa" w:w="1152"/>
            <w:vAlign w:val="top"/>
            <w:shd w:fill="F2F2F2"/>
          </w:tcPr>
          <w:p>
            <w:pPr>
              <w:spacing w:after="0" w:line="240" w:lineRule="auto"/>
              <w:jc w:val="left"/>
            </w:pPr>
            <w:r>
              <w:rPr>
                <w:rFonts w:ascii="Arial" w:hAnsi="Arial" w:eastAsia="Arial"/>
                <w:b/>
              </w:rPr>
            </w:r>
            <w:r>
              <w:rPr>
                <w:rFonts w:ascii="Arial" w:hAnsi="Arial" w:eastAsia="Arial"/>
                <w:b w:val="0"/>
                <w:sz w:val="15"/>
              </w:rPr>
              <w:t>High</w:t>
            </w:r>
          </w:p>
        </w:tc>
        <w:tc>
          <w:tcPr>
            <w:tcW w:type="dxa" w:w="4464"/>
            <w:vAlign w:val="top"/>
          </w:tcPr>
          <w:p>
            <w:pPr>
              <w:spacing w:after="0" w:line="240" w:lineRule="auto"/>
              <w:jc w:val="left"/>
            </w:pPr>
            <w:r>
              <w:rPr>
                <w:rFonts w:ascii="Arial" w:hAnsi="Arial" w:eastAsia="Arial"/>
              </w:rPr>
            </w:r>
            <w:r>
              <w:rPr>
                <w:rFonts w:ascii="Arial" w:hAnsi="Arial" w:eastAsia="Arial"/>
                <w:b w:val="0"/>
                <w:sz w:val="15"/>
              </w:rPr>
              <w:t>Platform security and DevSecOps controls were distributed across several standards.</w:t>
            </w:r>
          </w:p>
        </w:tc>
        <w:tc>
          <w:tcPr>
            <w:tcW w:type="dxa" w:w="4752"/>
            <w:vAlign w:val="top"/>
          </w:tcPr>
          <w:p>
            <w:pPr>
              <w:spacing w:after="0" w:line="240" w:lineRule="auto"/>
              <w:jc w:val="left"/>
            </w:pPr>
            <w:r>
              <w:rPr>
                <w:rFonts w:ascii="Arial" w:hAnsi="Arial" w:eastAsia="Arial"/>
              </w:rPr>
            </w:r>
            <w:r>
              <w:rPr>
                <w:rFonts w:ascii="Arial" w:hAnsi="Arial" w:eastAsia="Arial"/>
                <w:b w:val="0"/>
                <w:sz w:val="15"/>
              </w:rPr>
              <w:t>Add missing or explicit stack items: Sigstore/Cosign, in-toto/SLSA provenance, OpenSSF Scorecard, Renovate/Dependabot, cert-manager, External Secrets Operator, Gateway API, Cilium/NetworkPolicy, OpenFeature, OpenAPI/AsyncAPI tooling, and MCP gateway governance.</w:t>
            </w:r>
          </w:p>
        </w:tc>
      </w:tr>
      <w:tr>
        <w:tc>
          <w:tcPr>
            <w:tcW w:type="dxa" w:w="1152"/>
            <w:vAlign w:val="top"/>
            <w:shd w:fill="F2F2F2"/>
          </w:tcPr>
          <w:p>
            <w:pPr>
              <w:spacing w:after="0" w:line="240" w:lineRule="auto"/>
              <w:jc w:val="left"/>
            </w:pPr>
            <w:r>
              <w:rPr>
                <w:rFonts w:ascii="Arial" w:hAnsi="Arial" w:eastAsia="Arial"/>
                <w:b/>
              </w:rPr>
            </w:r>
            <w:r>
              <w:rPr>
                <w:rFonts w:ascii="Arial" w:hAnsi="Arial" w:eastAsia="Arial"/>
                <w:b w:val="0"/>
                <w:sz w:val="15"/>
              </w:rPr>
              <w:t>Medium</w:t>
            </w:r>
          </w:p>
        </w:tc>
        <w:tc>
          <w:tcPr>
            <w:tcW w:type="dxa" w:w="4464"/>
            <w:vAlign w:val="top"/>
          </w:tcPr>
          <w:p>
            <w:pPr>
              <w:spacing w:after="0" w:line="240" w:lineRule="auto"/>
              <w:jc w:val="left"/>
            </w:pPr>
            <w:r>
              <w:rPr>
                <w:rFonts w:ascii="Arial" w:hAnsi="Arial" w:eastAsia="Arial"/>
              </w:rPr>
            </w:r>
            <w:r>
              <w:rPr>
                <w:rFonts w:ascii="Arial" w:hAnsi="Arial" w:eastAsia="Arial"/>
                <w:b w:val="0"/>
                <w:sz w:val="15"/>
              </w:rPr>
              <w:t>Observability and security operations stack lacked explicit SOC/SOAR components in this document.</w:t>
            </w:r>
          </w:p>
        </w:tc>
        <w:tc>
          <w:tcPr>
            <w:tcW w:type="dxa" w:w="4752"/>
            <w:vAlign w:val="top"/>
          </w:tcPr>
          <w:p>
            <w:pPr>
              <w:spacing w:after="0" w:line="240" w:lineRule="auto"/>
              <w:jc w:val="left"/>
            </w:pPr>
            <w:r>
              <w:rPr>
                <w:rFonts w:ascii="Arial" w:hAnsi="Arial" w:eastAsia="Arial"/>
              </w:rPr>
            </w:r>
            <w:r>
              <w:rPr>
                <w:rFonts w:ascii="Arial" w:hAnsi="Arial" w:eastAsia="Arial"/>
                <w:b w:val="0"/>
                <w:sz w:val="15"/>
              </w:rPr>
              <w:t>Add Wazuh SIEM/XDR, TheHive/Cortex SOAR, ClamAV intake scanning, and classification-safe audit correlation as approved / conditional stack elements.</w:t>
            </w:r>
          </w:p>
        </w:tc>
      </w:tr>
      <w:tr>
        <w:tc>
          <w:tcPr>
            <w:tcW w:type="dxa" w:w="1152"/>
            <w:vAlign w:val="top"/>
            <w:shd w:fill="F2F2F2"/>
          </w:tcPr>
          <w:p>
            <w:pPr>
              <w:spacing w:after="0" w:line="240" w:lineRule="auto"/>
              <w:jc w:val="left"/>
            </w:pPr>
            <w:r>
              <w:rPr>
                <w:rFonts w:ascii="Arial" w:hAnsi="Arial" w:eastAsia="Arial"/>
                <w:b/>
              </w:rPr>
            </w:r>
            <w:r>
              <w:rPr>
                <w:rFonts w:ascii="Arial" w:hAnsi="Arial" w:eastAsia="Arial"/>
                <w:b w:val="0"/>
                <w:sz w:val="15"/>
              </w:rPr>
              <w:t>Medium</w:t>
            </w:r>
          </w:p>
        </w:tc>
        <w:tc>
          <w:tcPr>
            <w:tcW w:type="dxa" w:w="4464"/>
            <w:vAlign w:val="top"/>
          </w:tcPr>
          <w:p>
            <w:pPr>
              <w:spacing w:after="0" w:line="240" w:lineRule="auto"/>
              <w:jc w:val="left"/>
            </w:pPr>
            <w:r>
              <w:rPr>
                <w:rFonts w:ascii="Arial" w:hAnsi="Arial" w:eastAsia="Arial"/>
              </w:rPr>
            </w:r>
            <w:r>
              <w:rPr>
                <w:rFonts w:ascii="Arial" w:hAnsi="Arial" w:eastAsia="Arial"/>
                <w:b w:val="0"/>
                <w:sz w:val="15"/>
              </w:rPr>
              <w:t>Deprecated and transition items needed clearer treatment.</w:t>
            </w:r>
          </w:p>
        </w:tc>
        <w:tc>
          <w:tcPr>
            <w:tcW w:type="dxa" w:w="4752"/>
            <w:vAlign w:val="top"/>
          </w:tcPr>
          <w:p>
            <w:pPr>
              <w:spacing w:after="0" w:line="240" w:lineRule="auto"/>
              <w:jc w:val="left"/>
            </w:pPr>
            <w:r>
              <w:rPr>
                <w:rFonts w:ascii="Arial" w:hAnsi="Arial" w:eastAsia="Arial"/>
              </w:rPr>
            </w:r>
            <w:r>
              <w:rPr>
                <w:rFonts w:ascii="Arial" w:hAnsi="Arial" w:eastAsia="Arial"/>
                <w:b w:val="0"/>
                <w:sz w:val="15"/>
              </w:rPr>
              <w:t>Mark Node.js 20, Kafka ZooKeeper mode, Argo CD 3.1, direct provider SDK use, direct OpenRouter use, Docker daemon on cluster nodes, personal AI accounts, unreviewed AI knowledge, and Redis/Valkey authority patterns as Not Approved or Deprecated.</w:t>
            </w:r>
          </w:p>
        </w:tc>
      </w:tr>
    </w:tbl>
    <w:p>
      <w:pPr>
        <w:spacing w:after="100" w:line="252" w:lineRule="auto"/>
      </w:pPr>
    </w:p>
    <w:p>
      <w:pPr>
        <w:pStyle w:val="Heading1"/>
        <w:spacing w:before="160" w:after="80"/>
      </w:pPr>
      <w:r>
        <w:rPr>
          <w:rFonts w:ascii="Arial" w:hAnsi="Arial" w:eastAsia="Arial"/>
          <w:b w:val="0"/>
          <w:i w:val="0"/>
        </w:rPr>
        <w:t>3. Technology Governance Principles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936"/>
            <w:shd w:fill="1F4E79"/>
            <w:vAlign w:val="top"/>
          </w:tcPr>
          <w:p>
            <w:pPr>
              <w:spacing w:after="0" w:line="240" w:lineRule="auto"/>
              <w:jc w:val="left"/>
            </w:pPr>
            <w:r>
              <w:rPr>
                <w:rFonts w:ascii="Arial" w:hAnsi="Arial" w:eastAsia="Arial"/>
              </w:rPr>
            </w:r>
            <w:r>
              <w:rPr>
                <w:rFonts w:ascii="Arial" w:hAnsi="Arial" w:eastAsia="Arial"/>
                <w:b/>
                <w:color w:val="FFFFFF"/>
                <w:sz w:val="15"/>
              </w:rPr>
              <w:t>ID</w:t>
            </w:r>
          </w:p>
        </w:tc>
        <w:tc>
          <w:tcPr>
            <w:tcW w:type="dxa" w:w="2376"/>
            <w:shd w:fill="1F4E79"/>
            <w:vAlign w:val="top"/>
          </w:tcPr>
          <w:p>
            <w:pPr>
              <w:spacing w:after="0" w:line="240" w:lineRule="auto"/>
              <w:jc w:val="left"/>
            </w:pPr>
            <w:r>
              <w:rPr>
                <w:rFonts w:ascii="Arial" w:hAnsi="Arial" w:eastAsia="Arial"/>
              </w:rPr>
            </w:r>
            <w:r>
              <w:rPr>
                <w:rFonts w:ascii="Arial" w:hAnsi="Arial" w:eastAsia="Arial"/>
                <w:b/>
                <w:color w:val="FFFFFF"/>
                <w:sz w:val="15"/>
              </w:rPr>
              <w:t>Principle</w:t>
            </w:r>
          </w:p>
        </w:tc>
        <w:tc>
          <w:tcPr>
            <w:tcW w:type="dxa" w:w="7056"/>
            <w:shd w:fill="1F4E79"/>
            <w:vAlign w:val="top"/>
          </w:tcPr>
          <w:p>
            <w:pPr>
              <w:spacing w:after="0" w:line="240" w:lineRule="auto"/>
              <w:jc w:val="left"/>
            </w:pPr>
            <w:r>
              <w:rPr>
                <w:rFonts w:ascii="Arial" w:hAnsi="Arial" w:eastAsia="Arial"/>
              </w:rPr>
            </w:r>
            <w:r>
              <w:rPr>
                <w:rFonts w:ascii="Arial" w:hAnsi="Arial" w:eastAsia="Arial"/>
                <w:b/>
                <w:color w:val="FFFFFF"/>
                <w:sz w:val="15"/>
              </w:rPr>
              <w:t>Technology Governance Meaning</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TG-01</w:t>
            </w:r>
          </w:p>
        </w:tc>
        <w:tc>
          <w:tcPr>
            <w:tcW w:type="dxa" w:w="2376"/>
            <w:vAlign w:val="top"/>
          </w:tcPr>
          <w:p>
            <w:pPr>
              <w:spacing w:after="0" w:line="240" w:lineRule="auto"/>
              <w:jc w:val="left"/>
            </w:pPr>
            <w:r>
              <w:rPr>
                <w:rFonts w:ascii="Arial" w:hAnsi="Arial" w:eastAsia="Arial"/>
              </w:rPr>
            </w:r>
            <w:r>
              <w:rPr>
                <w:rFonts w:ascii="Arial" w:hAnsi="Arial" w:eastAsia="Arial"/>
                <w:b w:val="0"/>
                <w:sz w:val="15"/>
              </w:rPr>
              <w:t>AVCI compliance</w:t>
            </w:r>
          </w:p>
        </w:tc>
        <w:tc>
          <w:tcPr>
            <w:tcW w:type="dxa" w:w="7056"/>
            <w:vAlign w:val="top"/>
          </w:tcPr>
          <w:p>
            <w:pPr>
              <w:spacing w:after="0" w:line="240" w:lineRule="auto"/>
              <w:jc w:val="left"/>
            </w:pPr>
            <w:r>
              <w:rPr>
                <w:rFonts w:ascii="Arial" w:hAnsi="Arial" w:eastAsia="Arial"/>
              </w:rPr>
            </w:r>
            <w:r>
              <w:rPr>
                <w:rFonts w:ascii="Arial" w:hAnsi="Arial" w:eastAsia="Arial"/>
                <w:b w:val="0"/>
                <w:sz w:val="15"/>
              </w:rPr>
              <w:t>Every component has owner, source, version, validation evidence, classification, usage scope, and improvement path.</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TG-02</w:t>
            </w:r>
          </w:p>
        </w:tc>
        <w:tc>
          <w:tcPr>
            <w:tcW w:type="dxa" w:w="2376"/>
            <w:vAlign w:val="top"/>
          </w:tcPr>
          <w:p>
            <w:pPr>
              <w:spacing w:after="0" w:line="240" w:lineRule="auto"/>
              <w:jc w:val="left"/>
            </w:pPr>
            <w:r>
              <w:rPr>
                <w:rFonts w:ascii="Arial" w:hAnsi="Arial" w:eastAsia="Arial"/>
              </w:rPr>
            </w:r>
            <w:r>
              <w:rPr>
                <w:rFonts w:ascii="Arial" w:hAnsi="Arial" w:eastAsia="Arial"/>
                <w:b w:val="0"/>
                <w:sz w:val="15"/>
              </w:rPr>
              <w:t>Enterprise principles as adoption gate</w:t>
            </w:r>
          </w:p>
        </w:tc>
        <w:tc>
          <w:tcPr>
            <w:tcW w:type="dxa" w:w="7056"/>
            <w:vAlign w:val="top"/>
          </w:tcPr>
          <w:p>
            <w:pPr>
              <w:spacing w:after="0" w:line="240" w:lineRule="auto"/>
              <w:jc w:val="left"/>
            </w:pPr>
            <w:r>
              <w:rPr>
                <w:rFonts w:ascii="Arial" w:hAnsi="Arial" w:eastAsia="Arial"/>
              </w:rPr>
            </w:r>
            <w:r>
              <w:rPr>
                <w:rFonts w:ascii="Arial" w:hAnsi="Arial" w:eastAsia="Arial"/>
                <w:b w:val="0"/>
                <w:sz w:val="15"/>
              </w:rPr>
              <w:t>SOLID, Clean Architecture, DDD, ports-and-adapters, DRY/KISS/YAGNI, idempotency, determinism, fail-safe behavior, human oversight, least privilege, separation of duties, observability, policy as code, testability, security, resilience, fitness functions, progressive autonomy, reversibility, and AVCI are mandatory decision criteria.</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TG-03</w:t>
            </w:r>
          </w:p>
        </w:tc>
        <w:tc>
          <w:tcPr>
            <w:tcW w:type="dxa" w:w="2376"/>
            <w:vAlign w:val="top"/>
          </w:tcPr>
          <w:p>
            <w:pPr>
              <w:spacing w:after="0" w:line="240" w:lineRule="auto"/>
              <w:jc w:val="left"/>
            </w:pPr>
            <w:r>
              <w:rPr>
                <w:rFonts w:ascii="Arial" w:hAnsi="Arial" w:eastAsia="Arial"/>
              </w:rPr>
            </w:r>
            <w:r>
              <w:rPr>
                <w:rFonts w:ascii="Arial" w:hAnsi="Arial" w:eastAsia="Arial"/>
                <w:b w:val="0"/>
                <w:sz w:val="15"/>
              </w:rPr>
              <w:t>Model gateway first</w:t>
            </w:r>
          </w:p>
        </w:tc>
        <w:tc>
          <w:tcPr>
            <w:tcW w:type="dxa" w:w="7056"/>
            <w:vAlign w:val="top"/>
          </w:tcPr>
          <w:p>
            <w:pPr>
              <w:spacing w:after="0" w:line="240" w:lineRule="auto"/>
              <w:jc w:val="left"/>
            </w:pPr>
            <w:r>
              <w:rPr>
                <w:rFonts w:ascii="Arial" w:hAnsi="Arial" w:eastAsia="Arial"/>
              </w:rPr>
            </w:r>
            <w:r>
              <w:rPr>
                <w:rFonts w:ascii="Arial" w:hAnsi="Arial" w:eastAsia="Arial"/>
                <w:b w:val="0"/>
                <w:sz w:val="15"/>
              </w:rPr>
              <w:t>All model traffic routes through LiteLLM aliases. Direct provider SDK calls from applications, scripts, notebooks, Dograh flows, GitNexus-connected agents, or task agents are prohibited.</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TG-04</w:t>
            </w:r>
          </w:p>
        </w:tc>
        <w:tc>
          <w:tcPr>
            <w:tcW w:type="dxa" w:w="2376"/>
            <w:vAlign w:val="top"/>
          </w:tcPr>
          <w:p>
            <w:pPr>
              <w:spacing w:after="0" w:line="240" w:lineRule="auto"/>
              <w:jc w:val="left"/>
            </w:pPr>
            <w:r>
              <w:rPr>
                <w:rFonts w:ascii="Arial" w:hAnsi="Arial" w:eastAsia="Arial"/>
              </w:rPr>
            </w:r>
            <w:r>
              <w:rPr>
                <w:rFonts w:ascii="Arial" w:hAnsi="Arial" w:eastAsia="Arial"/>
                <w:b w:val="0"/>
                <w:sz w:val="15"/>
              </w:rPr>
              <w:t>Guardrails always</w:t>
            </w:r>
          </w:p>
        </w:tc>
        <w:tc>
          <w:tcPr>
            <w:tcW w:type="dxa" w:w="7056"/>
            <w:vAlign w:val="top"/>
          </w:tcPr>
          <w:p>
            <w:pPr>
              <w:spacing w:after="0" w:line="240" w:lineRule="auto"/>
              <w:jc w:val="left"/>
            </w:pPr>
            <w:r>
              <w:rPr>
                <w:rFonts w:ascii="Arial" w:hAnsi="Arial" w:eastAsia="Arial"/>
              </w:rPr>
            </w:r>
            <w:r>
              <w:rPr>
                <w:rFonts w:ascii="Arial" w:hAnsi="Arial" w:eastAsia="Arial"/>
                <w:b w:val="0"/>
                <w:sz w:val="15"/>
              </w:rPr>
              <w:t>Input, Retrieval, Execution, and Output checkpoints are mandatory for AI and voice-AI flows. Protected operations fail closed when guardrails are unavailable.</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TG-05</w:t>
            </w:r>
          </w:p>
        </w:tc>
        <w:tc>
          <w:tcPr>
            <w:tcW w:type="dxa" w:w="2376"/>
            <w:vAlign w:val="top"/>
          </w:tcPr>
          <w:p>
            <w:pPr>
              <w:spacing w:after="0" w:line="240" w:lineRule="auto"/>
              <w:jc w:val="left"/>
            </w:pPr>
            <w:r>
              <w:rPr>
                <w:rFonts w:ascii="Arial" w:hAnsi="Arial" w:eastAsia="Arial"/>
              </w:rPr>
            </w:r>
            <w:r>
              <w:rPr>
                <w:rFonts w:ascii="Arial" w:hAnsi="Arial" w:eastAsia="Arial"/>
                <w:b w:val="0"/>
                <w:sz w:val="15"/>
              </w:rPr>
              <w:t>Hermes reasons; Harness executes</w:t>
            </w:r>
          </w:p>
        </w:tc>
        <w:tc>
          <w:tcPr>
            <w:tcW w:type="dxa" w:w="7056"/>
            <w:vAlign w:val="top"/>
          </w:tcPr>
          <w:p>
            <w:pPr>
              <w:spacing w:after="0" w:line="240" w:lineRule="auto"/>
              <w:jc w:val="left"/>
            </w:pPr>
            <w:r>
              <w:rPr>
                <w:rFonts w:ascii="Arial" w:hAnsi="Arial" w:eastAsia="Arial"/>
              </w:rPr>
            </w:r>
            <w:r>
              <w:rPr>
                <w:rFonts w:ascii="Arial" w:hAnsi="Arial" w:eastAsia="Arial"/>
                <w:b w:val="0"/>
                <w:sz w:val="15"/>
              </w:rPr>
              <w:t>AI reasoning and execution are separated. Harness, SBAC, OPA, trust scoring, and audit govern tool actions. GitNexus may inform; it must not execute.</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TG-06</w:t>
            </w:r>
          </w:p>
        </w:tc>
        <w:tc>
          <w:tcPr>
            <w:tcW w:type="dxa" w:w="2376"/>
            <w:vAlign w:val="top"/>
          </w:tcPr>
          <w:p>
            <w:pPr>
              <w:spacing w:after="0" w:line="240" w:lineRule="auto"/>
              <w:jc w:val="left"/>
            </w:pPr>
            <w:r>
              <w:rPr>
                <w:rFonts w:ascii="Arial" w:hAnsi="Arial" w:eastAsia="Arial"/>
              </w:rPr>
            </w:r>
            <w:r>
              <w:rPr>
                <w:rFonts w:ascii="Arial" w:hAnsi="Arial" w:eastAsia="Arial"/>
                <w:b w:val="0"/>
                <w:sz w:val="15"/>
              </w:rPr>
              <w:t>Voice orchestration is not model authority</w:t>
            </w:r>
          </w:p>
        </w:tc>
        <w:tc>
          <w:tcPr>
            <w:tcW w:type="dxa" w:w="7056"/>
            <w:vAlign w:val="top"/>
          </w:tcPr>
          <w:p>
            <w:pPr>
              <w:spacing w:after="0" w:line="240" w:lineRule="auto"/>
              <w:jc w:val="left"/>
            </w:pPr>
            <w:r>
              <w:rPr>
                <w:rFonts w:ascii="Arial" w:hAnsi="Arial" w:eastAsia="Arial"/>
              </w:rPr>
            </w:r>
            <w:r>
              <w:rPr>
                <w:rFonts w:ascii="Arial" w:hAnsi="Arial" w:eastAsia="Arial"/>
                <w:b w:val="0"/>
                <w:sz w:val="15"/>
              </w:rPr>
              <w:t>Dograh orchestrates voice interaction, but LLM route, STT/TTS provider choice, classification, transcript retention, and tool action remain governed by AIRA.</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TG-07</w:t>
            </w:r>
          </w:p>
        </w:tc>
        <w:tc>
          <w:tcPr>
            <w:tcW w:type="dxa" w:w="2376"/>
            <w:vAlign w:val="top"/>
          </w:tcPr>
          <w:p>
            <w:pPr>
              <w:spacing w:after="0" w:line="240" w:lineRule="auto"/>
              <w:jc w:val="left"/>
            </w:pPr>
            <w:r>
              <w:rPr>
                <w:rFonts w:ascii="Arial" w:hAnsi="Arial" w:eastAsia="Arial"/>
              </w:rPr>
            </w:r>
            <w:r>
              <w:rPr>
                <w:rFonts w:ascii="Arial" w:hAnsi="Arial" w:eastAsia="Arial"/>
                <w:b w:val="0"/>
                <w:sz w:val="15"/>
              </w:rPr>
              <w:t>GitOps and policy-as-code</w:t>
            </w:r>
          </w:p>
        </w:tc>
        <w:tc>
          <w:tcPr>
            <w:tcW w:type="dxa" w:w="7056"/>
            <w:vAlign w:val="top"/>
          </w:tcPr>
          <w:p>
            <w:pPr>
              <w:spacing w:after="0" w:line="240" w:lineRule="auto"/>
              <w:jc w:val="left"/>
            </w:pPr>
            <w:r>
              <w:rPr>
                <w:rFonts w:ascii="Arial" w:hAnsi="Arial" w:eastAsia="Arial"/>
              </w:rPr>
            </w:r>
            <w:r>
              <w:rPr>
                <w:rFonts w:ascii="Arial" w:hAnsi="Arial" w:eastAsia="Arial"/>
                <w:b w:val="0"/>
                <w:sz w:val="15"/>
              </w:rPr>
              <w:t>Git is source of truth for infrastructure, manifests, policies, prompts, guardrails, model aliases, voice-flow configuration, and pipelines.</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TG-08</w:t>
            </w:r>
          </w:p>
        </w:tc>
        <w:tc>
          <w:tcPr>
            <w:tcW w:type="dxa" w:w="2376"/>
            <w:vAlign w:val="top"/>
          </w:tcPr>
          <w:p>
            <w:pPr>
              <w:spacing w:after="0" w:line="240" w:lineRule="auto"/>
              <w:jc w:val="left"/>
            </w:pPr>
            <w:r>
              <w:rPr>
                <w:rFonts w:ascii="Arial" w:hAnsi="Arial" w:eastAsia="Arial"/>
              </w:rPr>
            </w:r>
            <w:r>
              <w:rPr>
                <w:rFonts w:ascii="Arial" w:hAnsi="Arial" w:eastAsia="Arial"/>
                <w:b w:val="0"/>
                <w:sz w:val="15"/>
              </w:rPr>
              <w:t>Secure by design</w:t>
            </w:r>
          </w:p>
        </w:tc>
        <w:tc>
          <w:tcPr>
            <w:tcW w:type="dxa" w:w="7056"/>
            <w:vAlign w:val="top"/>
          </w:tcPr>
          <w:p>
            <w:pPr>
              <w:spacing w:after="0" w:line="240" w:lineRule="auto"/>
              <w:jc w:val="left"/>
            </w:pPr>
            <w:r>
              <w:rPr>
                <w:rFonts w:ascii="Arial" w:hAnsi="Arial" w:eastAsia="Arial"/>
              </w:rPr>
            </w:r>
            <w:r>
              <w:rPr>
                <w:rFonts w:ascii="Arial" w:hAnsi="Arial" w:eastAsia="Arial"/>
                <w:b w:val="0"/>
                <w:sz w:val="15"/>
              </w:rPr>
              <w:t>Identity, secrets, workload identity, scanning, logging redaction, tenant isolation, classification handling, transcript protection, and repo-index protection are stack requirements.</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TG-09</w:t>
            </w:r>
          </w:p>
        </w:tc>
        <w:tc>
          <w:tcPr>
            <w:tcW w:type="dxa" w:w="2376"/>
            <w:vAlign w:val="top"/>
          </w:tcPr>
          <w:p>
            <w:pPr>
              <w:spacing w:after="0" w:line="240" w:lineRule="auto"/>
              <w:jc w:val="left"/>
            </w:pPr>
            <w:r>
              <w:rPr>
                <w:rFonts w:ascii="Arial" w:hAnsi="Arial" w:eastAsia="Arial"/>
              </w:rPr>
            </w:r>
            <w:r>
              <w:rPr>
                <w:rFonts w:ascii="Arial" w:hAnsi="Arial" w:eastAsia="Arial"/>
                <w:b w:val="0"/>
                <w:sz w:val="15"/>
              </w:rPr>
              <w:t>Observable by default</w:t>
            </w:r>
          </w:p>
        </w:tc>
        <w:tc>
          <w:tcPr>
            <w:tcW w:type="dxa" w:w="7056"/>
            <w:vAlign w:val="top"/>
          </w:tcPr>
          <w:p>
            <w:pPr>
              <w:spacing w:after="0" w:line="240" w:lineRule="auto"/>
              <w:jc w:val="left"/>
            </w:pPr>
            <w:r>
              <w:rPr>
                <w:rFonts w:ascii="Arial" w:hAnsi="Arial" w:eastAsia="Arial"/>
              </w:rPr>
            </w:r>
            <w:r>
              <w:rPr>
                <w:rFonts w:ascii="Arial" w:hAnsi="Arial" w:eastAsia="Arial"/>
                <w:b w:val="0"/>
                <w:sz w:val="15"/>
              </w:rPr>
              <w:t>Services, workflows, voice interactions, AI interactions, model routing, GitNexus context retrieval, and platform actions emit metrics, logs, traces, audit, and evidence references.</w:t>
            </w:r>
          </w:p>
        </w:tc>
      </w:tr>
      <w:tr>
        <w:tc>
          <w:tcPr>
            <w:tcW w:type="dxa" w:w="936"/>
            <w:vAlign w:val="top"/>
            <w:shd w:fill="F2F2F2"/>
          </w:tcPr>
          <w:p>
            <w:pPr>
              <w:spacing w:after="0" w:line="240" w:lineRule="auto"/>
              <w:jc w:val="left"/>
            </w:pPr>
            <w:r>
              <w:rPr>
                <w:rFonts w:ascii="Arial" w:hAnsi="Arial" w:eastAsia="Arial"/>
                <w:b/>
              </w:rPr>
            </w:r>
            <w:r>
              <w:rPr>
                <w:rFonts w:ascii="Arial" w:hAnsi="Arial" w:eastAsia="Arial"/>
                <w:b w:val="0"/>
                <w:sz w:val="15"/>
              </w:rPr>
              <w:t>TG-10</w:t>
            </w:r>
          </w:p>
        </w:tc>
        <w:tc>
          <w:tcPr>
            <w:tcW w:type="dxa" w:w="2376"/>
            <w:vAlign w:val="top"/>
          </w:tcPr>
          <w:p>
            <w:pPr>
              <w:spacing w:after="0" w:line="240" w:lineRule="auto"/>
              <w:jc w:val="left"/>
            </w:pPr>
            <w:r>
              <w:rPr>
                <w:rFonts w:ascii="Arial" w:hAnsi="Arial" w:eastAsia="Arial"/>
              </w:rPr>
            </w:r>
            <w:r>
              <w:rPr>
                <w:rFonts w:ascii="Arial" w:hAnsi="Arial" w:eastAsia="Arial"/>
                <w:b w:val="0"/>
                <w:sz w:val="15"/>
              </w:rPr>
              <w:t>No deprecated foundations for greenfield</w:t>
            </w:r>
          </w:p>
        </w:tc>
        <w:tc>
          <w:tcPr>
            <w:tcW w:type="dxa" w:w="7056"/>
            <w:vAlign w:val="top"/>
          </w:tcPr>
          <w:p>
            <w:pPr>
              <w:spacing w:after="0" w:line="240" w:lineRule="auto"/>
              <w:jc w:val="left"/>
            </w:pPr>
            <w:r>
              <w:rPr>
                <w:rFonts w:ascii="Arial" w:hAnsi="Arial" w:eastAsia="Arial"/>
              </w:rPr>
            </w:r>
            <w:r>
              <w:rPr>
                <w:rFonts w:ascii="Arial" w:hAnsi="Arial" w:eastAsia="Arial"/>
                <w:b w:val="0"/>
                <w:sz w:val="15"/>
              </w:rPr>
              <w:t>AIRA will not start greenfield development on deprecated, EOL, non-supported, or non-approved foundations without formal waiver and exit plan.</w:t>
            </w:r>
          </w:p>
        </w:tc>
      </w:tr>
    </w:tbl>
    <w:p>
      <w:pPr>
        <w:spacing w:after="100" w:line="252" w:lineRule="auto"/>
      </w:pPr>
    </w:p>
    <w:p>
      <w:pPr>
        <w:pStyle w:val="Heading1"/>
        <w:spacing w:before="160" w:after="80"/>
      </w:pPr>
      <w:r>
        <w:rPr>
          <w:rFonts w:ascii="Arial" w:hAnsi="Arial" w:eastAsia="Arial"/>
          <w:b w:val="0"/>
          <w:i w:val="0"/>
        </w:rPr>
        <w:t>4. Enterprise Design Principles Enforcement Mapping</w:t>
      </w:r>
    </w:p>
    <w:p>
      <w:pPr>
        <w:spacing w:after="100" w:line="252" w:lineRule="auto"/>
      </w:pPr>
      <w:r>
        <w:rPr>
          <w:rFonts w:ascii="Arial" w:hAnsi="Arial" w:eastAsia="Arial"/>
          <w:b w:val="0"/>
          <w:i w:val="0"/>
        </w:rPr>
        <w:t>The following matrix maps the 20 Enterprise Design Principles to primary technology enforcement. Tools may strengthen enforcement but do not replace human accountability, ADR/TDL discipline, or CAB/Architecture Board approval.</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160"/>
            <w:shd w:fill="1F4E79"/>
            <w:vAlign w:val="top"/>
          </w:tcPr>
          <w:p>
            <w:pPr>
              <w:spacing w:after="0" w:line="240" w:lineRule="auto"/>
              <w:jc w:val="left"/>
            </w:pPr>
            <w:r>
              <w:rPr>
                <w:rFonts w:ascii="Arial" w:hAnsi="Arial" w:eastAsia="Arial"/>
              </w:rPr>
            </w:r>
            <w:r>
              <w:rPr>
                <w:rFonts w:ascii="Arial" w:hAnsi="Arial" w:eastAsia="Arial"/>
                <w:b/>
                <w:color w:val="FFFFFF"/>
                <w:sz w:val="14"/>
              </w:rPr>
              <w:t>Principle</w:t>
            </w:r>
          </w:p>
        </w:tc>
        <w:tc>
          <w:tcPr>
            <w:tcW w:type="dxa" w:w="3888"/>
            <w:shd w:fill="1F4E79"/>
            <w:vAlign w:val="top"/>
          </w:tcPr>
          <w:p>
            <w:pPr>
              <w:spacing w:after="0" w:line="240" w:lineRule="auto"/>
              <w:jc w:val="left"/>
            </w:pPr>
            <w:r>
              <w:rPr>
                <w:rFonts w:ascii="Arial" w:hAnsi="Arial" w:eastAsia="Arial"/>
              </w:rPr>
            </w:r>
            <w:r>
              <w:rPr>
                <w:rFonts w:ascii="Arial" w:hAnsi="Arial" w:eastAsia="Arial"/>
                <w:b/>
                <w:color w:val="FFFFFF"/>
                <w:sz w:val="14"/>
              </w:rPr>
              <w:t>Primary Enforcing Technologies</w:t>
            </w:r>
          </w:p>
        </w:tc>
        <w:tc>
          <w:tcPr>
            <w:tcW w:type="dxa" w:w="4320"/>
            <w:shd w:fill="1F4E79"/>
            <w:vAlign w:val="top"/>
          </w:tcPr>
          <w:p>
            <w:pPr>
              <w:spacing w:after="0" w:line="240" w:lineRule="auto"/>
              <w:jc w:val="left"/>
            </w:pPr>
            <w:r>
              <w:rPr>
                <w:rFonts w:ascii="Arial" w:hAnsi="Arial" w:eastAsia="Arial"/>
              </w:rPr>
            </w:r>
            <w:r>
              <w:rPr>
                <w:rFonts w:ascii="Arial" w:hAnsi="Arial" w:eastAsia="Arial"/>
                <w:b/>
                <w:color w:val="FFFFFF"/>
                <w:sz w:val="14"/>
              </w:rPr>
              <w:t>Required Outcome</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SOLID</w:t>
            </w:r>
          </w:p>
        </w:tc>
        <w:tc>
          <w:tcPr>
            <w:tcW w:type="dxa" w:w="3888"/>
            <w:vAlign w:val="top"/>
          </w:tcPr>
          <w:p>
            <w:pPr>
              <w:spacing w:after="0" w:line="240" w:lineRule="auto"/>
              <w:jc w:val="left"/>
            </w:pPr>
            <w:r>
              <w:rPr>
                <w:rFonts w:ascii="Arial" w:hAnsi="Arial" w:eastAsia="Arial"/>
              </w:rPr>
            </w:r>
            <w:r>
              <w:rPr>
                <w:rFonts w:ascii="Arial" w:hAnsi="Arial" w:eastAsia="Arial"/>
                <w:b w:val="0"/>
                <w:sz w:val="14"/>
              </w:rPr>
              <w:t>ArchUnit, SonarQube, Semgrep, GitNexus impact graph, code review, CLAUDE.md rules</w:t>
            </w:r>
          </w:p>
        </w:tc>
        <w:tc>
          <w:tcPr>
            <w:tcW w:type="dxa" w:w="4320"/>
            <w:vAlign w:val="top"/>
          </w:tcPr>
          <w:p>
            <w:pPr>
              <w:spacing w:after="0" w:line="240" w:lineRule="auto"/>
              <w:jc w:val="left"/>
            </w:pPr>
            <w:r>
              <w:rPr>
                <w:rFonts w:ascii="Arial" w:hAnsi="Arial" w:eastAsia="Arial"/>
              </w:rPr>
            </w:r>
            <w:r>
              <w:rPr>
                <w:rFonts w:ascii="Arial" w:hAnsi="Arial" w:eastAsia="Arial"/>
                <w:b w:val="0"/>
                <w:sz w:val="14"/>
              </w:rPr>
              <w:t>Classes, services, MicroFunctions, voice flows, and agents remain cohesive, substitutable, interface-driven, and dependency-inverted.</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Clean Architecture</w:t>
            </w:r>
          </w:p>
        </w:tc>
        <w:tc>
          <w:tcPr>
            <w:tcW w:type="dxa" w:w="3888"/>
            <w:vAlign w:val="top"/>
          </w:tcPr>
          <w:p>
            <w:pPr>
              <w:spacing w:after="0" w:line="240" w:lineRule="auto"/>
              <w:jc w:val="left"/>
            </w:pPr>
            <w:r>
              <w:rPr>
                <w:rFonts w:ascii="Arial" w:hAnsi="Arial" w:eastAsia="Arial"/>
              </w:rPr>
            </w:r>
            <w:r>
              <w:rPr>
                <w:rFonts w:ascii="Arial" w:hAnsi="Arial" w:eastAsia="Arial"/>
                <w:b w:val="0"/>
                <w:sz w:val="14"/>
              </w:rPr>
              <w:t>ArchUnit layered tests, package rules, dependency graph checks, GitNexus blast-radius review</w:t>
            </w:r>
          </w:p>
        </w:tc>
        <w:tc>
          <w:tcPr>
            <w:tcW w:type="dxa" w:w="4320"/>
            <w:vAlign w:val="top"/>
          </w:tcPr>
          <w:p>
            <w:pPr>
              <w:spacing w:after="0" w:line="240" w:lineRule="auto"/>
              <w:jc w:val="left"/>
            </w:pPr>
            <w:r>
              <w:rPr>
                <w:rFonts w:ascii="Arial" w:hAnsi="Arial" w:eastAsia="Arial"/>
              </w:rPr>
            </w:r>
            <w:r>
              <w:rPr>
                <w:rFonts w:ascii="Arial" w:hAnsi="Arial" w:eastAsia="Arial"/>
                <w:b w:val="0"/>
                <w:sz w:val="14"/>
              </w:rPr>
              <w:t>Domain/application logic remains independent from adapters, UI, database, model providers, Dograh, and infrastructure.</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DDD / Bounded Contexts</w:t>
            </w:r>
          </w:p>
        </w:tc>
        <w:tc>
          <w:tcPr>
            <w:tcW w:type="dxa" w:w="3888"/>
            <w:vAlign w:val="top"/>
          </w:tcPr>
          <w:p>
            <w:pPr>
              <w:spacing w:after="0" w:line="240" w:lineRule="auto"/>
              <w:jc w:val="left"/>
            </w:pPr>
            <w:r>
              <w:rPr>
                <w:rFonts w:ascii="Arial" w:hAnsi="Arial" w:eastAsia="Arial"/>
              </w:rPr>
            </w:r>
            <w:r>
              <w:rPr>
                <w:rFonts w:ascii="Arial" w:hAnsi="Arial" w:eastAsia="Arial"/>
                <w:b w:val="0"/>
                <w:sz w:val="14"/>
              </w:rPr>
              <w:t>Repository layout, CODEOWNERS, schema ownership, OpenAPI/AsyncAPI, GitNexus context graph</w:t>
            </w:r>
          </w:p>
        </w:tc>
        <w:tc>
          <w:tcPr>
            <w:tcW w:type="dxa" w:w="4320"/>
            <w:vAlign w:val="top"/>
          </w:tcPr>
          <w:p>
            <w:pPr>
              <w:spacing w:after="0" w:line="240" w:lineRule="auto"/>
              <w:jc w:val="left"/>
            </w:pPr>
            <w:r>
              <w:rPr>
                <w:rFonts w:ascii="Arial" w:hAnsi="Arial" w:eastAsia="Arial"/>
              </w:rPr>
            </w:r>
            <w:r>
              <w:rPr>
                <w:rFonts w:ascii="Arial" w:hAnsi="Arial" w:eastAsia="Arial"/>
                <w:b w:val="0"/>
                <w:sz w:val="14"/>
              </w:rPr>
              <w:t>Context ownership is explicit; cross-context writes and hidden shared ownership are blocked.</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Ports and Adapters</w:t>
            </w:r>
          </w:p>
        </w:tc>
        <w:tc>
          <w:tcPr>
            <w:tcW w:type="dxa" w:w="3888"/>
            <w:vAlign w:val="top"/>
          </w:tcPr>
          <w:p>
            <w:pPr>
              <w:spacing w:after="0" w:line="240" w:lineRule="auto"/>
              <w:jc w:val="left"/>
            </w:pPr>
            <w:r>
              <w:rPr>
                <w:rFonts w:ascii="Arial" w:hAnsi="Arial" w:eastAsia="Arial"/>
              </w:rPr>
            </w:r>
            <w:r>
              <w:rPr>
                <w:rFonts w:ascii="Arial" w:hAnsi="Arial" w:eastAsia="Arial"/>
                <w:b w:val="0"/>
                <w:sz w:val="14"/>
              </w:rPr>
              <w:t>Spring interfaces, adapter packages, contract tests, mock harnesses, MCP adapters</w:t>
            </w:r>
          </w:p>
        </w:tc>
        <w:tc>
          <w:tcPr>
            <w:tcW w:type="dxa" w:w="4320"/>
            <w:vAlign w:val="top"/>
          </w:tcPr>
          <w:p>
            <w:pPr>
              <w:spacing w:after="0" w:line="240" w:lineRule="auto"/>
              <w:jc w:val="left"/>
            </w:pPr>
            <w:r>
              <w:rPr>
                <w:rFonts w:ascii="Arial" w:hAnsi="Arial" w:eastAsia="Arial"/>
              </w:rPr>
            </w:r>
            <w:r>
              <w:rPr>
                <w:rFonts w:ascii="Arial" w:hAnsi="Arial" w:eastAsia="Arial"/>
                <w:b w:val="0"/>
                <w:sz w:val="14"/>
              </w:rPr>
              <w:t>External systems, voice components, code-intelligence tools, and model providers remain behind replaceable adapters.</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DRY, KISS, YAGNI</w:t>
            </w:r>
          </w:p>
        </w:tc>
        <w:tc>
          <w:tcPr>
            <w:tcW w:type="dxa" w:w="3888"/>
            <w:vAlign w:val="top"/>
          </w:tcPr>
          <w:p>
            <w:pPr>
              <w:spacing w:after="0" w:line="240" w:lineRule="auto"/>
              <w:jc w:val="left"/>
            </w:pPr>
            <w:r>
              <w:rPr>
                <w:rFonts w:ascii="Arial" w:hAnsi="Arial" w:eastAsia="Arial"/>
              </w:rPr>
            </w:r>
            <w:r>
              <w:rPr>
                <w:rFonts w:ascii="Arial" w:hAnsi="Arial" w:eastAsia="Arial"/>
                <w:b w:val="0"/>
                <w:sz w:val="14"/>
              </w:rPr>
              <w:t>SonarQube duplication, OpenRewrite, review checklist, MicroFunction reuse checks</w:t>
            </w:r>
          </w:p>
        </w:tc>
        <w:tc>
          <w:tcPr>
            <w:tcW w:type="dxa" w:w="4320"/>
            <w:vAlign w:val="top"/>
          </w:tcPr>
          <w:p>
            <w:pPr>
              <w:spacing w:after="0" w:line="240" w:lineRule="auto"/>
              <w:jc w:val="left"/>
            </w:pPr>
            <w:r>
              <w:rPr>
                <w:rFonts w:ascii="Arial" w:hAnsi="Arial" w:eastAsia="Arial"/>
              </w:rPr>
            </w:r>
            <w:r>
              <w:rPr>
                <w:rFonts w:ascii="Arial" w:hAnsi="Arial" w:eastAsia="Arial"/>
                <w:b w:val="0"/>
                <w:sz w:val="14"/>
              </w:rPr>
              <w:t>Avoid duplicated plumbing, speculative abstractions, and unnecessary voice or AI orchestration complexity.</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Idempotency by Design</w:t>
            </w:r>
          </w:p>
        </w:tc>
        <w:tc>
          <w:tcPr>
            <w:tcW w:type="dxa" w:w="3888"/>
            <w:vAlign w:val="top"/>
          </w:tcPr>
          <w:p>
            <w:pPr>
              <w:spacing w:after="0" w:line="240" w:lineRule="auto"/>
              <w:jc w:val="left"/>
            </w:pPr>
            <w:r>
              <w:rPr>
                <w:rFonts w:ascii="Arial" w:hAnsi="Arial" w:eastAsia="Arial"/>
              </w:rPr>
            </w:r>
            <w:r>
              <w:rPr>
                <w:rFonts w:ascii="Arial" w:hAnsi="Arial" w:eastAsia="Arial"/>
                <w:b w:val="0"/>
                <w:sz w:val="14"/>
              </w:rPr>
              <w:t>Idempotency registry, transactional outbox, Temporal retries, voice call replay rules</w:t>
            </w:r>
          </w:p>
        </w:tc>
        <w:tc>
          <w:tcPr>
            <w:tcW w:type="dxa" w:w="4320"/>
            <w:vAlign w:val="top"/>
          </w:tcPr>
          <w:p>
            <w:pPr>
              <w:spacing w:after="0" w:line="240" w:lineRule="auto"/>
              <w:jc w:val="left"/>
            </w:pPr>
            <w:r>
              <w:rPr>
                <w:rFonts w:ascii="Arial" w:hAnsi="Arial" w:eastAsia="Arial"/>
              </w:rPr>
            </w:r>
            <w:r>
              <w:rPr>
                <w:rFonts w:ascii="Arial" w:hAnsi="Arial" w:eastAsia="Arial"/>
                <w:b w:val="0"/>
                <w:sz w:val="14"/>
              </w:rPr>
              <w:t>Retries, callbacks, events, and voice-tool actions do not duplicate business effects.</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Determinism and Reproducibility</w:t>
            </w:r>
          </w:p>
        </w:tc>
        <w:tc>
          <w:tcPr>
            <w:tcW w:type="dxa" w:w="3888"/>
            <w:vAlign w:val="top"/>
          </w:tcPr>
          <w:p>
            <w:pPr>
              <w:spacing w:after="0" w:line="240" w:lineRule="auto"/>
              <w:jc w:val="left"/>
            </w:pPr>
            <w:r>
              <w:rPr>
                <w:rFonts w:ascii="Arial" w:hAnsi="Arial" w:eastAsia="Arial"/>
              </w:rPr>
            </w:r>
            <w:r>
              <w:rPr>
                <w:rFonts w:ascii="Arial" w:hAnsi="Arial" w:eastAsia="Arial"/>
                <w:b w:val="0"/>
                <w:sz w:val="14"/>
              </w:rPr>
              <w:t>Gradle/npm locks, devcontainers, Golden Source, pinned model/provider aliases</w:t>
            </w:r>
          </w:p>
        </w:tc>
        <w:tc>
          <w:tcPr>
            <w:tcW w:type="dxa" w:w="4320"/>
            <w:vAlign w:val="top"/>
          </w:tcPr>
          <w:p>
            <w:pPr>
              <w:spacing w:after="0" w:line="240" w:lineRule="auto"/>
              <w:jc w:val="left"/>
            </w:pPr>
            <w:r>
              <w:rPr>
                <w:rFonts w:ascii="Arial" w:hAnsi="Arial" w:eastAsia="Arial"/>
              </w:rPr>
            </w:r>
            <w:r>
              <w:rPr>
                <w:rFonts w:ascii="Arial" w:hAnsi="Arial" w:eastAsia="Arial"/>
                <w:b w:val="0"/>
                <w:sz w:val="14"/>
              </w:rPr>
              <w:t>Builds, tests, prompts, voice flows, model routes, and GitNexus indexes are reproducible.</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Fail-Safe, Not Fail-Open</w:t>
            </w:r>
          </w:p>
        </w:tc>
        <w:tc>
          <w:tcPr>
            <w:tcW w:type="dxa" w:w="3888"/>
            <w:vAlign w:val="top"/>
          </w:tcPr>
          <w:p>
            <w:pPr>
              <w:spacing w:after="0" w:line="240" w:lineRule="auto"/>
              <w:jc w:val="left"/>
            </w:pPr>
            <w:r>
              <w:rPr>
                <w:rFonts w:ascii="Arial" w:hAnsi="Arial" w:eastAsia="Arial"/>
              </w:rPr>
            </w:r>
            <w:r>
              <w:rPr>
                <w:rFonts w:ascii="Arial" w:hAnsi="Arial" w:eastAsia="Arial"/>
                <w:b w:val="0"/>
                <w:sz w:val="14"/>
              </w:rPr>
              <w:t>OPA, Vault/OpenBao, LiteLLM, NeMo Guardrails, Harness, health gates</w:t>
            </w:r>
          </w:p>
        </w:tc>
        <w:tc>
          <w:tcPr>
            <w:tcW w:type="dxa" w:w="4320"/>
            <w:vAlign w:val="top"/>
          </w:tcPr>
          <w:p>
            <w:pPr>
              <w:spacing w:after="0" w:line="240" w:lineRule="auto"/>
              <w:jc w:val="left"/>
            </w:pPr>
            <w:r>
              <w:rPr>
                <w:rFonts w:ascii="Arial" w:hAnsi="Arial" w:eastAsia="Arial"/>
              </w:rPr>
            </w:r>
            <w:r>
              <w:rPr>
                <w:rFonts w:ascii="Arial" w:hAnsi="Arial" w:eastAsia="Arial"/>
                <w:b w:val="0"/>
                <w:sz w:val="14"/>
              </w:rPr>
              <w:t>Protected operations block on unavailable controls.</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Human-in-the-Loop</w:t>
            </w:r>
          </w:p>
        </w:tc>
        <w:tc>
          <w:tcPr>
            <w:tcW w:type="dxa" w:w="3888"/>
            <w:vAlign w:val="top"/>
          </w:tcPr>
          <w:p>
            <w:pPr>
              <w:spacing w:after="0" w:line="240" w:lineRule="auto"/>
              <w:jc w:val="left"/>
            </w:pPr>
            <w:r>
              <w:rPr>
                <w:rFonts w:ascii="Arial" w:hAnsi="Arial" w:eastAsia="Arial"/>
              </w:rPr>
            </w:r>
            <w:r>
              <w:rPr>
                <w:rFonts w:ascii="Arial" w:hAnsi="Arial" w:eastAsia="Arial"/>
                <w:b w:val="0"/>
                <w:sz w:val="14"/>
              </w:rPr>
              <w:t>Flowable, CAB gates, trust thresholds, manual review queues</w:t>
            </w:r>
          </w:p>
        </w:tc>
        <w:tc>
          <w:tcPr>
            <w:tcW w:type="dxa" w:w="4320"/>
            <w:vAlign w:val="top"/>
          </w:tcPr>
          <w:p>
            <w:pPr>
              <w:spacing w:after="0" w:line="240" w:lineRule="auto"/>
              <w:jc w:val="left"/>
            </w:pPr>
            <w:r>
              <w:rPr>
                <w:rFonts w:ascii="Arial" w:hAnsi="Arial" w:eastAsia="Arial"/>
              </w:rPr>
            </w:r>
            <w:r>
              <w:rPr>
                <w:rFonts w:ascii="Arial" w:hAnsi="Arial" w:eastAsia="Arial"/>
                <w:b w:val="0"/>
                <w:sz w:val="14"/>
              </w:rPr>
              <w:t>High-impact, Restricted, low-confidence, or destructive actions require named human accountability.</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Least Privilege / SBAC</w:t>
            </w:r>
          </w:p>
        </w:tc>
        <w:tc>
          <w:tcPr>
            <w:tcW w:type="dxa" w:w="3888"/>
            <w:vAlign w:val="top"/>
          </w:tcPr>
          <w:p>
            <w:pPr>
              <w:spacing w:after="0" w:line="240" w:lineRule="auto"/>
              <w:jc w:val="left"/>
            </w:pPr>
            <w:r>
              <w:rPr>
                <w:rFonts w:ascii="Arial" w:hAnsi="Arial" w:eastAsia="Arial"/>
              </w:rPr>
            </w:r>
            <w:r>
              <w:rPr>
                <w:rFonts w:ascii="Arial" w:hAnsi="Arial" w:eastAsia="Arial"/>
                <w:b w:val="0"/>
                <w:sz w:val="14"/>
              </w:rPr>
              <w:t>Keycloak, AD, OPA, SBAC, Vault, SPIFFE/SVID, GitNexus read-only tokens</w:t>
            </w:r>
          </w:p>
        </w:tc>
        <w:tc>
          <w:tcPr>
            <w:tcW w:type="dxa" w:w="4320"/>
            <w:vAlign w:val="top"/>
          </w:tcPr>
          <w:p>
            <w:pPr>
              <w:spacing w:after="0" w:line="240" w:lineRule="auto"/>
              <w:jc w:val="left"/>
            </w:pPr>
            <w:r>
              <w:rPr>
                <w:rFonts w:ascii="Arial" w:hAnsi="Arial" w:eastAsia="Arial"/>
              </w:rPr>
            </w:r>
            <w:r>
              <w:rPr>
                <w:rFonts w:ascii="Arial" w:hAnsi="Arial" w:eastAsia="Arial"/>
                <w:b w:val="0"/>
                <w:sz w:val="14"/>
              </w:rPr>
              <w:t>Humans, services, voice agents, and AI agents receive scoped, time-bounded authority.</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Separation of Duties</w:t>
            </w:r>
          </w:p>
        </w:tc>
        <w:tc>
          <w:tcPr>
            <w:tcW w:type="dxa" w:w="3888"/>
            <w:vAlign w:val="top"/>
          </w:tcPr>
          <w:p>
            <w:pPr>
              <w:spacing w:after="0" w:line="240" w:lineRule="auto"/>
              <w:jc w:val="left"/>
            </w:pPr>
            <w:r>
              <w:rPr>
                <w:rFonts w:ascii="Arial" w:hAnsi="Arial" w:eastAsia="Arial"/>
              </w:rPr>
            </w:r>
            <w:r>
              <w:rPr>
                <w:rFonts w:ascii="Arial" w:hAnsi="Arial" w:eastAsia="Arial"/>
                <w:b w:val="0"/>
                <w:sz w:val="14"/>
              </w:rPr>
              <w:t>CODEOWNERS, branch protection, MR approvals, CI permissions</w:t>
            </w:r>
          </w:p>
        </w:tc>
        <w:tc>
          <w:tcPr>
            <w:tcW w:type="dxa" w:w="4320"/>
            <w:vAlign w:val="top"/>
          </w:tcPr>
          <w:p>
            <w:pPr>
              <w:spacing w:after="0" w:line="240" w:lineRule="auto"/>
              <w:jc w:val="left"/>
            </w:pPr>
            <w:r>
              <w:rPr>
                <w:rFonts w:ascii="Arial" w:hAnsi="Arial" w:eastAsia="Arial"/>
              </w:rPr>
            </w:r>
            <w:r>
              <w:rPr>
                <w:rFonts w:ascii="Arial" w:hAnsi="Arial" w:eastAsia="Arial"/>
                <w:b w:val="0"/>
                <w:sz w:val="14"/>
              </w:rPr>
              <w:t>Maker, checker, approver, deployer, and auditor roles remain separated.</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Observability by Design</w:t>
            </w:r>
          </w:p>
        </w:tc>
        <w:tc>
          <w:tcPr>
            <w:tcW w:type="dxa" w:w="3888"/>
            <w:vAlign w:val="top"/>
          </w:tcPr>
          <w:p>
            <w:pPr>
              <w:spacing w:after="0" w:line="240" w:lineRule="auto"/>
              <w:jc w:val="left"/>
            </w:pPr>
            <w:r>
              <w:rPr>
                <w:rFonts w:ascii="Arial" w:hAnsi="Arial" w:eastAsia="Arial"/>
              </w:rPr>
            </w:r>
            <w:r>
              <w:rPr>
                <w:rFonts w:ascii="Arial" w:hAnsi="Arial" w:eastAsia="Arial"/>
                <w:b w:val="0"/>
                <w:sz w:val="14"/>
              </w:rPr>
              <w:t>OpenTelemetry, Grafana, Prometheus, Loki, Tempo, Sentry, audit store</w:t>
            </w:r>
          </w:p>
        </w:tc>
        <w:tc>
          <w:tcPr>
            <w:tcW w:type="dxa" w:w="4320"/>
            <w:vAlign w:val="top"/>
          </w:tcPr>
          <w:p>
            <w:pPr>
              <w:spacing w:after="0" w:line="240" w:lineRule="auto"/>
              <w:jc w:val="left"/>
            </w:pPr>
            <w:r>
              <w:rPr>
                <w:rFonts w:ascii="Arial" w:hAnsi="Arial" w:eastAsia="Arial"/>
              </w:rPr>
            </w:r>
            <w:r>
              <w:rPr>
                <w:rFonts w:ascii="Arial" w:hAnsi="Arial" w:eastAsia="Arial"/>
                <w:b w:val="0"/>
                <w:sz w:val="14"/>
              </w:rPr>
              <w:t>Critical paths emit trace, metric, log, audit, and evidence references.</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Policy as Code</w:t>
            </w:r>
          </w:p>
        </w:tc>
        <w:tc>
          <w:tcPr>
            <w:tcW w:type="dxa" w:w="3888"/>
            <w:vAlign w:val="top"/>
          </w:tcPr>
          <w:p>
            <w:pPr>
              <w:spacing w:after="0" w:line="240" w:lineRule="auto"/>
              <w:jc w:val="left"/>
            </w:pPr>
            <w:r>
              <w:rPr>
                <w:rFonts w:ascii="Arial" w:hAnsi="Arial" w:eastAsia="Arial"/>
              </w:rPr>
            </w:r>
            <w:r>
              <w:rPr>
                <w:rFonts w:ascii="Arial" w:hAnsi="Arial" w:eastAsia="Arial"/>
                <w:b w:val="0"/>
                <w:sz w:val="14"/>
              </w:rPr>
              <w:t>OPA/Rego, Conftest, Gatekeeper/Kyverno, admission policies</w:t>
            </w:r>
          </w:p>
        </w:tc>
        <w:tc>
          <w:tcPr>
            <w:tcW w:type="dxa" w:w="4320"/>
            <w:vAlign w:val="top"/>
          </w:tcPr>
          <w:p>
            <w:pPr>
              <w:spacing w:after="0" w:line="240" w:lineRule="auto"/>
              <w:jc w:val="left"/>
            </w:pPr>
            <w:r>
              <w:rPr>
                <w:rFonts w:ascii="Arial" w:hAnsi="Arial" w:eastAsia="Arial"/>
              </w:rPr>
            </w:r>
            <w:r>
              <w:rPr>
                <w:rFonts w:ascii="Arial" w:hAnsi="Arial" w:eastAsia="Arial"/>
                <w:b w:val="0"/>
                <w:sz w:val="14"/>
              </w:rPr>
              <w:t>Rules are versioned, tested, and enforced by machines.</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Testability by Design</w:t>
            </w:r>
          </w:p>
        </w:tc>
        <w:tc>
          <w:tcPr>
            <w:tcW w:type="dxa" w:w="3888"/>
            <w:vAlign w:val="top"/>
          </w:tcPr>
          <w:p>
            <w:pPr>
              <w:spacing w:after="0" w:line="240" w:lineRule="auto"/>
              <w:jc w:val="left"/>
            </w:pPr>
            <w:r>
              <w:rPr>
                <w:rFonts w:ascii="Arial" w:hAnsi="Arial" w:eastAsia="Arial"/>
              </w:rPr>
            </w:r>
            <w:r>
              <w:rPr>
                <w:rFonts w:ascii="Arial" w:hAnsi="Arial" w:eastAsia="Arial"/>
                <w:b w:val="0"/>
                <w:sz w:val="14"/>
              </w:rPr>
              <w:t>JUnit, Vitest, Playwright, Testcontainers, contract tests, mutation tests</w:t>
            </w:r>
          </w:p>
        </w:tc>
        <w:tc>
          <w:tcPr>
            <w:tcW w:type="dxa" w:w="4320"/>
            <w:vAlign w:val="top"/>
          </w:tcPr>
          <w:p>
            <w:pPr>
              <w:spacing w:after="0" w:line="240" w:lineRule="auto"/>
              <w:jc w:val="left"/>
            </w:pPr>
            <w:r>
              <w:rPr>
                <w:rFonts w:ascii="Arial" w:hAnsi="Arial" w:eastAsia="Arial"/>
              </w:rPr>
            </w:r>
            <w:r>
              <w:rPr>
                <w:rFonts w:ascii="Arial" w:hAnsi="Arial" w:eastAsia="Arial"/>
                <w:b w:val="0"/>
                <w:sz w:val="14"/>
              </w:rPr>
              <w:t>Code, configurations, voice flows, prompts, and guardrails are testable before merge.</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Secure by Design</w:t>
            </w:r>
          </w:p>
        </w:tc>
        <w:tc>
          <w:tcPr>
            <w:tcW w:type="dxa" w:w="3888"/>
            <w:vAlign w:val="top"/>
          </w:tcPr>
          <w:p>
            <w:pPr>
              <w:spacing w:after="0" w:line="240" w:lineRule="auto"/>
              <w:jc w:val="left"/>
            </w:pPr>
            <w:r>
              <w:rPr>
                <w:rFonts w:ascii="Arial" w:hAnsi="Arial" w:eastAsia="Arial"/>
              </w:rPr>
            </w:r>
            <w:r>
              <w:rPr>
                <w:rFonts w:ascii="Arial" w:hAnsi="Arial" w:eastAsia="Arial"/>
                <w:b w:val="0"/>
                <w:sz w:val="14"/>
              </w:rPr>
              <w:t>Semgrep, OWASP ZAP, Trivy, Gitleaks, Vault, Keycloak, Wazuh</w:t>
            </w:r>
          </w:p>
        </w:tc>
        <w:tc>
          <w:tcPr>
            <w:tcW w:type="dxa" w:w="4320"/>
            <w:vAlign w:val="top"/>
          </w:tcPr>
          <w:p>
            <w:pPr>
              <w:spacing w:after="0" w:line="240" w:lineRule="auto"/>
              <w:jc w:val="left"/>
            </w:pPr>
            <w:r>
              <w:rPr>
                <w:rFonts w:ascii="Arial" w:hAnsi="Arial" w:eastAsia="Arial"/>
              </w:rPr>
            </w:r>
            <w:r>
              <w:rPr>
                <w:rFonts w:ascii="Arial" w:hAnsi="Arial" w:eastAsia="Arial"/>
                <w:b w:val="0"/>
                <w:sz w:val="14"/>
              </w:rPr>
              <w:t>Security controls are embedded from design through operation.</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Resilience Patterns</w:t>
            </w:r>
          </w:p>
        </w:tc>
        <w:tc>
          <w:tcPr>
            <w:tcW w:type="dxa" w:w="3888"/>
            <w:vAlign w:val="top"/>
          </w:tcPr>
          <w:p>
            <w:pPr>
              <w:spacing w:after="0" w:line="240" w:lineRule="auto"/>
              <w:jc w:val="left"/>
            </w:pPr>
            <w:r>
              <w:rPr>
                <w:rFonts w:ascii="Arial" w:hAnsi="Arial" w:eastAsia="Arial"/>
              </w:rPr>
            </w:r>
            <w:r>
              <w:rPr>
                <w:rFonts w:ascii="Arial" w:hAnsi="Arial" w:eastAsia="Arial"/>
                <w:b w:val="0"/>
                <w:sz w:val="14"/>
              </w:rPr>
              <w:t>Resilience4j, Temporal, outbox, DLQ, bulkheads, fallbacks</w:t>
            </w:r>
          </w:p>
        </w:tc>
        <w:tc>
          <w:tcPr>
            <w:tcW w:type="dxa" w:w="4320"/>
            <w:vAlign w:val="top"/>
          </w:tcPr>
          <w:p>
            <w:pPr>
              <w:spacing w:after="0" w:line="240" w:lineRule="auto"/>
              <w:jc w:val="left"/>
            </w:pPr>
            <w:r>
              <w:rPr>
                <w:rFonts w:ascii="Arial" w:hAnsi="Arial" w:eastAsia="Arial"/>
              </w:rPr>
            </w:r>
            <w:r>
              <w:rPr>
                <w:rFonts w:ascii="Arial" w:hAnsi="Arial" w:eastAsia="Arial"/>
                <w:b w:val="0"/>
                <w:sz w:val="14"/>
              </w:rPr>
              <w:t>Failures are isolated, retried safely, compensated, or escalated.</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Architectural Fitness Functions</w:t>
            </w:r>
          </w:p>
        </w:tc>
        <w:tc>
          <w:tcPr>
            <w:tcW w:type="dxa" w:w="3888"/>
            <w:vAlign w:val="top"/>
          </w:tcPr>
          <w:p>
            <w:pPr>
              <w:spacing w:after="0" w:line="240" w:lineRule="auto"/>
              <w:jc w:val="left"/>
            </w:pPr>
            <w:r>
              <w:rPr>
                <w:rFonts w:ascii="Arial" w:hAnsi="Arial" w:eastAsia="Arial"/>
              </w:rPr>
            </w:r>
            <w:r>
              <w:rPr>
                <w:rFonts w:ascii="Arial" w:hAnsi="Arial" w:eastAsia="Arial"/>
                <w:b w:val="0"/>
                <w:sz w:val="14"/>
              </w:rPr>
              <w:t>ArchUnit, CI gates, dependency rules, GitNexus graph checks</w:t>
            </w:r>
          </w:p>
        </w:tc>
        <w:tc>
          <w:tcPr>
            <w:tcW w:type="dxa" w:w="4320"/>
            <w:vAlign w:val="top"/>
          </w:tcPr>
          <w:p>
            <w:pPr>
              <w:spacing w:after="0" w:line="240" w:lineRule="auto"/>
              <w:jc w:val="left"/>
            </w:pPr>
            <w:r>
              <w:rPr>
                <w:rFonts w:ascii="Arial" w:hAnsi="Arial" w:eastAsia="Arial"/>
              </w:rPr>
            </w:r>
            <w:r>
              <w:rPr>
                <w:rFonts w:ascii="Arial" w:hAnsi="Arial" w:eastAsia="Arial"/>
                <w:b w:val="0"/>
                <w:sz w:val="14"/>
              </w:rPr>
              <w:t>Architecture expectations are continuously tested.</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Progressive Autonomy</w:t>
            </w:r>
          </w:p>
        </w:tc>
        <w:tc>
          <w:tcPr>
            <w:tcW w:type="dxa" w:w="3888"/>
            <w:vAlign w:val="top"/>
          </w:tcPr>
          <w:p>
            <w:pPr>
              <w:spacing w:after="0" w:line="240" w:lineRule="auto"/>
              <w:jc w:val="left"/>
            </w:pPr>
            <w:r>
              <w:rPr>
                <w:rFonts w:ascii="Arial" w:hAnsi="Arial" w:eastAsia="Arial"/>
              </w:rPr>
            </w:r>
            <w:r>
              <w:rPr>
                <w:rFonts w:ascii="Arial" w:hAnsi="Arial" w:eastAsia="Arial"/>
                <w:b w:val="0"/>
                <w:sz w:val="14"/>
              </w:rPr>
              <w:t>Harness, SBAC, trust score, OPA, Flowable approvals</w:t>
            </w:r>
          </w:p>
        </w:tc>
        <w:tc>
          <w:tcPr>
            <w:tcW w:type="dxa" w:w="4320"/>
            <w:vAlign w:val="top"/>
          </w:tcPr>
          <w:p>
            <w:pPr>
              <w:spacing w:after="0" w:line="240" w:lineRule="auto"/>
              <w:jc w:val="left"/>
            </w:pPr>
            <w:r>
              <w:rPr>
                <w:rFonts w:ascii="Arial" w:hAnsi="Arial" w:eastAsia="Arial"/>
              </w:rPr>
            </w:r>
            <w:r>
              <w:rPr>
                <w:rFonts w:ascii="Arial" w:hAnsi="Arial" w:eastAsia="Arial"/>
                <w:b w:val="0"/>
                <w:sz w:val="14"/>
              </w:rPr>
              <w:t>AI authority expands only by evidence and remains bounded.</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Reversibility / Rollbackability</w:t>
            </w:r>
          </w:p>
        </w:tc>
        <w:tc>
          <w:tcPr>
            <w:tcW w:type="dxa" w:w="3888"/>
            <w:vAlign w:val="top"/>
          </w:tcPr>
          <w:p>
            <w:pPr>
              <w:spacing w:after="0" w:line="240" w:lineRule="auto"/>
              <w:jc w:val="left"/>
            </w:pPr>
            <w:r>
              <w:rPr>
                <w:rFonts w:ascii="Arial" w:hAnsi="Arial" w:eastAsia="Arial"/>
              </w:rPr>
            </w:r>
            <w:r>
              <w:rPr>
                <w:rFonts w:ascii="Arial" w:hAnsi="Arial" w:eastAsia="Arial"/>
                <w:b w:val="0"/>
                <w:sz w:val="14"/>
              </w:rPr>
              <w:t>Argo CD, Helm, Flyway expand/contract, feature flags, rollback plans</w:t>
            </w:r>
          </w:p>
        </w:tc>
        <w:tc>
          <w:tcPr>
            <w:tcW w:type="dxa" w:w="4320"/>
            <w:vAlign w:val="top"/>
          </w:tcPr>
          <w:p>
            <w:pPr>
              <w:spacing w:after="0" w:line="240" w:lineRule="auto"/>
              <w:jc w:val="left"/>
            </w:pPr>
            <w:r>
              <w:rPr>
                <w:rFonts w:ascii="Arial" w:hAnsi="Arial" w:eastAsia="Arial"/>
              </w:rPr>
            </w:r>
            <w:r>
              <w:rPr>
                <w:rFonts w:ascii="Arial" w:hAnsi="Arial" w:eastAsia="Arial"/>
                <w:b w:val="0"/>
                <w:sz w:val="14"/>
              </w:rPr>
              <w:t>Changes can be reverted, compensated, or forward-fixed.</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4"/>
              </w:rPr>
              <w:t>AVCI</w:t>
            </w:r>
          </w:p>
        </w:tc>
        <w:tc>
          <w:tcPr>
            <w:tcW w:type="dxa" w:w="3888"/>
            <w:vAlign w:val="top"/>
          </w:tcPr>
          <w:p>
            <w:pPr>
              <w:spacing w:after="0" w:line="240" w:lineRule="auto"/>
              <w:jc w:val="left"/>
            </w:pPr>
            <w:r>
              <w:rPr>
                <w:rFonts w:ascii="Arial" w:hAnsi="Arial" w:eastAsia="Arial"/>
              </w:rPr>
            </w:r>
            <w:r>
              <w:rPr>
                <w:rFonts w:ascii="Arial" w:hAnsi="Arial" w:eastAsia="Arial"/>
                <w:b w:val="0"/>
                <w:sz w:val="14"/>
              </w:rPr>
              <w:t>Evidence schema, PR templates, OpenKM, audit store, CI evidence pack</w:t>
            </w:r>
          </w:p>
        </w:tc>
        <w:tc>
          <w:tcPr>
            <w:tcW w:type="dxa" w:w="4320"/>
            <w:vAlign w:val="top"/>
          </w:tcPr>
          <w:p>
            <w:pPr>
              <w:spacing w:after="0" w:line="240" w:lineRule="auto"/>
              <w:jc w:val="left"/>
            </w:pPr>
            <w:r>
              <w:rPr>
                <w:rFonts w:ascii="Arial" w:hAnsi="Arial" w:eastAsia="Arial"/>
              </w:rPr>
            </w:r>
            <w:r>
              <w:rPr>
                <w:rFonts w:ascii="Arial" w:hAnsi="Arial" w:eastAsia="Arial"/>
                <w:b w:val="0"/>
                <w:sz w:val="14"/>
              </w:rPr>
              <w:t>Every artifact is attributable, verifiable, classifiable, and improvable.</w:t>
            </w:r>
          </w:p>
        </w:tc>
      </w:tr>
    </w:tbl>
    <w:p>
      <w:pPr>
        <w:spacing w:after="100" w:line="252" w:lineRule="auto"/>
      </w:pPr>
    </w:p>
    <w:p>
      <w:pPr>
        <w:pStyle w:val="Heading1"/>
        <w:spacing w:before="160" w:after="80"/>
      </w:pPr>
      <w:r>
        <w:rPr>
          <w:rFonts w:ascii="Arial" w:hAnsi="Arial" w:eastAsia="Arial"/>
          <w:b w:val="0"/>
          <w:i w:val="0"/>
        </w:rPr>
        <w:t>5. Technology Status Definitions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944"/>
            <w:shd w:fill="1F4E79"/>
            <w:vAlign w:val="top"/>
          </w:tcPr>
          <w:p>
            <w:pPr>
              <w:spacing w:after="0" w:line="240" w:lineRule="auto"/>
              <w:jc w:val="left"/>
            </w:pPr>
            <w:r>
              <w:rPr>
                <w:rFonts w:ascii="Arial" w:hAnsi="Arial" w:eastAsia="Arial"/>
              </w:rPr>
            </w:r>
            <w:r>
              <w:rPr>
                <w:rFonts w:ascii="Arial" w:hAnsi="Arial" w:eastAsia="Arial"/>
                <w:b/>
                <w:color w:val="FFFFFF"/>
                <w:sz w:val="15"/>
              </w:rPr>
              <w:t>Status</w:t>
            </w:r>
          </w:p>
        </w:tc>
        <w:tc>
          <w:tcPr>
            <w:tcW w:type="dxa" w:w="3600"/>
            <w:shd w:fill="1F4E79"/>
            <w:vAlign w:val="top"/>
          </w:tcPr>
          <w:p>
            <w:pPr>
              <w:spacing w:after="0" w:line="240" w:lineRule="auto"/>
              <w:jc w:val="left"/>
            </w:pPr>
            <w:r>
              <w:rPr>
                <w:rFonts w:ascii="Arial" w:hAnsi="Arial" w:eastAsia="Arial"/>
              </w:rPr>
            </w:r>
            <w:r>
              <w:rPr>
                <w:rFonts w:ascii="Arial" w:hAnsi="Arial" w:eastAsia="Arial"/>
                <w:b/>
                <w:color w:val="FFFFFF"/>
                <w:sz w:val="15"/>
              </w:rPr>
              <w:t>Meaning</w:t>
            </w:r>
          </w:p>
        </w:tc>
        <w:tc>
          <w:tcPr>
            <w:tcW w:type="dxa" w:w="4824"/>
            <w:shd w:fill="1F4E79"/>
            <w:vAlign w:val="top"/>
          </w:tcPr>
          <w:p>
            <w:pPr>
              <w:spacing w:after="0" w:line="240" w:lineRule="auto"/>
              <w:jc w:val="left"/>
            </w:pPr>
            <w:r>
              <w:rPr>
                <w:rFonts w:ascii="Arial" w:hAnsi="Arial" w:eastAsia="Arial"/>
              </w:rPr>
            </w:r>
            <w:r>
              <w:rPr>
                <w:rFonts w:ascii="Arial" w:hAnsi="Arial" w:eastAsia="Arial"/>
                <w:b/>
                <w:color w:val="FFFFFF"/>
                <w:sz w:val="15"/>
              </w:rPr>
              <w:t>Approval / Control Requirement</w:t>
            </w:r>
          </w:p>
        </w:tc>
      </w:tr>
      <w:tr>
        <w:tc>
          <w:tcPr>
            <w:tcW w:type="dxa" w:w="1944"/>
            <w:vAlign w:val="top"/>
            <w:shd w:fill="E2F0D9"/>
          </w:tcPr>
          <w:p>
            <w:pPr>
              <w:spacing w:after="0" w:line="240" w:lineRule="auto"/>
              <w:jc w:val="left"/>
            </w:pPr>
            <w:r>
              <w:rPr>
                <w:rFonts w:ascii="Arial" w:hAnsi="Arial" w:eastAsia="Arial"/>
                <w:b/>
              </w:rPr>
            </w:r>
            <w:r>
              <w:rPr>
                <w:rFonts w:ascii="Arial" w:hAnsi="Arial" w:eastAsia="Arial"/>
                <w:b w:val="0"/>
                <w:sz w:val="15"/>
              </w:rPr>
              <w:t>Mandatory</w:t>
            </w:r>
          </w:p>
        </w:tc>
        <w:tc>
          <w:tcPr>
            <w:tcW w:type="dxa" w:w="3600"/>
            <w:vAlign w:val="top"/>
          </w:tcPr>
          <w:p>
            <w:pPr>
              <w:spacing w:after="0" w:line="240" w:lineRule="auto"/>
              <w:jc w:val="left"/>
            </w:pPr>
            <w:r>
              <w:rPr>
                <w:rFonts w:ascii="Arial" w:hAnsi="Arial" w:eastAsia="Arial"/>
              </w:rPr>
            </w:r>
            <w:r>
              <w:rPr>
                <w:rFonts w:ascii="Arial" w:hAnsi="Arial" w:eastAsia="Arial"/>
                <w:b w:val="0"/>
                <w:sz w:val="15"/>
              </w:rPr>
              <w:t>Required for production unless formal waiver exists.</w:t>
            </w:r>
          </w:p>
        </w:tc>
        <w:tc>
          <w:tcPr>
            <w:tcW w:type="dxa" w:w="4824"/>
            <w:vAlign w:val="top"/>
          </w:tcPr>
          <w:p>
            <w:pPr>
              <w:spacing w:after="0" w:line="240" w:lineRule="auto"/>
              <w:jc w:val="left"/>
            </w:pPr>
            <w:r>
              <w:rPr>
                <w:rFonts w:ascii="Arial" w:hAnsi="Arial" w:eastAsia="Arial"/>
              </w:rPr>
            </w:r>
            <w:r>
              <w:rPr>
                <w:rFonts w:ascii="Arial" w:hAnsi="Arial" w:eastAsia="Arial"/>
                <w:b w:val="0"/>
                <w:sz w:val="15"/>
              </w:rPr>
              <w:t>Architecture, Security, and Change approval required to bypass.</w:t>
            </w:r>
          </w:p>
        </w:tc>
      </w:tr>
      <w:tr>
        <w:tc>
          <w:tcPr>
            <w:tcW w:type="dxa" w:w="1944"/>
            <w:vAlign w:val="top"/>
            <w:shd w:fill="E2F0D9"/>
          </w:tcPr>
          <w:p>
            <w:pPr>
              <w:spacing w:after="0" w:line="240" w:lineRule="auto"/>
              <w:jc w:val="left"/>
            </w:pPr>
            <w:r>
              <w:rPr>
                <w:rFonts w:ascii="Arial" w:hAnsi="Arial" w:eastAsia="Arial"/>
                <w:b/>
              </w:rPr>
            </w:r>
            <w:r>
              <w:rPr>
                <w:rFonts w:ascii="Arial" w:hAnsi="Arial" w:eastAsia="Arial"/>
                <w:b w:val="0"/>
                <w:sz w:val="15"/>
              </w:rPr>
              <w:t>Primary</w:t>
            </w:r>
          </w:p>
        </w:tc>
        <w:tc>
          <w:tcPr>
            <w:tcW w:type="dxa" w:w="3600"/>
            <w:vAlign w:val="top"/>
          </w:tcPr>
          <w:p>
            <w:pPr>
              <w:spacing w:after="0" w:line="240" w:lineRule="auto"/>
              <w:jc w:val="left"/>
            </w:pPr>
            <w:r>
              <w:rPr>
                <w:rFonts w:ascii="Arial" w:hAnsi="Arial" w:eastAsia="Arial"/>
              </w:rPr>
            </w:r>
            <w:r>
              <w:rPr>
                <w:rFonts w:ascii="Arial" w:hAnsi="Arial" w:eastAsia="Arial"/>
                <w:b w:val="0"/>
                <w:sz w:val="15"/>
              </w:rPr>
              <w:t>Default choice for new AIRA development.</w:t>
            </w:r>
          </w:p>
        </w:tc>
        <w:tc>
          <w:tcPr>
            <w:tcW w:type="dxa" w:w="4824"/>
            <w:vAlign w:val="top"/>
          </w:tcPr>
          <w:p>
            <w:pPr>
              <w:spacing w:after="0" w:line="240" w:lineRule="auto"/>
              <w:jc w:val="left"/>
            </w:pPr>
            <w:r>
              <w:rPr>
                <w:rFonts w:ascii="Arial" w:hAnsi="Arial" w:eastAsia="Arial"/>
              </w:rPr>
            </w:r>
            <w:r>
              <w:rPr>
                <w:rFonts w:ascii="Arial" w:hAnsi="Arial" w:eastAsia="Arial"/>
                <w:b w:val="0"/>
                <w:sz w:val="15"/>
              </w:rPr>
              <w:t>Alternative requires ADR/TDL and impact assessment.</w:t>
            </w:r>
          </w:p>
        </w:tc>
      </w:tr>
      <w:tr>
        <w:tc>
          <w:tcPr>
            <w:tcW w:type="dxa" w:w="1944"/>
            <w:vAlign w:val="top"/>
          </w:tcPr>
          <w:p>
            <w:pPr>
              <w:spacing w:after="0" w:line="240" w:lineRule="auto"/>
              <w:jc w:val="left"/>
            </w:pPr>
            <w:r>
              <w:rPr>
                <w:rFonts w:ascii="Arial" w:hAnsi="Arial" w:eastAsia="Arial"/>
                <w:b/>
              </w:rPr>
            </w:r>
            <w:r>
              <w:rPr>
                <w:rFonts w:ascii="Arial" w:hAnsi="Arial" w:eastAsia="Arial"/>
                <w:b w:val="0"/>
                <w:sz w:val="15"/>
              </w:rPr>
              <w:t>Approved</w:t>
            </w:r>
          </w:p>
        </w:tc>
        <w:tc>
          <w:tcPr>
            <w:tcW w:type="dxa" w:w="3600"/>
            <w:vAlign w:val="top"/>
          </w:tcPr>
          <w:p>
            <w:pPr>
              <w:spacing w:after="0" w:line="240" w:lineRule="auto"/>
              <w:jc w:val="left"/>
            </w:pPr>
            <w:r>
              <w:rPr>
                <w:rFonts w:ascii="Arial" w:hAnsi="Arial" w:eastAsia="Arial"/>
              </w:rPr>
            </w:r>
            <w:r>
              <w:rPr>
                <w:rFonts w:ascii="Arial" w:hAnsi="Arial" w:eastAsia="Arial"/>
                <w:b w:val="0"/>
                <w:sz w:val="15"/>
              </w:rPr>
              <w:t>Permitted where appropriate.</w:t>
            </w:r>
          </w:p>
        </w:tc>
        <w:tc>
          <w:tcPr>
            <w:tcW w:type="dxa" w:w="4824"/>
            <w:vAlign w:val="top"/>
          </w:tcPr>
          <w:p>
            <w:pPr>
              <w:spacing w:after="0" w:line="240" w:lineRule="auto"/>
              <w:jc w:val="left"/>
            </w:pPr>
            <w:r>
              <w:rPr>
                <w:rFonts w:ascii="Arial" w:hAnsi="Arial" w:eastAsia="Arial"/>
              </w:rPr>
            </w:r>
            <w:r>
              <w:rPr>
                <w:rFonts w:ascii="Arial" w:hAnsi="Arial" w:eastAsia="Arial"/>
                <w:b w:val="0"/>
                <w:sz w:val="15"/>
              </w:rPr>
              <w:t>Must follow configuration, security, monitoring, and evidence rules.</w:t>
            </w:r>
          </w:p>
        </w:tc>
      </w:tr>
      <w:tr>
        <w:tc>
          <w:tcPr>
            <w:tcW w:type="dxa" w:w="1944"/>
            <w:vAlign w:val="top"/>
            <w:shd w:fill="FFF2CC"/>
          </w:tcPr>
          <w:p>
            <w:pPr>
              <w:spacing w:after="0" w:line="240" w:lineRule="auto"/>
              <w:jc w:val="left"/>
            </w:pPr>
            <w:r>
              <w:rPr>
                <w:rFonts w:ascii="Arial" w:hAnsi="Arial" w:eastAsia="Arial"/>
                <w:b/>
              </w:rPr>
            </w:r>
            <w:r>
              <w:rPr>
                <w:rFonts w:ascii="Arial" w:hAnsi="Arial" w:eastAsia="Arial"/>
                <w:b w:val="0"/>
                <w:sz w:val="15"/>
              </w:rPr>
              <w:t>Conditional</w:t>
            </w:r>
          </w:p>
        </w:tc>
        <w:tc>
          <w:tcPr>
            <w:tcW w:type="dxa" w:w="3600"/>
            <w:vAlign w:val="top"/>
          </w:tcPr>
          <w:p>
            <w:pPr>
              <w:spacing w:after="0" w:line="240" w:lineRule="auto"/>
              <w:jc w:val="left"/>
            </w:pPr>
            <w:r>
              <w:rPr>
                <w:rFonts w:ascii="Arial" w:hAnsi="Arial" w:eastAsia="Arial"/>
              </w:rPr>
            </w:r>
            <w:r>
              <w:rPr>
                <w:rFonts w:ascii="Arial" w:hAnsi="Arial" w:eastAsia="Arial"/>
                <w:b w:val="0"/>
                <w:sz w:val="15"/>
              </w:rPr>
              <w:t>Allowed only after readiness, compatibility, licensing, security, or cost review.</w:t>
            </w:r>
          </w:p>
        </w:tc>
        <w:tc>
          <w:tcPr>
            <w:tcW w:type="dxa" w:w="4824"/>
            <w:vAlign w:val="top"/>
          </w:tcPr>
          <w:p>
            <w:pPr>
              <w:spacing w:after="0" w:line="240" w:lineRule="auto"/>
              <w:jc w:val="left"/>
            </w:pPr>
            <w:r>
              <w:rPr>
                <w:rFonts w:ascii="Arial" w:hAnsi="Arial" w:eastAsia="Arial"/>
              </w:rPr>
            </w:r>
            <w:r>
              <w:rPr>
                <w:rFonts w:ascii="Arial" w:hAnsi="Arial" w:eastAsia="Arial"/>
                <w:b w:val="0"/>
                <w:sz w:val="15"/>
              </w:rPr>
              <w:t>Waiver or ADR required before production use.</w:t>
            </w:r>
          </w:p>
        </w:tc>
      </w:tr>
      <w:tr>
        <w:tc>
          <w:tcPr>
            <w:tcW w:type="dxa" w:w="1944"/>
            <w:vAlign w:val="top"/>
            <w:shd w:fill="FFF2CC"/>
          </w:tcPr>
          <w:p>
            <w:pPr>
              <w:spacing w:after="0" w:line="240" w:lineRule="auto"/>
              <w:jc w:val="left"/>
            </w:pPr>
            <w:r>
              <w:rPr>
                <w:rFonts w:ascii="Arial" w:hAnsi="Arial" w:eastAsia="Arial"/>
                <w:b/>
              </w:rPr>
            </w:r>
            <w:r>
              <w:rPr>
                <w:rFonts w:ascii="Arial" w:hAnsi="Arial" w:eastAsia="Arial"/>
                <w:b w:val="0"/>
                <w:sz w:val="15"/>
              </w:rPr>
              <w:t>Evaluation</w:t>
            </w:r>
          </w:p>
        </w:tc>
        <w:tc>
          <w:tcPr>
            <w:tcW w:type="dxa" w:w="3600"/>
            <w:vAlign w:val="top"/>
          </w:tcPr>
          <w:p>
            <w:pPr>
              <w:spacing w:after="0" w:line="240" w:lineRule="auto"/>
              <w:jc w:val="left"/>
            </w:pPr>
            <w:r>
              <w:rPr>
                <w:rFonts w:ascii="Arial" w:hAnsi="Arial" w:eastAsia="Arial"/>
              </w:rPr>
            </w:r>
            <w:r>
              <w:rPr>
                <w:rFonts w:ascii="Arial" w:hAnsi="Arial" w:eastAsia="Arial"/>
                <w:b w:val="0"/>
                <w:sz w:val="15"/>
              </w:rPr>
              <w:t>Allowed only in PoC, sandbox, or architecture lab.</w:t>
            </w:r>
          </w:p>
        </w:tc>
        <w:tc>
          <w:tcPr>
            <w:tcW w:type="dxa" w:w="4824"/>
            <w:vAlign w:val="top"/>
          </w:tcPr>
          <w:p>
            <w:pPr>
              <w:spacing w:after="0" w:line="240" w:lineRule="auto"/>
              <w:jc w:val="left"/>
            </w:pPr>
            <w:r>
              <w:rPr>
                <w:rFonts w:ascii="Arial" w:hAnsi="Arial" w:eastAsia="Arial"/>
              </w:rPr>
            </w:r>
            <w:r>
              <w:rPr>
                <w:rFonts w:ascii="Arial" w:hAnsi="Arial" w:eastAsia="Arial"/>
                <w:b w:val="0"/>
                <w:sz w:val="15"/>
              </w:rPr>
              <w:t>No production data or production workflow dependency.</w:t>
            </w:r>
          </w:p>
        </w:tc>
      </w:tr>
      <w:tr>
        <w:tc>
          <w:tcPr>
            <w:tcW w:type="dxa" w:w="1944"/>
            <w:vAlign w:val="top"/>
            <w:shd w:fill="FFF2CC"/>
          </w:tcPr>
          <w:p>
            <w:pPr>
              <w:spacing w:after="0" w:line="240" w:lineRule="auto"/>
              <w:jc w:val="left"/>
            </w:pPr>
            <w:r>
              <w:rPr>
                <w:rFonts w:ascii="Arial" w:hAnsi="Arial" w:eastAsia="Arial"/>
                <w:b/>
              </w:rPr>
            </w:r>
            <w:r>
              <w:rPr>
                <w:rFonts w:ascii="Arial" w:hAnsi="Arial" w:eastAsia="Arial"/>
                <w:b w:val="0"/>
                <w:sz w:val="15"/>
              </w:rPr>
              <w:t>Transition / Watch</w:t>
            </w:r>
          </w:p>
        </w:tc>
        <w:tc>
          <w:tcPr>
            <w:tcW w:type="dxa" w:w="3600"/>
            <w:vAlign w:val="top"/>
          </w:tcPr>
          <w:p>
            <w:pPr>
              <w:spacing w:after="0" w:line="240" w:lineRule="auto"/>
              <w:jc w:val="left"/>
            </w:pPr>
            <w:r>
              <w:rPr>
                <w:rFonts w:ascii="Arial" w:hAnsi="Arial" w:eastAsia="Arial"/>
              </w:rPr>
            </w:r>
            <w:r>
              <w:rPr>
                <w:rFonts w:ascii="Arial" w:hAnsi="Arial" w:eastAsia="Arial"/>
                <w:b w:val="0"/>
                <w:sz w:val="15"/>
              </w:rPr>
              <w:t>Supported temporarily while upgrade, migration, or compatibility work is completed.</w:t>
            </w:r>
          </w:p>
        </w:tc>
        <w:tc>
          <w:tcPr>
            <w:tcW w:type="dxa" w:w="4824"/>
            <w:vAlign w:val="top"/>
          </w:tcPr>
          <w:p>
            <w:pPr>
              <w:spacing w:after="0" w:line="240" w:lineRule="auto"/>
              <w:jc w:val="left"/>
            </w:pPr>
            <w:r>
              <w:rPr>
                <w:rFonts w:ascii="Arial" w:hAnsi="Arial" w:eastAsia="Arial"/>
              </w:rPr>
            </w:r>
            <w:r>
              <w:rPr>
                <w:rFonts w:ascii="Arial" w:hAnsi="Arial" w:eastAsia="Arial"/>
                <w:b w:val="0"/>
                <w:sz w:val="15"/>
              </w:rPr>
              <w:t>Time-bounded plan and exit criteria required.</w:t>
            </w:r>
          </w:p>
        </w:tc>
      </w:tr>
      <w:tr>
        <w:tc>
          <w:tcPr>
            <w:tcW w:type="dxa" w:w="1944"/>
            <w:vAlign w:val="top"/>
            <w:shd w:fill="FCE4D6"/>
          </w:tcPr>
          <w:p>
            <w:pPr>
              <w:spacing w:after="0" w:line="240" w:lineRule="auto"/>
              <w:jc w:val="left"/>
            </w:pPr>
            <w:r>
              <w:rPr>
                <w:rFonts w:ascii="Arial" w:hAnsi="Arial" w:eastAsia="Arial"/>
                <w:b/>
              </w:rPr>
            </w:r>
            <w:r>
              <w:rPr>
                <w:rFonts w:ascii="Arial" w:hAnsi="Arial" w:eastAsia="Arial"/>
                <w:b w:val="0"/>
                <w:sz w:val="15"/>
              </w:rPr>
              <w:t>Deprecated</w:t>
            </w:r>
          </w:p>
        </w:tc>
        <w:tc>
          <w:tcPr>
            <w:tcW w:type="dxa" w:w="3600"/>
            <w:vAlign w:val="top"/>
          </w:tcPr>
          <w:p>
            <w:pPr>
              <w:spacing w:after="0" w:line="240" w:lineRule="auto"/>
              <w:jc w:val="left"/>
            </w:pPr>
            <w:r>
              <w:rPr>
                <w:rFonts w:ascii="Arial" w:hAnsi="Arial" w:eastAsia="Arial"/>
              </w:rPr>
            </w:r>
            <w:r>
              <w:rPr>
                <w:rFonts w:ascii="Arial" w:hAnsi="Arial" w:eastAsia="Arial"/>
                <w:b w:val="0"/>
                <w:sz w:val="15"/>
              </w:rPr>
              <w:t>Existing use only; no new deployment.</w:t>
            </w:r>
          </w:p>
        </w:tc>
        <w:tc>
          <w:tcPr>
            <w:tcW w:type="dxa" w:w="4824"/>
            <w:vAlign w:val="top"/>
          </w:tcPr>
          <w:p>
            <w:pPr>
              <w:spacing w:after="0" w:line="240" w:lineRule="auto"/>
              <w:jc w:val="left"/>
            </w:pPr>
            <w:r>
              <w:rPr>
                <w:rFonts w:ascii="Arial" w:hAnsi="Arial" w:eastAsia="Arial"/>
              </w:rPr>
            </w:r>
            <w:r>
              <w:rPr>
                <w:rFonts w:ascii="Arial" w:hAnsi="Arial" w:eastAsia="Arial"/>
                <w:b w:val="0"/>
                <w:sz w:val="15"/>
              </w:rPr>
              <w:t>Migration or retirement plan required.</w:t>
            </w:r>
          </w:p>
        </w:tc>
      </w:tr>
      <w:tr>
        <w:tc>
          <w:tcPr>
            <w:tcW w:type="dxa" w:w="1944"/>
            <w:vAlign w:val="top"/>
            <w:shd w:fill="FCE4D6"/>
          </w:tcPr>
          <w:p>
            <w:pPr>
              <w:spacing w:after="0" w:line="240" w:lineRule="auto"/>
              <w:jc w:val="left"/>
            </w:pPr>
            <w:r>
              <w:rPr>
                <w:rFonts w:ascii="Arial" w:hAnsi="Arial" w:eastAsia="Arial"/>
                <w:b/>
              </w:rPr>
            </w:r>
            <w:r>
              <w:rPr>
                <w:rFonts w:ascii="Arial" w:hAnsi="Arial" w:eastAsia="Arial"/>
                <w:b w:val="0"/>
                <w:sz w:val="15"/>
              </w:rPr>
              <w:t>Not Approved</w:t>
            </w:r>
          </w:p>
        </w:tc>
        <w:tc>
          <w:tcPr>
            <w:tcW w:type="dxa" w:w="3600"/>
            <w:vAlign w:val="top"/>
          </w:tcPr>
          <w:p>
            <w:pPr>
              <w:spacing w:after="0" w:line="240" w:lineRule="auto"/>
              <w:jc w:val="left"/>
            </w:pPr>
            <w:r>
              <w:rPr>
                <w:rFonts w:ascii="Arial" w:hAnsi="Arial" w:eastAsia="Arial"/>
              </w:rPr>
            </w:r>
            <w:r>
              <w:rPr>
                <w:rFonts w:ascii="Arial" w:hAnsi="Arial" w:eastAsia="Arial"/>
                <w:b w:val="0"/>
                <w:sz w:val="15"/>
              </w:rPr>
              <w:t>Prohibited for AIRA code, data, production workflows, or AI-assisted development.</w:t>
            </w:r>
          </w:p>
        </w:tc>
        <w:tc>
          <w:tcPr>
            <w:tcW w:type="dxa" w:w="4824"/>
            <w:vAlign w:val="top"/>
          </w:tcPr>
          <w:p>
            <w:pPr>
              <w:spacing w:after="0" w:line="240" w:lineRule="auto"/>
              <w:jc w:val="left"/>
            </w:pPr>
            <w:r>
              <w:rPr>
                <w:rFonts w:ascii="Arial" w:hAnsi="Arial" w:eastAsia="Arial"/>
              </w:rPr>
            </w:r>
            <w:r>
              <w:rPr>
                <w:rFonts w:ascii="Arial" w:hAnsi="Arial" w:eastAsia="Arial"/>
                <w:b w:val="0"/>
                <w:sz w:val="15"/>
              </w:rPr>
              <w:t>Use creates non-conformance and must be removed.</w:t>
            </w:r>
          </w:p>
        </w:tc>
      </w:tr>
    </w:tbl>
    <w:p>
      <w:pPr>
        <w:spacing w:after="100" w:line="252" w:lineRule="auto"/>
      </w:pPr>
    </w:p>
    <w:p>
      <w:pPr>
        <w:pStyle w:val="Heading1"/>
        <w:spacing w:before="160" w:after="80"/>
      </w:pPr>
      <w:r>
        <w:rPr>
          <w:rFonts w:ascii="Arial" w:hAnsi="Arial" w:eastAsia="Arial"/>
          <w:b w:val="0"/>
          <w:i w:val="0"/>
        </w:rPr>
        <w:t>6. Approved Technology Stack by Tier</w:t>
      </w:r>
    </w:p>
    <w:tbl>
      <w:tblPr>
        <w:tblStyle w:val="TableGrid"/>
        <w:tblW w:type="auto" w:w="0"/>
        <w:jc w:val="center"/>
        <w:tblLook w:firstColumn="1" w:firstRow="1" w:lastColumn="0" w:lastRow="0" w:noHBand="0" w:noVBand="1" w:val="04A0"/>
      </w:tblPr>
      <w:tblGrid>
        <w:gridCol w:w="10656"/>
      </w:tblGrid>
      <w:tr>
        <w:tc>
          <w:tcPr>
            <w:tcW w:type="dxa" w:w="10656"/>
            <w:shd w:fill="D9EAF7"/>
          </w:tcPr>
          <w:p>
            <w:pPr>
              <w:spacing w:after="0" w:line="240" w:lineRule="auto"/>
            </w:pPr>
            <w:r>
              <w:rPr>
                <w:rFonts w:ascii="Arial" w:hAnsi="Arial" w:eastAsia="Arial"/>
              </w:rPr>
            </w:r>
            <w:r>
              <w:rPr>
                <w:rFonts w:ascii="Arial" w:hAnsi="Arial" w:eastAsia="Arial"/>
                <w:b/>
                <w:color w:val="1F4E79"/>
                <w:sz w:val="18"/>
              </w:rPr>
              <w:t>Version Pinning Rule</w:t>
              <w:br/>
            </w:r>
            <w:r>
              <w:rPr>
                <w:rFonts w:ascii="Arial" w:hAnsi="Arial" w:eastAsia="Arial"/>
                <w:sz w:val="17"/>
              </w:rPr>
              <w:t>This standard defines approved product families and strategic baselines. Exact patch versions are pinned in Golden Source repositories during bootstrap, refreshed through controlled dependency automation, tested, signed, and promoted through AIRA change control.</w:t>
            </w:r>
          </w:p>
        </w:tc>
      </w:tr>
    </w:tbl>
    <w:p>
      <w:pPr>
        <w:pStyle w:val="Heading2"/>
        <w:spacing w:before="160" w:after="80"/>
      </w:pPr>
      <w:r>
        <w:rPr>
          <w:rFonts w:ascii="Arial" w:hAnsi="Arial" w:eastAsia="Arial"/>
          <w:b w:val="0"/>
          <w:i w:val="0"/>
        </w:rPr>
        <w:t>6.1 Tier 0 - Infrastructure, Virtualization, and OS Foundation</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088"/>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168"/>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728"/>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312"/>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Virtualization</w:t>
            </w:r>
          </w:p>
        </w:tc>
        <w:tc>
          <w:tcPr>
            <w:tcW w:type="dxa" w:w="3168"/>
            <w:vAlign w:val="top"/>
          </w:tcPr>
          <w:p>
            <w:pPr>
              <w:spacing w:after="0" w:line="240" w:lineRule="auto"/>
              <w:jc w:val="left"/>
            </w:pPr>
            <w:r>
              <w:rPr>
                <w:rFonts w:ascii="Arial" w:hAnsi="Arial" w:eastAsia="Arial"/>
              </w:rPr>
            </w:r>
            <w:r>
              <w:rPr>
                <w:rFonts w:ascii="Arial" w:hAnsi="Arial" w:eastAsia="Arial"/>
                <w:b w:val="0"/>
                <w:sz w:val="14"/>
              </w:rPr>
              <w:t>Proxmox VE 9.1.x strategic baseline; Proxmox VE 8.4 only as transition until retirement window</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Primary / Transition</w:t>
            </w:r>
          </w:p>
        </w:tc>
        <w:tc>
          <w:tcPr>
            <w:tcW w:type="dxa" w:w="3312"/>
            <w:vAlign w:val="top"/>
          </w:tcPr>
          <w:p>
            <w:pPr>
              <w:spacing w:after="0" w:line="240" w:lineRule="auto"/>
              <w:jc w:val="left"/>
            </w:pPr>
            <w:r>
              <w:rPr>
                <w:rFonts w:ascii="Arial" w:hAnsi="Arial" w:eastAsia="Arial"/>
              </w:rPr>
            </w:r>
            <w:r>
              <w:rPr>
                <w:rFonts w:ascii="Arial" w:hAnsi="Arial" w:eastAsia="Arial"/>
                <w:b w:val="0"/>
                <w:sz w:val="14"/>
              </w:rPr>
              <w:t>On-prem virtualization for dev/test/platform workloads. HA, backup, patch, and lifecycle evidence required.</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Backup Platform</w:t>
            </w:r>
          </w:p>
        </w:tc>
        <w:tc>
          <w:tcPr>
            <w:tcW w:type="dxa" w:w="3168"/>
            <w:vAlign w:val="top"/>
          </w:tcPr>
          <w:p>
            <w:pPr>
              <w:spacing w:after="0" w:line="240" w:lineRule="auto"/>
              <w:jc w:val="left"/>
            </w:pPr>
            <w:r>
              <w:rPr>
                <w:rFonts w:ascii="Arial" w:hAnsi="Arial" w:eastAsia="Arial"/>
              </w:rPr>
            </w:r>
            <w:r>
              <w:rPr>
                <w:rFonts w:ascii="Arial" w:hAnsi="Arial" w:eastAsia="Arial"/>
                <w:b w:val="0"/>
                <w:sz w:val="14"/>
              </w:rPr>
              <w:t>Proxmox Backup Server 4.2.x or approved enterprise backup platform</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312"/>
            <w:vAlign w:val="top"/>
          </w:tcPr>
          <w:p>
            <w:pPr>
              <w:spacing w:after="0" w:line="240" w:lineRule="auto"/>
              <w:jc w:val="left"/>
            </w:pPr>
            <w:r>
              <w:rPr>
                <w:rFonts w:ascii="Arial" w:hAnsi="Arial" w:eastAsia="Arial"/>
              </w:rPr>
            </w:r>
            <w:r>
              <w:rPr>
                <w:rFonts w:ascii="Arial" w:hAnsi="Arial" w:eastAsia="Arial"/>
                <w:b w:val="0"/>
                <w:sz w:val="14"/>
              </w:rPr>
              <w:t>Immutable backup, restore drills, encryption, retention evidence, and ransomware-resilient recovery.</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Server OS</w:t>
            </w:r>
          </w:p>
        </w:tc>
        <w:tc>
          <w:tcPr>
            <w:tcW w:type="dxa" w:w="3168"/>
            <w:vAlign w:val="top"/>
          </w:tcPr>
          <w:p>
            <w:pPr>
              <w:spacing w:after="0" w:line="240" w:lineRule="auto"/>
              <w:jc w:val="left"/>
            </w:pPr>
            <w:r>
              <w:rPr>
                <w:rFonts w:ascii="Arial" w:hAnsi="Arial" w:eastAsia="Arial"/>
              </w:rPr>
            </w:r>
            <w:r>
              <w:rPr>
                <w:rFonts w:ascii="Arial" w:hAnsi="Arial" w:eastAsia="Arial"/>
                <w:b w:val="0"/>
                <w:sz w:val="14"/>
              </w:rPr>
              <w:t>Debian 13 stable, Ubuntu LTS, or enterprise Linux approved baseline</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312"/>
            <w:vAlign w:val="top"/>
          </w:tcPr>
          <w:p>
            <w:pPr>
              <w:spacing w:after="0" w:line="240" w:lineRule="auto"/>
              <w:jc w:val="left"/>
            </w:pPr>
            <w:r>
              <w:rPr>
                <w:rFonts w:ascii="Arial" w:hAnsi="Arial" w:eastAsia="Arial"/>
              </w:rPr>
            </w:r>
            <w:r>
              <w:rPr>
                <w:rFonts w:ascii="Arial" w:hAnsi="Arial" w:eastAsia="Arial"/>
                <w:b w:val="0"/>
                <w:sz w:val="14"/>
              </w:rPr>
              <w:t>CIS hardening, patch SLA, immutable inventory, time sync, and Golden Source baselines.</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Container Runtime</w:t>
            </w:r>
          </w:p>
        </w:tc>
        <w:tc>
          <w:tcPr>
            <w:tcW w:type="dxa" w:w="3168"/>
            <w:vAlign w:val="top"/>
          </w:tcPr>
          <w:p>
            <w:pPr>
              <w:spacing w:after="0" w:line="240" w:lineRule="auto"/>
              <w:jc w:val="left"/>
            </w:pPr>
            <w:r>
              <w:rPr>
                <w:rFonts w:ascii="Arial" w:hAnsi="Arial" w:eastAsia="Arial"/>
              </w:rPr>
            </w:r>
            <w:r>
              <w:rPr>
                <w:rFonts w:ascii="Arial" w:hAnsi="Arial" w:eastAsia="Arial"/>
                <w:b w:val="0"/>
                <w:sz w:val="14"/>
              </w:rPr>
              <w:t>containerd 2.x / CRI-O current supported branch</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312"/>
            <w:vAlign w:val="top"/>
          </w:tcPr>
          <w:p>
            <w:pPr>
              <w:spacing w:after="0" w:line="240" w:lineRule="auto"/>
              <w:jc w:val="left"/>
            </w:pPr>
            <w:r>
              <w:rPr>
                <w:rFonts w:ascii="Arial" w:hAnsi="Arial" w:eastAsia="Arial"/>
              </w:rPr>
            </w:r>
            <w:r>
              <w:rPr>
                <w:rFonts w:ascii="Arial" w:hAnsi="Arial" w:eastAsia="Arial"/>
                <w:b w:val="0"/>
                <w:sz w:val="14"/>
              </w:rPr>
              <w:t>Kubernetes runtime. Docker daemon is not required and not approved on cluster nodes.</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Developer Containers</w:t>
            </w:r>
          </w:p>
        </w:tc>
        <w:tc>
          <w:tcPr>
            <w:tcW w:type="dxa" w:w="3168"/>
            <w:vAlign w:val="top"/>
          </w:tcPr>
          <w:p>
            <w:pPr>
              <w:spacing w:after="0" w:line="240" w:lineRule="auto"/>
              <w:jc w:val="left"/>
            </w:pPr>
            <w:r>
              <w:rPr>
                <w:rFonts w:ascii="Arial" w:hAnsi="Arial" w:eastAsia="Arial"/>
              </w:rPr>
            </w:r>
            <w:r>
              <w:rPr>
                <w:rFonts w:ascii="Arial" w:hAnsi="Arial" w:eastAsia="Arial"/>
                <w:b w:val="0"/>
                <w:sz w:val="14"/>
              </w:rPr>
              <w:t>Dev Containers / OCI images / controlled remote containers</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312"/>
            <w:vAlign w:val="top"/>
          </w:tcPr>
          <w:p>
            <w:pPr>
              <w:spacing w:after="0" w:line="240" w:lineRule="auto"/>
              <w:jc w:val="left"/>
            </w:pPr>
            <w:r>
              <w:rPr>
                <w:rFonts w:ascii="Arial" w:hAnsi="Arial" w:eastAsia="Arial"/>
              </w:rPr>
            </w:r>
            <w:r>
              <w:rPr>
                <w:rFonts w:ascii="Arial" w:hAnsi="Arial" w:eastAsia="Arial"/>
                <w:b w:val="0"/>
                <w:sz w:val="14"/>
              </w:rPr>
              <w:t>Reproducible workspaces; signed, scanned, and distributed from Golden Source registry.</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Private CA</w:t>
            </w:r>
          </w:p>
        </w:tc>
        <w:tc>
          <w:tcPr>
            <w:tcW w:type="dxa" w:w="3168"/>
            <w:vAlign w:val="top"/>
          </w:tcPr>
          <w:p>
            <w:pPr>
              <w:spacing w:after="0" w:line="240" w:lineRule="auto"/>
              <w:jc w:val="left"/>
            </w:pPr>
            <w:r>
              <w:rPr>
                <w:rFonts w:ascii="Arial" w:hAnsi="Arial" w:eastAsia="Arial"/>
              </w:rPr>
            </w:r>
            <w:r>
              <w:rPr>
                <w:rFonts w:ascii="Arial" w:hAnsi="Arial" w:eastAsia="Arial"/>
                <w:b w:val="0"/>
                <w:sz w:val="14"/>
              </w:rPr>
              <w:t>Vault PKI / OpenBao PKI / step-ca / enterprise CA</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312"/>
            <w:vAlign w:val="top"/>
          </w:tcPr>
          <w:p>
            <w:pPr>
              <w:spacing w:after="0" w:line="240" w:lineRule="auto"/>
              <w:jc w:val="left"/>
            </w:pPr>
            <w:r>
              <w:rPr>
                <w:rFonts w:ascii="Arial" w:hAnsi="Arial" w:eastAsia="Arial"/>
              </w:rPr>
            </w:r>
            <w:r>
              <w:rPr>
                <w:rFonts w:ascii="Arial" w:hAnsi="Arial" w:eastAsia="Arial"/>
                <w:b w:val="0"/>
                <w:sz w:val="14"/>
              </w:rPr>
              <w:t>Internal TLS/mTLS, certificate lifecycle, rotation evidence.</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Network Segmentation</w:t>
            </w:r>
          </w:p>
        </w:tc>
        <w:tc>
          <w:tcPr>
            <w:tcW w:type="dxa" w:w="3168"/>
            <w:vAlign w:val="top"/>
          </w:tcPr>
          <w:p>
            <w:pPr>
              <w:spacing w:after="0" w:line="240" w:lineRule="auto"/>
              <w:jc w:val="left"/>
            </w:pPr>
            <w:r>
              <w:rPr>
                <w:rFonts w:ascii="Arial" w:hAnsi="Arial" w:eastAsia="Arial"/>
              </w:rPr>
            </w:r>
            <w:r>
              <w:rPr>
                <w:rFonts w:ascii="Arial" w:hAnsi="Arial" w:eastAsia="Arial"/>
                <w:b w:val="0"/>
                <w:sz w:val="14"/>
              </w:rPr>
              <w:t>VLANs, firewall policies, service-zone separation, NetworkPolicy</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312"/>
            <w:vAlign w:val="top"/>
          </w:tcPr>
          <w:p>
            <w:pPr>
              <w:spacing w:after="0" w:line="240" w:lineRule="auto"/>
              <w:jc w:val="left"/>
            </w:pPr>
            <w:r>
              <w:rPr>
                <w:rFonts w:ascii="Arial" w:hAnsi="Arial" w:eastAsia="Arial"/>
              </w:rPr>
            </w:r>
            <w:r>
              <w:rPr>
                <w:rFonts w:ascii="Arial" w:hAnsi="Arial" w:eastAsia="Arial"/>
                <w:b w:val="0"/>
                <w:sz w:val="14"/>
              </w:rPr>
              <w:t>Separate dev, CI, platform, model, data, voice, and admin zones; rules are reviewed and monitored.</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Time and DNS</w:t>
            </w:r>
          </w:p>
        </w:tc>
        <w:tc>
          <w:tcPr>
            <w:tcW w:type="dxa" w:w="3168"/>
            <w:vAlign w:val="top"/>
          </w:tcPr>
          <w:p>
            <w:pPr>
              <w:spacing w:after="0" w:line="240" w:lineRule="auto"/>
              <w:jc w:val="left"/>
            </w:pPr>
            <w:r>
              <w:rPr>
                <w:rFonts w:ascii="Arial" w:hAnsi="Arial" w:eastAsia="Arial"/>
              </w:rPr>
            </w:r>
            <w:r>
              <w:rPr>
                <w:rFonts w:ascii="Arial" w:hAnsi="Arial" w:eastAsia="Arial"/>
                <w:b w:val="0"/>
                <w:sz w:val="14"/>
              </w:rPr>
              <w:t>Chrony/NTP plus internal DNS</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312"/>
            <w:vAlign w:val="top"/>
          </w:tcPr>
          <w:p>
            <w:pPr>
              <w:spacing w:after="0" w:line="240" w:lineRule="auto"/>
              <w:jc w:val="left"/>
            </w:pPr>
            <w:r>
              <w:rPr>
                <w:rFonts w:ascii="Arial" w:hAnsi="Arial" w:eastAsia="Arial"/>
              </w:rPr>
            </w:r>
            <w:r>
              <w:rPr>
                <w:rFonts w:ascii="Arial" w:hAnsi="Arial" w:eastAsia="Arial"/>
                <w:b w:val="0"/>
                <w:sz w:val="14"/>
              </w:rPr>
              <w:t>Trace correlation, certificate validity, log ordering, service discovery.</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Endpoint Baseline</w:t>
            </w:r>
          </w:p>
        </w:tc>
        <w:tc>
          <w:tcPr>
            <w:tcW w:type="dxa" w:w="3168"/>
            <w:vAlign w:val="top"/>
          </w:tcPr>
          <w:p>
            <w:pPr>
              <w:spacing w:after="0" w:line="240" w:lineRule="auto"/>
              <w:jc w:val="left"/>
            </w:pPr>
            <w:r>
              <w:rPr>
                <w:rFonts w:ascii="Arial" w:hAnsi="Arial" w:eastAsia="Arial"/>
              </w:rPr>
            </w:r>
            <w:r>
              <w:rPr>
                <w:rFonts w:ascii="Arial" w:hAnsi="Arial" w:eastAsia="Arial"/>
                <w:b w:val="0"/>
                <w:sz w:val="14"/>
              </w:rPr>
              <w:t>EDR/XDR, disk encryption, approved IDE/runtime inventory</w:t>
            </w:r>
          </w:p>
        </w:tc>
        <w:tc>
          <w:tcPr>
            <w:tcW w:type="dxa" w:w="1728"/>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312"/>
            <w:vAlign w:val="top"/>
          </w:tcPr>
          <w:p>
            <w:pPr>
              <w:spacing w:after="0" w:line="240" w:lineRule="auto"/>
              <w:jc w:val="left"/>
            </w:pPr>
            <w:r>
              <w:rPr>
                <w:rFonts w:ascii="Arial" w:hAnsi="Arial" w:eastAsia="Arial"/>
              </w:rPr>
            </w:r>
            <w:r>
              <w:rPr>
                <w:rFonts w:ascii="Arial" w:hAnsi="Arial" w:eastAsia="Arial"/>
                <w:b w:val="0"/>
                <w:sz w:val="14"/>
              </w:rPr>
              <w:t>Prevents unmanaged workstations, local secrets, shadow AI tools, and environment drift.</w:t>
            </w:r>
          </w:p>
        </w:tc>
      </w:tr>
    </w:tbl>
    <w:p>
      <w:pPr>
        <w:spacing w:after="100" w:line="252" w:lineRule="auto"/>
      </w:pPr>
    </w:p>
    <w:p>
      <w:pPr>
        <w:pStyle w:val="Heading2"/>
        <w:spacing w:before="160" w:after="80"/>
      </w:pPr>
      <w:r>
        <w:rPr>
          <w:rFonts w:ascii="Arial" w:hAnsi="Arial" w:eastAsia="Arial"/>
          <w:b w:val="0"/>
          <w:i w:val="0"/>
        </w:rPr>
        <w:t>6.2 Tier 1 - Kubernetes, Platform Runtime, and GitOps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016"/>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312"/>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58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456"/>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Container Orchestration</w:t>
            </w:r>
          </w:p>
        </w:tc>
        <w:tc>
          <w:tcPr>
            <w:tcW w:type="dxa" w:w="3312"/>
            <w:vAlign w:val="top"/>
          </w:tcPr>
          <w:p>
            <w:pPr>
              <w:spacing w:after="0" w:line="240" w:lineRule="auto"/>
              <w:jc w:val="left"/>
            </w:pPr>
            <w:r>
              <w:rPr>
                <w:rFonts w:ascii="Arial" w:hAnsi="Arial" w:eastAsia="Arial"/>
              </w:rPr>
            </w:r>
            <w:r>
              <w:rPr>
                <w:rFonts w:ascii="Arial" w:hAnsi="Arial" w:eastAsia="Arial"/>
                <w:b w:val="0"/>
                <w:sz w:val="14"/>
              </w:rPr>
              <w:t>Kubernetes supported release branches: 1.36 primary readiness track; 1.35 accepted; 1.34 retirement watch</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 / Watch</w:t>
            </w:r>
          </w:p>
        </w:tc>
        <w:tc>
          <w:tcPr>
            <w:tcW w:type="dxa" w:w="3456"/>
            <w:vAlign w:val="top"/>
          </w:tcPr>
          <w:p>
            <w:pPr>
              <w:spacing w:after="0" w:line="240" w:lineRule="auto"/>
              <w:jc w:val="left"/>
            </w:pPr>
            <w:r>
              <w:rPr>
                <w:rFonts w:ascii="Arial" w:hAnsi="Arial" w:eastAsia="Arial"/>
              </w:rPr>
            </w:r>
            <w:r>
              <w:rPr>
                <w:rFonts w:ascii="Arial" w:hAnsi="Arial" w:eastAsia="Arial"/>
                <w:b w:val="0"/>
                <w:sz w:val="14"/>
              </w:rPr>
              <w:t>Runtime for AIRA services. Maintain within supported Kubernetes release branches and version-skew policy.</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GitOps CD</w:t>
            </w:r>
          </w:p>
        </w:tc>
        <w:tc>
          <w:tcPr>
            <w:tcW w:type="dxa" w:w="3312"/>
            <w:vAlign w:val="top"/>
          </w:tcPr>
          <w:p>
            <w:pPr>
              <w:spacing w:after="0" w:line="240" w:lineRule="auto"/>
              <w:jc w:val="left"/>
            </w:pPr>
            <w:r>
              <w:rPr>
                <w:rFonts w:ascii="Arial" w:hAnsi="Arial" w:eastAsia="Arial"/>
              </w:rPr>
            </w:r>
            <w:r>
              <w:rPr>
                <w:rFonts w:ascii="Arial" w:hAnsi="Arial" w:eastAsia="Arial"/>
                <w:b w:val="0"/>
                <w:sz w:val="14"/>
              </w:rPr>
              <w:t>Argo CD 3.4 / 3.3 / 3.2 supported branches; 3.1 retired</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Desired-state reconciliation. No manual kubectl writes except approved break-glass diagnostics.</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Packaging</w:t>
            </w:r>
          </w:p>
        </w:tc>
        <w:tc>
          <w:tcPr>
            <w:tcW w:type="dxa" w:w="3312"/>
            <w:vAlign w:val="top"/>
          </w:tcPr>
          <w:p>
            <w:pPr>
              <w:spacing w:after="0" w:line="240" w:lineRule="auto"/>
              <w:jc w:val="left"/>
            </w:pPr>
            <w:r>
              <w:rPr>
                <w:rFonts w:ascii="Arial" w:hAnsi="Arial" w:eastAsia="Arial"/>
              </w:rPr>
            </w:r>
            <w:r>
              <w:rPr>
                <w:rFonts w:ascii="Arial" w:hAnsi="Arial" w:eastAsia="Arial"/>
                <w:b w:val="0"/>
                <w:sz w:val="14"/>
              </w:rPr>
              <w:t>Helm 3.x and Kustomize</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Declarative app packaging; charts linted, signed, scanned, and reviewed.</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Ingress / Gateway</w:t>
            </w:r>
          </w:p>
        </w:tc>
        <w:tc>
          <w:tcPr>
            <w:tcW w:type="dxa" w:w="3312"/>
            <w:vAlign w:val="top"/>
          </w:tcPr>
          <w:p>
            <w:pPr>
              <w:spacing w:after="0" w:line="240" w:lineRule="auto"/>
              <w:jc w:val="left"/>
            </w:pPr>
            <w:r>
              <w:rPr>
                <w:rFonts w:ascii="Arial" w:hAnsi="Arial" w:eastAsia="Arial"/>
              </w:rPr>
            </w:r>
            <w:r>
              <w:rPr>
                <w:rFonts w:ascii="Arial" w:hAnsi="Arial" w:eastAsia="Arial"/>
                <w:b w:val="0"/>
                <w:sz w:val="14"/>
              </w:rPr>
              <w:t>Kubernetes Gateway API with approved controller; NGINX Ingress only where justified</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 / 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Standard ingress, routing, TLS, rate-limit, and policy integration. Avoid controller-specific lock-in.</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Admission Control</w:t>
            </w:r>
          </w:p>
        </w:tc>
        <w:tc>
          <w:tcPr>
            <w:tcW w:type="dxa" w:w="3312"/>
            <w:vAlign w:val="top"/>
          </w:tcPr>
          <w:p>
            <w:pPr>
              <w:spacing w:after="0" w:line="240" w:lineRule="auto"/>
              <w:jc w:val="left"/>
            </w:pPr>
            <w:r>
              <w:rPr>
                <w:rFonts w:ascii="Arial" w:hAnsi="Arial" w:eastAsia="Arial"/>
              </w:rPr>
            </w:r>
            <w:r>
              <w:rPr>
                <w:rFonts w:ascii="Arial" w:hAnsi="Arial" w:eastAsia="Arial"/>
                <w:b w:val="0"/>
                <w:sz w:val="14"/>
              </w:rPr>
              <w:t>OPA Gatekeeper or Kyverno plus Conftest</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Policy-as-code for manifests, security posture, image provenance, and environment rules.</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Registry</w:t>
            </w:r>
          </w:p>
        </w:tc>
        <w:tc>
          <w:tcPr>
            <w:tcW w:type="dxa" w:w="3312"/>
            <w:vAlign w:val="top"/>
          </w:tcPr>
          <w:p>
            <w:pPr>
              <w:spacing w:after="0" w:line="240" w:lineRule="auto"/>
              <w:jc w:val="left"/>
            </w:pPr>
            <w:r>
              <w:rPr>
                <w:rFonts w:ascii="Arial" w:hAnsi="Arial" w:eastAsia="Arial"/>
              </w:rPr>
            </w:r>
            <w:r>
              <w:rPr>
                <w:rFonts w:ascii="Arial" w:hAnsi="Arial" w:eastAsia="Arial"/>
                <w:b w:val="0"/>
                <w:sz w:val="14"/>
              </w:rPr>
              <w:t>Harbor or approved OCI registry</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Trusted image/Helm registry; immutability, vulnerability scans, and signed artifacts.</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Service Identity</w:t>
            </w:r>
          </w:p>
        </w:tc>
        <w:tc>
          <w:tcPr>
            <w:tcW w:type="dxa" w:w="3312"/>
            <w:vAlign w:val="top"/>
          </w:tcPr>
          <w:p>
            <w:pPr>
              <w:spacing w:after="0" w:line="240" w:lineRule="auto"/>
              <w:jc w:val="left"/>
            </w:pPr>
            <w:r>
              <w:rPr>
                <w:rFonts w:ascii="Arial" w:hAnsi="Arial" w:eastAsia="Arial"/>
              </w:rPr>
            </w:r>
            <w:r>
              <w:rPr>
                <w:rFonts w:ascii="Arial" w:hAnsi="Arial" w:eastAsia="Arial"/>
                <w:b w:val="0"/>
                <w:sz w:val="14"/>
              </w:rPr>
              <w:t>SPIFFE/SVID with SPIRE or approved workload-identity layer</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Short-lived workload credentials and service-to-service trust.</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mTLS / Network Policy</w:t>
            </w:r>
          </w:p>
        </w:tc>
        <w:tc>
          <w:tcPr>
            <w:tcW w:type="dxa" w:w="3312"/>
            <w:vAlign w:val="top"/>
          </w:tcPr>
          <w:p>
            <w:pPr>
              <w:spacing w:after="0" w:line="240" w:lineRule="auto"/>
              <w:jc w:val="left"/>
            </w:pPr>
            <w:r>
              <w:rPr>
                <w:rFonts w:ascii="Arial" w:hAnsi="Arial" w:eastAsia="Arial"/>
              </w:rPr>
            </w:r>
            <w:r>
              <w:rPr>
                <w:rFonts w:ascii="Arial" w:hAnsi="Arial" w:eastAsia="Arial"/>
                <w:b w:val="0"/>
                <w:sz w:val="14"/>
              </w:rPr>
              <w:t>Cilium, service mesh, or equivalent policy-enforced mTLS layer</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Adopt where operationally justified. Must not obscure traceability, policy, or debugging.</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Secrets Runtime</w:t>
            </w:r>
          </w:p>
        </w:tc>
        <w:tc>
          <w:tcPr>
            <w:tcW w:type="dxa" w:w="3312"/>
            <w:vAlign w:val="top"/>
          </w:tcPr>
          <w:p>
            <w:pPr>
              <w:spacing w:after="0" w:line="240" w:lineRule="auto"/>
              <w:jc w:val="left"/>
            </w:pPr>
            <w:r>
              <w:rPr>
                <w:rFonts w:ascii="Arial" w:hAnsi="Arial" w:eastAsia="Arial"/>
              </w:rPr>
            </w:r>
            <w:r>
              <w:rPr>
                <w:rFonts w:ascii="Arial" w:hAnsi="Arial" w:eastAsia="Arial"/>
                <w:b w:val="0"/>
                <w:sz w:val="14"/>
              </w:rPr>
              <w:t>Vault / OpenBao / approved enterprise secrets manager</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Dynamic/leased secrets, transit encryption, PKI, and rotation evidence.</w:t>
            </w:r>
          </w:p>
        </w:tc>
      </w:tr>
      <w:tr>
        <w:tc>
          <w:tcPr>
            <w:tcW w:type="dxa" w:w="2016"/>
            <w:vAlign w:val="top"/>
            <w:shd w:fill="F2F2F2"/>
          </w:tcPr>
          <w:p>
            <w:pPr>
              <w:spacing w:after="0" w:line="240" w:lineRule="auto"/>
              <w:jc w:val="left"/>
            </w:pPr>
            <w:r>
              <w:rPr>
                <w:rFonts w:ascii="Arial" w:hAnsi="Arial" w:eastAsia="Arial"/>
                <w:b/>
              </w:rPr>
            </w:r>
            <w:r>
              <w:rPr>
                <w:rFonts w:ascii="Arial" w:hAnsi="Arial" w:eastAsia="Arial"/>
                <w:b w:val="0"/>
                <w:sz w:val="14"/>
              </w:rPr>
              <w:t>Secret Sync</w:t>
            </w:r>
          </w:p>
        </w:tc>
        <w:tc>
          <w:tcPr>
            <w:tcW w:type="dxa" w:w="3312"/>
            <w:vAlign w:val="top"/>
          </w:tcPr>
          <w:p>
            <w:pPr>
              <w:spacing w:after="0" w:line="240" w:lineRule="auto"/>
              <w:jc w:val="left"/>
            </w:pPr>
            <w:r>
              <w:rPr>
                <w:rFonts w:ascii="Arial" w:hAnsi="Arial" w:eastAsia="Arial"/>
              </w:rPr>
            </w:r>
            <w:r>
              <w:rPr>
                <w:rFonts w:ascii="Arial" w:hAnsi="Arial" w:eastAsia="Arial"/>
                <w:b w:val="0"/>
                <w:sz w:val="14"/>
              </w:rPr>
              <w:t>External Secrets Operator / CSI Secrets Store Driver where approved</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Kubernetes secret materialization under Vault/OpenBao authority; no unmanaged static secrets.</w:t>
            </w:r>
          </w:p>
        </w:tc>
      </w:tr>
    </w:tbl>
    <w:p>
      <w:pPr>
        <w:spacing w:after="100" w:line="252" w:lineRule="auto"/>
      </w:pPr>
    </w:p>
    <w:p>
      <w:pPr>
        <w:pStyle w:val="Heading2"/>
        <w:spacing w:before="160" w:after="80"/>
      </w:pPr>
      <w:r>
        <w:rPr>
          <w:rFonts w:ascii="Arial" w:hAnsi="Arial" w:eastAsia="Arial"/>
          <w:b w:val="0"/>
          <w:i w:val="0"/>
        </w:rPr>
        <w:t>6.3 Tier 2 - Application Runtime and Development Frameworks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944"/>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384"/>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58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456"/>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Backend Runtime</w:t>
            </w:r>
          </w:p>
        </w:tc>
        <w:tc>
          <w:tcPr>
            <w:tcW w:type="dxa" w:w="3384"/>
            <w:vAlign w:val="top"/>
          </w:tcPr>
          <w:p>
            <w:pPr>
              <w:spacing w:after="0" w:line="240" w:lineRule="auto"/>
              <w:jc w:val="left"/>
            </w:pPr>
            <w:r>
              <w:rPr>
                <w:rFonts w:ascii="Arial" w:hAnsi="Arial" w:eastAsia="Arial"/>
              </w:rPr>
            </w:r>
            <w:r>
              <w:rPr>
                <w:rFonts w:ascii="Arial" w:hAnsi="Arial" w:eastAsia="Arial"/>
                <w:b w:val="0"/>
                <w:sz w:val="14"/>
              </w:rPr>
              <w:t>Java 25 LTS primary; Java 26 current/evaluation; Java 21 compatibility fallback by waiver</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 / Evaluation</w:t>
            </w:r>
          </w:p>
        </w:tc>
        <w:tc>
          <w:tcPr>
            <w:tcW w:type="dxa" w:w="3456"/>
            <w:vAlign w:val="top"/>
          </w:tcPr>
          <w:p>
            <w:pPr>
              <w:spacing w:after="0" w:line="240" w:lineRule="auto"/>
              <w:jc w:val="left"/>
            </w:pPr>
            <w:r>
              <w:rPr>
                <w:rFonts w:ascii="Arial" w:hAnsi="Arial" w:eastAsia="Arial"/>
              </w:rPr>
            </w:r>
            <w:r>
              <w:rPr>
                <w:rFonts w:ascii="Arial" w:hAnsi="Arial" w:eastAsia="Arial"/>
                <w:b w:val="0"/>
                <w:sz w:val="14"/>
              </w:rPr>
              <w:t>Main backend runtime. Use OpenJDK distribution approved by procurement/security. Java 26 is not the production baseline until LTS/support decision.</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Backend Framework</w:t>
            </w:r>
          </w:p>
        </w:tc>
        <w:tc>
          <w:tcPr>
            <w:tcW w:type="dxa" w:w="3384"/>
            <w:vAlign w:val="top"/>
          </w:tcPr>
          <w:p>
            <w:pPr>
              <w:spacing w:after="0" w:line="240" w:lineRule="auto"/>
              <w:jc w:val="left"/>
            </w:pPr>
            <w:r>
              <w:rPr>
                <w:rFonts w:ascii="Arial" w:hAnsi="Arial" w:eastAsia="Arial"/>
              </w:rPr>
            </w:r>
            <w:r>
              <w:rPr>
                <w:rFonts w:ascii="Arial" w:hAnsi="Arial" w:eastAsia="Arial"/>
                <w:b w:val="0"/>
                <w:sz w:val="14"/>
              </w:rPr>
              <w:t>Spring Boot 4.x / Spring Framework 7.x; Spring Boot 3.x only as transition compatibility fallback</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 / Transition</w:t>
            </w:r>
          </w:p>
        </w:tc>
        <w:tc>
          <w:tcPr>
            <w:tcW w:type="dxa" w:w="3456"/>
            <w:vAlign w:val="top"/>
          </w:tcPr>
          <w:p>
            <w:pPr>
              <w:spacing w:after="0" w:line="240" w:lineRule="auto"/>
              <w:jc w:val="left"/>
            </w:pPr>
            <w:r>
              <w:rPr>
                <w:rFonts w:ascii="Arial" w:hAnsi="Arial" w:eastAsia="Arial"/>
              </w:rPr>
            </w:r>
            <w:r>
              <w:rPr>
                <w:rFonts w:ascii="Arial" w:hAnsi="Arial" w:eastAsia="Arial"/>
                <w:b w:val="0"/>
                <w:sz w:val="14"/>
              </w:rPr>
              <w:t>Services, APIs, security, observability, AI orchestration integrations. Third-party compatibility must be proven before full production adoption.</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API Gateway</w:t>
            </w:r>
          </w:p>
        </w:tc>
        <w:tc>
          <w:tcPr>
            <w:tcW w:type="dxa" w:w="3384"/>
            <w:vAlign w:val="top"/>
          </w:tcPr>
          <w:p>
            <w:pPr>
              <w:spacing w:after="0" w:line="240" w:lineRule="auto"/>
              <w:jc w:val="left"/>
            </w:pPr>
            <w:r>
              <w:rPr>
                <w:rFonts w:ascii="Arial" w:hAnsi="Arial" w:eastAsia="Arial"/>
              </w:rPr>
            </w:r>
            <w:r>
              <w:rPr>
                <w:rFonts w:ascii="Arial" w:hAnsi="Arial" w:eastAsia="Arial"/>
                <w:b w:val="0"/>
                <w:sz w:val="14"/>
              </w:rPr>
              <w:t>Spring Cloud Gateway / WebFlux</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Ingress routing, JWT validation, rate limiting, correlation; no business logic.</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Frontend</w:t>
            </w:r>
          </w:p>
        </w:tc>
        <w:tc>
          <w:tcPr>
            <w:tcW w:type="dxa" w:w="3384"/>
            <w:vAlign w:val="top"/>
          </w:tcPr>
          <w:p>
            <w:pPr>
              <w:spacing w:after="0" w:line="240" w:lineRule="auto"/>
              <w:jc w:val="left"/>
            </w:pPr>
            <w:r>
              <w:rPr>
                <w:rFonts w:ascii="Arial" w:hAnsi="Arial" w:eastAsia="Arial"/>
              </w:rPr>
            </w:r>
            <w:r>
              <w:rPr>
                <w:rFonts w:ascii="Arial" w:hAnsi="Arial" w:eastAsia="Arial"/>
                <w:b w:val="0"/>
                <w:sz w:val="14"/>
              </w:rPr>
              <w:t>React 19.2.x, Next.js 16.2.x, TypeScript 5.x</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Presentation layer only; no direct data/model access. React Compiler adoption requires readiness test.</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Node Runtime</w:t>
            </w:r>
          </w:p>
        </w:tc>
        <w:tc>
          <w:tcPr>
            <w:tcW w:type="dxa" w:w="3384"/>
            <w:vAlign w:val="top"/>
          </w:tcPr>
          <w:p>
            <w:pPr>
              <w:spacing w:after="0" w:line="240" w:lineRule="auto"/>
              <w:jc w:val="left"/>
            </w:pPr>
            <w:r>
              <w:rPr>
                <w:rFonts w:ascii="Arial" w:hAnsi="Arial" w:eastAsia="Arial"/>
              </w:rPr>
            </w:r>
            <w:r>
              <w:rPr>
                <w:rFonts w:ascii="Arial" w:hAnsi="Arial" w:eastAsia="Arial"/>
                <w:b w:val="0"/>
                <w:sz w:val="14"/>
              </w:rPr>
              <w:t>Node.js 24 LTS primary; Node.js 26 current/evaluation</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 / Evaluation</w:t>
            </w:r>
          </w:p>
        </w:tc>
        <w:tc>
          <w:tcPr>
            <w:tcW w:type="dxa" w:w="3456"/>
            <w:vAlign w:val="top"/>
          </w:tcPr>
          <w:p>
            <w:pPr>
              <w:spacing w:after="0" w:line="240" w:lineRule="auto"/>
              <w:jc w:val="left"/>
            </w:pPr>
            <w:r>
              <w:rPr>
                <w:rFonts w:ascii="Arial" w:hAnsi="Arial" w:eastAsia="Arial"/>
              </w:rPr>
            </w:r>
            <w:r>
              <w:rPr>
                <w:rFonts w:ascii="Arial" w:hAnsi="Arial" w:eastAsia="Arial"/>
                <w:b w:val="0"/>
                <w:sz w:val="14"/>
              </w:rPr>
              <w:t>Frontend and tooling runtime pinned by Golden Source. Node.js 20 is not approved for new AIRA work.</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Build</w:t>
            </w:r>
          </w:p>
        </w:tc>
        <w:tc>
          <w:tcPr>
            <w:tcW w:type="dxa" w:w="3384"/>
            <w:vAlign w:val="top"/>
          </w:tcPr>
          <w:p>
            <w:pPr>
              <w:spacing w:after="0" w:line="240" w:lineRule="auto"/>
              <w:jc w:val="left"/>
            </w:pPr>
            <w:r>
              <w:rPr>
                <w:rFonts w:ascii="Arial" w:hAnsi="Arial" w:eastAsia="Arial"/>
              </w:rPr>
            </w:r>
            <w:r>
              <w:rPr>
                <w:rFonts w:ascii="Arial" w:hAnsi="Arial" w:eastAsia="Arial"/>
                <w:b w:val="0"/>
                <w:sz w:val="14"/>
              </w:rPr>
              <w:t>Gradle Kotlin DSL; npm/pnpm as approved</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Dependency locking, reproducible builds, code generation, test orchestration.</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Validation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Zod, Bean Validation, JSON Schema</w:t>
            </w:r>
          </w:p>
        </w:tc>
        <w:tc>
          <w:tcPr>
            <w:tcW w:type="dxa" w:w="1584"/>
            <w:vAlign w:val="top"/>
          </w:tcPr>
          <w:p>
            <w:pPr>
              <w:spacing w:after="0" w:line="240" w:lineRule="auto"/>
              <w:jc w:val="left"/>
            </w:pPr>
            <w:r>
              <w:rPr>
                <w:rFonts w:ascii="Arial" w:hAnsi="Arial" w:eastAsia="Arial"/>
              </w:rPr>
            </w:r>
            <w:r>
              <w:rPr>
                <w:rFonts w:ascii="Arial" w:hAnsi="Arial" w:eastAsia="Arial"/>
                <w:b w:val="0"/>
                <w:sz w:val="14"/>
              </w:rPr>
              <w:t>Approved</w:t>
            </w:r>
          </w:p>
        </w:tc>
        <w:tc>
          <w:tcPr>
            <w:tcW w:type="dxa" w:w="3456"/>
            <w:vAlign w:val="top"/>
          </w:tcPr>
          <w:p>
            <w:pPr>
              <w:spacing w:after="0" w:line="240" w:lineRule="auto"/>
              <w:jc w:val="left"/>
            </w:pPr>
            <w:r>
              <w:rPr>
                <w:rFonts w:ascii="Arial" w:hAnsi="Arial" w:eastAsia="Arial"/>
              </w:rPr>
            </w:r>
            <w:r>
              <w:rPr>
                <w:rFonts w:ascii="Arial" w:hAnsi="Arial" w:eastAsia="Arial"/>
                <w:b w:val="0"/>
                <w:sz w:val="14"/>
              </w:rPr>
              <w:t>Contract and payload validation; no hidden validation behavior.</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Resilience</w:t>
            </w:r>
          </w:p>
        </w:tc>
        <w:tc>
          <w:tcPr>
            <w:tcW w:type="dxa" w:w="3384"/>
            <w:vAlign w:val="top"/>
          </w:tcPr>
          <w:p>
            <w:pPr>
              <w:spacing w:after="0" w:line="240" w:lineRule="auto"/>
              <w:jc w:val="left"/>
            </w:pPr>
            <w:r>
              <w:rPr>
                <w:rFonts w:ascii="Arial" w:hAnsi="Arial" w:eastAsia="Arial"/>
              </w:rPr>
            </w:r>
            <w:r>
              <w:rPr>
                <w:rFonts w:ascii="Arial" w:hAnsi="Arial" w:eastAsia="Arial"/>
                <w:b w:val="0"/>
                <w:sz w:val="14"/>
              </w:rPr>
              <w:t>Resilience4j, Spring retry where approved</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Circuit breaker, retry, timeout, bulkhead, rate-limit, fallback policies.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Feature Flags</w:t>
            </w:r>
          </w:p>
        </w:tc>
        <w:tc>
          <w:tcPr>
            <w:tcW w:type="dxa" w:w="3384"/>
            <w:vAlign w:val="top"/>
          </w:tcPr>
          <w:p>
            <w:pPr>
              <w:spacing w:after="0" w:line="240" w:lineRule="auto"/>
              <w:jc w:val="left"/>
            </w:pPr>
            <w:r>
              <w:rPr>
                <w:rFonts w:ascii="Arial" w:hAnsi="Arial" w:eastAsia="Arial"/>
              </w:rPr>
            </w:r>
            <w:r>
              <w:rPr>
                <w:rFonts w:ascii="Arial" w:hAnsi="Arial" w:eastAsia="Arial"/>
                <w:b w:val="0"/>
                <w:sz w:val="14"/>
              </w:rPr>
              <w:t>OpenFeature with approved provider</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Feature flags must be owned, classified, auditable, reversible, and not used for hidden bypass.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API / Event Tooling</w:t>
            </w:r>
          </w:p>
        </w:tc>
        <w:tc>
          <w:tcPr>
            <w:tcW w:type="dxa" w:w="3384"/>
            <w:vAlign w:val="top"/>
          </w:tcPr>
          <w:p>
            <w:pPr>
              <w:spacing w:after="0" w:line="240" w:lineRule="auto"/>
              <w:jc w:val="left"/>
            </w:pPr>
            <w:r>
              <w:rPr>
                <w:rFonts w:ascii="Arial" w:hAnsi="Arial" w:eastAsia="Arial"/>
              </w:rPr>
            </w:r>
            <w:r>
              <w:rPr>
                <w:rFonts w:ascii="Arial" w:hAnsi="Arial" w:eastAsia="Arial"/>
                <w:b w:val="0"/>
                <w:sz w:val="14"/>
              </w:rPr>
              <w:t>OpenAPI, AsyncAPI, CloudEvents SDK, Spectral, contract diff tooling</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Contract-first APIs/events, schema review, compatibility checks, and generated client discipline.</w:t>
            </w:r>
          </w:p>
        </w:tc>
      </w:tr>
    </w:tbl>
    <w:p>
      <w:pPr>
        <w:spacing w:after="100" w:line="252" w:lineRule="auto"/>
      </w:pPr>
    </w:p>
    <w:p>
      <w:pPr>
        <w:pStyle w:val="Heading2"/>
        <w:spacing w:before="160" w:after="80"/>
      </w:pPr>
      <w:r>
        <w:rPr>
          <w:rFonts w:ascii="Arial" w:hAnsi="Arial" w:eastAsia="Arial"/>
          <w:b w:val="0"/>
          <w:i w:val="0"/>
        </w:rPr>
        <w:t>6.4 Tier 3 - Data, Cache, Search, Eventing, and Workflow</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944"/>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384"/>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58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456"/>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Relational Database</w:t>
            </w:r>
          </w:p>
        </w:tc>
        <w:tc>
          <w:tcPr>
            <w:tcW w:type="dxa" w:w="3384"/>
            <w:vAlign w:val="top"/>
          </w:tcPr>
          <w:p>
            <w:pPr>
              <w:spacing w:after="0" w:line="240" w:lineRule="auto"/>
              <w:jc w:val="left"/>
            </w:pPr>
            <w:r>
              <w:rPr>
                <w:rFonts w:ascii="Arial" w:hAnsi="Arial" w:eastAsia="Arial"/>
              </w:rPr>
            </w:r>
            <w:r>
              <w:rPr>
                <w:rFonts w:ascii="Arial" w:hAnsi="Arial" w:eastAsia="Arial"/>
                <w:b w:val="0"/>
                <w:sz w:val="14"/>
              </w:rPr>
              <w:t>PostgreSQL 18.x strategic baseline</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Authoritative data, configuration, audit, retrieval metadata, pgvector embeddings.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Database HA</w:t>
            </w:r>
          </w:p>
        </w:tc>
        <w:tc>
          <w:tcPr>
            <w:tcW w:type="dxa" w:w="3384"/>
            <w:vAlign w:val="top"/>
          </w:tcPr>
          <w:p>
            <w:pPr>
              <w:spacing w:after="0" w:line="240" w:lineRule="auto"/>
              <w:jc w:val="left"/>
            </w:pPr>
            <w:r>
              <w:rPr>
                <w:rFonts w:ascii="Arial" w:hAnsi="Arial" w:eastAsia="Arial"/>
              </w:rPr>
            </w:r>
            <w:r>
              <w:rPr>
                <w:rFonts w:ascii="Arial" w:hAnsi="Arial" w:eastAsia="Arial"/>
                <w:b w:val="0"/>
                <w:sz w:val="14"/>
              </w:rPr>
              <w:t>Patroni plus PgBouncer</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HA/failover and connection control; restore/failover evidence required.</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Migration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Flyway</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No production DDL outside versioned migrations; checksums retained.</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Vector Extension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pgvector 0.8.x or later patched baseline</w:t>
            </w:r>
          </w:p>
        </w:tc>
        <w:tc>
          <w:tcPr>
            <w:tcW w:type="dxa" w:w="1584"/>
            <w:vAlign w:val="top"/>
          </w:tcPr>
          <w:p>
            <w:pPr>
              <w:spacing w:after="0" w:line="240" w:lineRule="auto"/>
              <w:jc w:val="left"/>
            </w:pPr>
            <w:r>
              <w:rPr>
                <w:rFonts w:ascii="Arial" w:hAnsi="Arial" w:eastAsia="Arial"/>
              </w:rPr>
            </w:r>
            <w:r>
              <w:rPr>
                <w:rFonts w:ascii="Arial" w:hAnsi="Arial" w:eastAsia="Arial"/>
                <w:b w:val="0"/>
                <w:sz w:val="14"/>
              </w:rPr>
              <w:t>Approved</w:t>
            </w:r>
          </w:p>
        </w:tc>
        <w:tc>
          <w:tcPr>
            <w:tcW w:type="dxa" w:w="3456"/>
            <w:vAlign w:val="top"/>
          </w:tcPr>
          <w:p>
            <w:pPr>
              <w:spacing w:after="0" w:line="240" w:lineRule="auto"/>
              <w:jc w:val="left"/>
            </w:pPr>
            <w:r>
              <w:rPr>
                <w:rFonts w:ascii="Arial" w:hAnsi="Arial" w:eastAsia="Arial"/>
              </w:rPr>
            </w:r>
            <w:r>
              <w:rPr>
                <w:rFonts w:ascii="Arial" w:hAnsi="Arial" w:eastAsia="Arial"/>
                <w:b w:val="0"/>
                <w:sz w:val="14"/>
              </w:rPr>
              <w:t>Embeddings with lineage, model version, classification, ACL metadata, and rebuild evidence.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Cache</w:t>
            </w:r>
          </w:p>
        </w:tc>
        <w:tc>
          <w:tcPr>
            <w:tcW w:type="dxa" w:w="3384"/>
            <w:vAlign w:val="top"/>
          </w:tcPr>
          <w:p>
            <w:pPr>
              <w:spacing w:after="0" w:line="240" w:lineRule="auto"/>
              <w:jc w:val="left"/>
            </w:pPr>
            <w:r>
              <w:rPr>
                <w:rFonts w:ascii="Arial" w:hAnsi="Arial" w:eastAsia="Arial"/>
              </w:rPr>
            </w:r>
            <w:r>
              <w:rPr>
                <w:rFonts w:ascii="Arial" w:hAnsi="Arial" w:eastAsia="Arial"/>
                <w:b w:val="0"/>
                <w:sz w:val="14"/>
              </w:rPr>
              <w:t>Caffeine L1; Valkey or Redis L2</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Approved / 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Acceleration only; cache loss degrades latency, not correctness. Valkey preferred where open-source licensing posture is required.</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Event Backbone</w:t>
            </w:r>
          </w:p>
        </w:tc>
        <w:tc>
          <w:tcPr>
            <w:tcW w:type="dxa" w:w="3384"/>
            <w:vAlign w:val="top"/>
          </w:tcPr>
          <w:p>
            <w:pPr>
              <w:spacing w:after="0" w:line="240" w:lineRule="auto"/>
              <w:jc w:val="left"/>
            </w:pPr>
            <w:r>
              <w:rPr>
                <w:rFonts w:ascii="Arial" w:hAnsi="Arial" w:eastAsia="Arial"/>
              </w:rPr>
            </w:r>
            <w:r>
              <w:rPr>
                <w:rFonts w:ascii="Arial" w:hAnsi="Arial" w:eastAsia="Arial"/>
                <w:b w:val="0"/>
                <w:sz w:val="14"/>
              </w:rPr>
              <w:t>Kafka 4.x KRaft-only; Avro/JSON Schema; CloudEvents</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Schema-managed eventing, outbox, DLQ, event lifecycle evidence. ZooKeeper mode is not approved.</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Schema Registry</w:t>
            </w:r>
          </w:p>
        </w:tc>
        <w:tc>
          <w:tcPr>
            <w:tcW w:type="dxa" w:w="3384"/>
            <w:vAlign w:val="top"/>
          </w:tcPr>
          <w:p>
            <w:pPr>
              <w:spacing w:after="0" w:line="240" w:lineRule="auto"/>
              <w:jc w:val="left"/>
            </w:pPr>
            <w:r>
              <w:rPr>
                <w:rFonts w:ascii="Arial" w:hAnsi="Arial" w:eastAsia="Arial"/>
              </w:rPr>
            </w:r>
            <w:r>
              <w:rPr>
                <w:rFonts w:ascii="Arial" w:hAnsi="Arial" w:eastAsia="Arial"/>
                <w:b w:val="0"/>
                <w:sz w:val="14"/>
              </w:rPr>
              <w:t>Apicurio Registry or Confluent Schema Registry</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Must support compatibility rules, ownership, lineage, and deployment evidence.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Machine Workflow</w:t>
            </w:r>
          </w:p>
        </w:tc>
        <w:tc>
          <w:tcPr>
            <w:tcW w:type="dxa" w:w="3384"/>
            <w:vAlign w:val="top"/>
          </w:tcPr>
          <w:p>
            <w:pPr>
              <w:spacing w:after="0" w:line="240" w:lineRule="auto"/>
              <w:jc w:val="left"/>
            </w:pPr>
            <w:r>
              <w:rPr>
                <w:rFonts w:ascii="Arial" w:hAnsi="Arial" w:eastAsia="Arial"/>
              </w:rPr>
            </w:r>
            <w:r>
              <w:rPr>
                <w:rFonts w:ascii="Arial" w:hAnsi="Arial" w:eastAsia="Arial"/>
                <w:b w:val="0"/>
                <w:sz w:val="14"/>
              </w:rPr>
              <w:t>Temporal</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Durable machine workflows, retries, sagas, compensation; not human task ownership.</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Human Workflow</w:t>
            </w:r>
          </w:p>
        </w:tc>
        <w:tc>
          <w:tcPr>
            <w:tcW w:type="dxa" w:w="3384"/>
            <w:vAlign w:val="top"/>
          </w:tcPr>
          <w:p>
            <w:pPr>
              <w:spacing w:after="0" w:line="240" w:lineRule="auto"/>
              <w:jc w:val="left"/>
            </w:pPr>
            <w:r>
              <w:rPr>
                <w:rFonts w:ascii="Arial" w:hAnsi="Arial" w:eastAsia="Arial"/>
              </w:rPr>
            </w:r>
            <w:r>
              <w:rPr>
                <w:rFonts w:ascii="Arial" w:hAnsi="Arial" w:eastAsia="Arial"/>
                <w:b w:val="0"/>
                <w:sz w:val="14"/>
              </w:rPr>
              <w:t>Flowable BPMN/DMN/CMMN</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Human approvals, exception review, DMN decisions, CAB gates, SLA timers.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DMS/RMS</w:t>
            </w:r>
          </w:p>
        </w:tc>
        <w:tc>
          <w:tcPr>
            <w:tcW w:type="dxa" w:w="3384"/>
            <w:vAlign w:val="top"/>
          </w:tcPr>
          <w:p>
            <w:pPr>
              <w:spacing w:after="0" w:line="240" w:lineRule="auto"/>
              <w:jc w:val="left"/>
            </w:pPr>
            <w:r>
              <w:rPr>
                <w:rFonts w:ascii="Arial" w:hAnsi="Arial" w:eastAsia="Arial"/>
              </w:rPr>
            </w:r>
            <w:r>
              <w:rPr>
                <w:rFonts w:ascii="Arial" w:hAnsi="Arial" w:eastAsia="Arial"/>
                <w:b w:val="0"/>
                <w:sz w:val="14"/>
              </w:rPr>
              <w:t>OpenKM</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Authoritative original document records, versions, metadata, retention evidence.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Document/OCR Intake</w:t>
            </w:r>
          </w:p>
        </w:tc>
        <w:tc>
          <w:tcPr>
            <w:tcW w:type="dxa" w:w="3384"/>
            <w:vAlign w:val="top"/>
          </w:tcPr>
          <w:p>
            <w:pPr>
              <w:spacing w:after="0" w:line="240" w:lineRule="auto"/>
              <w:jc w:val="left"/>
            </w:pPr>
            <w:r>
              <w:rPr>
                <w:rFonts w:ascii="Arial" w:hAnsi="Arial" w:eastAsia="Arial"/>
              </w:rPr>
            </w:r>
            <w:r>
              <w:rPr>
                <w:rFonts w:ascii="Arial" w:hAnsi="Arial" w:eastAsia="Arial"/>
                <w:b w:val="0"/>
                <w:sz w:val="14"/>
              </w:rPr>
              <w:t>PaddleOCR, ClamAV intake scanning, checksum and lineage registry</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OCR and malware checks before indexing. No raw Restricted documents in unmanaged AI tools.</w:t>
            </w:r>
          </w:p>
        </w:tc>
      </w:tr>
    </w:tbl>
    <w:p>
      <w:pPr>
        <w:spacing w:after="100" w:line="252" w:lineRule="auto"/>
      </w:pPr>
    </w:p>
    <w:p>
      <w:pPr>
        <w:pStyle w:val="Heading2"/>
        <w:spacing w:before="160" w:after="80"/>
      </w:pPr>
      <w:r>
        <w:rPr>
          <w:rFonts w:ascii="Arial" w:hAnsi="Arial" w:eastAsia="Arial"/>
          <w:b w:val="0"/>
          <w:i w:val="0"/>
        </w:rPr>
        <w:t>6.5 Tier 4 - AI-Native Runtime, Retrieval, Model, and Knowledge Governance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944"/>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384"/>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58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456"/>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AI Gateway</w:t>
            </w:r>
          </w:p>
        </w:tc>
        <w:tc>
          <w:tcPr>
            <w:tcW w:type="dxa" w:w="3384"/>
            <w:vAlign w:val="top"/>
          </w:tcPr>
          <w:p>
            <w:pPr>
              <w:spacing w:after="0" w:line="240" w:lineRule="auto"/>
              <w:jc w:val="left"/>
            </w:pPr>
            <w:r>
              <w:rPr>
                <w:rFonts w:ascii="Arial" w:hAnsi="Arial" w:eastAsia="Arial"/>
              </w:rPr>
            </w:r>
            <w:r>
              <w:rPr>
                <w:rFonts w:ascii="Arial" w:hAnsi="Arial" w:eastAsia="Arial"/>
                <w:b w:val="0"/>
                <w:sz w:val="14"/>
              </w:rPr>
              <w:t>LiteLLM 1.84.x or approved patched baseline</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Only model gateway for application traffic. Signed image/package, SBOM, supply-chain verification, aliases, virtual keys, budgets, telemetry, routing.</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Fallback Model Aggregation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OpenRouter behind LiteLLM only</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Fallback/evaluation route only; not direct application route; not for Confidential/Restricted without waiver.</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AI Orchestration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Spring AI plus Hermes Agent</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Prompt composition, intent handling, reasoning, retrieval coordination; no direct tool execution.</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Guardrails</w:t>
            </w:r>
          </w:p>
        </w:tc>
        <w:tc>
          <w:tcPr>
            <w:tcW w:type="dxa" w:w="3384"/>
            <w:vAlign w:val="top"/>
          </w:tcPr>
          <w:p>
            <w:pPr>
              <w:spacing w:after="0" w:line="240" w:lineRule="auto"/>
              <w:jc w:val="left"/>
            </w:pPr>
            <w:r>
              <w:rPr>
                <w:rFonts w:ascii="Arial" w:hAnsi="Arial" w:eastAsia="Arial"/>
              </w:rPr>
            </w:r>
            <w:r>
              <w:rPr>
                <w:rFonts w:ascii="Arial" w:hAnsi="Arial" w:eastAsia="Arial"/>
                <w:b w:val="0"/>
                <w:sz w:val="14"/>
              </w:rPr>
              <w:t>NeMo Guardrails 0.21.x or approved patched baseline</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Input, Retrieval, Execution, Output checkpoints; fail closed on unavailability.</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Agent Execution Boundary</w:t>
            </w:r>
          </w:p>
        </w:tc>
        <w:tc>
          <w:tcPr>
            <w:tcW w:type="dxa" w:w="3384"/>
            <w:vAlign w:val="top"/>
          </w:tcPr>
          <w:p>
            <w:pPr>
              <w:spacing w:after="0" w:line="240" w:lineRule="auto"/>
              <w:jc w:val="left"/>
            </w:pPr>
            <w:r>
              <w:rPr>
                <w:rFonts w:ascii="Arial" w:hAnsi="Arial" w:eastAsia="Arial"/>
              </w:rPr>
            </w:r>
            <w:r>
              <w:rPr>
                <w:rFonts w:ascii="Arial" w:hAnsi="Arial" w:eastAsia="Arial"/>
                <w:b w:val="0"/>
                <w:sz w:val="14"/>
              </w:rPr>
              <w:t>Harness service with SBAC, OPA, trust scoring, audit</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AI tool actions pass through Harness; no direct credentials to agents.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MCP Governance</w:t>
            </w:r>
          </w:p>
        </w:tc>
        <w:tc>
          <w:tcPr>
            <w:tcW w:type="dxa" w:w="3384"/>
            <w:vAlign w:val="top"/>
          </w:tcPr>
          <w:p>
            <w:pPr>
              <w:spacing w:after="0" w:line="240" w:lineRule="auto"/>
              <w:jc w:val="left"/>
            </w:pPr>
            <w:r>
              <w:rPr>
                <w:rFonts w:ascii="Arial" w:hAnsi="Arial" w:eastAsia="Arial"/>
              </w:rPr>
            </w:r>
            <w:r>
              <w:rPr>
                <w:rFonts w:ascii="Arial" w:hAnsi="Arial" w:eastAsia="Arial"/>
                <w:b w:val="0"/>
                <w:sz w:val="14"/>
              </w:rPr>
              <w:t>Model Context Protocol adapters behind AIRA MCP gateway/proxy</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MCP tools must be registered, scoped, audited, read-only by default, and policy-controlled.</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Retrieval Intelligence</w:t>
            </w:r>
          </w:p>
        </w:tc>
        <w:tc>
          <w:tcPr>
            <w:tcW w:type="dxa" w:w="3384"/>
            <w:vAlign w:val="top"/>
          </w:tcPr>
          <w:p>
            <w:pPr>
              <w:spacing w:after="0" w:line="240" w:lineRule="auto"/>
              <w:jc w:val="left"/>
            </w:pPr>
            <w:r>
              <w:rPr>
                <w:rFonts w:ascii="Arial" w:hAnsi="Arial" w:eastAsia="Arial"/>
              </w:rPr>
            </w:r>
            <w:r>
              <w:rPr>
                <w:rFonts w:ascii="Arial" w:hAnsi="Arial" w:eastAsia="Arial"/>
                <w:b w:val="0"/>
                <w:sz w:val="14"/>
              </w:rPr>
              <w:t>LightRAG</w:t>
            </w:r>
          </w:p>
        </w:tc>
        <w:tc>
          <w:tcPr>
            <w:tcW w:type="dxa" w:w="1584"/>
            <w:vAlign w:val="top"/>
          </w:tcPr>
          <w:p>
            <w:pPr>
              <w:spacing w:after="0" w:line="240" w:lineRule="auto"/>
              <w:jc w:val="left"/>
            </w:pPr>
            <w:r>
              <w:rPr>
                <w:rFonts w:ascii="Arial" w:hAnsi="Arial" w:eastAsia="Arial"/>
              </w:rPr>
            </w:r>
            <w:r>
              <w:rPr>
                <w:rFonts w:ascii="Arial" w:hAnsi="Arial" w:eastAsia="Arial"/>
                <w:b w:val="0"/>
                <w:sz w:val="14"/>
              </w:rPr>
              <w:t>Approved</w:t>
            </w:r>
          </w:p>
        </w:tc>
        <w:tc>
          <w:tcPr>
            <w:tcW w:type="dxa" w:w="3456"/>
            <w:vAlign w:val="top"/>
          </w:tcPr>
          <w:p>
            <w:pPr>
              <w:spacing w:after="0" w:line="240" w:lineRule="auto"/>
              <w:jc w:val="left"/>
            </w:pPr>
            <w:r>
              <w:rPr>
                <w:rFonts w:ascii="Arial" w:hAnsi="Arial" w:eastAsia="Arial"/>
              </w:rPr>
            </w:r>
            <w:r>
              <w:rPr>
                <w:rFonts w:ascii="Arial" w:hAnsi="Arial" w:eastAsia="Arial"/>
                <w:b w:val="0"/>
                <w:sz w:val="14"/>
              </w:rPr>
              <w:t>Graph-aware retrieval; derivative layer rebuilt from authoritative sources.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Curated Knowledge</w:t>
            </w:r>
          </w:p>
        </w:tc>
        <w:tc>
          <w:tcPr>
            <w:tcW w:type="dxa" w:w="3384"/>
            <w:vAlign w:val="top"/>
          </w:tcPr>
          <w:p>
            <w:pPr>
              <w:spacing w:after="0" w:line="240" w:lineRule="auto"/>
              <w:jc w:val="left"/>
            </w:pPr>
            <w:r>
              <w:rPr>
                <w:rFonts w:ascii="Arial" w:hAnsi="Arial" w:eastAsia="Arial"/>
              </w:rPr>
            </w:r>
            <w:r>
              <w:rPr>
                <w:rFonts w:ascii="Arial" w:hAnsi="Arial" w:eastAsia="Arial"/>
                <w:b w:val="0"/>
                <w:sz w:val="14"/>
              </w:rPr>
              <w:t>LLM Wiki and Obsidian</w:t>
            </w:r>
          </w:p>
        </w:tc>
        <w:tc>
          <w:tcPr>
            <w:tcW w:type="dxa" w:w="1584"/>
            <w:vAlign w:val="top"/>
          </w:tcPr>
          <w:p>
            <w:pPr>
              <w:spacing w:after="0" w:line="240" w:lineRule="auto"/>
              <w:jc w:val="left"/>
            </w:pPr>
            <w:r>
              <w:rPr>
                <w:rFonts w:ascii="Arial" w:hAnsi="Arial" w:eastAsia="Arial"/>
              </w:rPr>
            </w:r>
            <w:r>
              <w:rPr>
                <w:rFonts w:ascii="Arial" w:hAnsi="Arial" w:eastAsia="Arial"/>
                <w:b w:val="0"/>
                <w:sz w:val="14"/>
              </w:rPr>
              <w:t>Approved</w:t>
            </w:r>
          </w:p>
        </w:tc>
        <w:tc>
          <w:tcPr>
            <w:tcW w:type="dxa" w:w="3456"/>
            <w:vAlign w:val="top"/>
          </w:tcPr>
          <w:p>
            <w:pPr>
              <w:spacing w:after="0" w:line="240" w:lineRule="auto"/>
              <w:jc w:val="left"/>
            </w:pPr>
            <w:r>
              <w:rPr>
                <w:rFonts w:ascii="Arial" w:hAnsi="Arial" w:eastAsia="Arial"/>
              </w:rPr>
            </w:r>
            <w:r>
              <w:rPr>
                <w:rFonts w:ascii="Arial" w:hAnsi="Arial" w:eastAsia="Arial"/>
                <w:b w:val="0"/>
                <w:sz w:val="14"/>
              </w:rPr>
              <w:t>Human-reviewed knowledge and developer retrieval; not ungoverned dumping ground.</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Local / Private Models</w:t>
            </w:r>
          </w:p>
        </w:tc>
        <w:tc>
          <w:tcPr>
            <w:tcW w:type="dxa" w:w="3384"/>
            <w:vAlign w:val="top"/>
          </w:tcPr>
          <w:p>
            <w:pPr>
              <w:spacing w:after="0" w:line="240" w:lineRule="auto"/>
              <w:jc w:val="left"/>
            </w:pPr>
            <w:r>
              <w:rPr>
                <w:rFonts w:ascii="Arial" w:hAnsi="Arial" w:eastAsia="Arial"/>
              </w:rPr>
            </w:r>
            <w:r>
              <w:rPr>
                <w:rFonts w:ascii="Arial" w:hAnsi="Arial" w:eastAsia="Arial"/>
                <w:b w:val="0"/>
                <w:sz w:val="14"/>
              </w:rPr>
              <w:t>Ollama for development; vLLM or approved serving runtime for controlled private routes</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Private/on-prem routes for restricted scenarios subject to model evaluation, capacity, safety, and security review.</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Model Evaluation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Golden datasets, prompt evals, retrieval evals, adversarial tests, red-team tests</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Model routes and prompt changes require measurable evidence and regression gates.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AI Audit Store</w:t>
            </w:r>
          </w:p>
        </w:tc>
        <w:tc>
          <w:tcPr>
            <w:tcW w:type="dxa" w:w="3384"/>
            <w:vAlign w:val="top"/>
          </w:tcPr>
          <w:p>
            <w:pPr>
              <w:spacing w:after="0" w:line="240" w:lineRule="auto"/>
              <w:jc w:val="left"/>
            </w:pPr>
            <w:r>
              <w:rPr>
                <w:rFonts w:ascii="Arial" w:hAnsi="Arial" w:eastAsia="Arial"/>
              </w:rPr>
            </w:r>
            <w:r>
              <w:rPr>
                <w:rFonts w:ascii="Arial" w:hAnsi="Arial" w:eastAsia="Arial"/>
                <w:b w:val="0"/>
                <w:sz w:val="14"/>
              </w:rPr>
              <w:t>PostgreSQL audit schema, OpenTelemetry correlation, OpenKM evidence pack</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Every prompt/model/tool action has owner, route, classification, guardrail result, trace_id, and evidence reference.</w:t>
            </w:r>
          </w:p>
        </w:tc>
      </w:tr>
    </w:tbl>
    <w:p>
      <w:pPr>
        <w:spacing w:after="100" w:line="252" w:lineRule="auto"/>
      </w:pPr>
    </w:p>
    <w:p>
      <w:pPr>
        <w:pStyle w:val="Heading2"/>
        <w:spacing w:before="160" w:after="80"/>
      </w:pPr>
      <w:r>
        <w:rPr>
          <w:rFonts w:ascii="Arial" w:hAnsi="Arial" w:eastAsia="Arial"/>
          <w:b w:val="0"/>
          <w:i w:val="0"/>
        </w:rPr>
        <w:t>6.6 Tier 4A - Voice AI and Conversation Runtime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944"/>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384"/>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58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456"/>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Voice Agent Orchestration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Dograh self-hosted / approved fork or approved release</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 / Controlled Evaluation</w:t>
            </w:r>
          </w:p>
        </w:tc>
        <w:tc>
          <w:tcPr>
            <w:tcW w:type="dxa" w:w="3456"/>
            <w:vAlign w:val="top"/>
          </w:tcPr>
          <w:p>
            <w:pPr>
              <w:spacing w:after="0" w:line="240" w:lineRule="auto"/>
              <w:jc w:val="left"/>
            </w:pPr>
            <w:r>
              <w:rPr>
                <w:rFonts w:ascii="Arial" w:hAnsi="Arial" w:eastAsia="Arial"/>
              </w:rPr>
            </w:r>
            <w:r>
              <w:rPr>
                <w:rFonts w:ascii="Arial" w:hAnsi="Arial" w:eastAsia="Arial"/>
                <w:b w:val="0"/>
                <w:sz w:val="14"/>
              </w:rPr>
              <w:t>Voice-agent orchestration platform for inbound/outbound voice flows, workflow builder, telephony/WebRTC integration, and conversation control. Not the sole STT/TTS engine.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Speech-to-Text Providers</w:t>
            </w:r>
          </w:p>
        </w:tc>
        <w:tc>
          <w:tcPr>
            <w:tcW w:type="dxa" w:w="3384"/>
            <w:vAlign w:val="top"/>
          </w:tcPr>
          <w:p>
            <w:pPr>
              <w:spacing w:after="0" w:line="240" w:lineRule="auto"/>
              <w:jc w:val="left"/>
            </w:pPr>
            <w:r>
              <w:rPr>
                <w:rFonts w:ascii="Arial" w:hAnsi="Arial" w:eastAsia="Arial"/>
              </w:rPr>
            </w:r>
            <w:r>
              <w:rPr>
                <w:rFonts w:ascii="Arial" w:hAnsi="Arial" w:eastAsia="Arial"/>
                <w:b w:val="0"/>
                <w:sz w:val="14"/>
              </w:rPr>
              <w:t>Whisper, faster-whisper, whisper.cpp, or approved STT provider behind adapter</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Approved / 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STT provider is swappable. Route by classification, latency, language, accuracy, and deployment boundary.</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Text-to-Speech Providers</w:t>
            </w:r>
          </w:p>
        </w:tc>
        <w:tc>
          <w:tcPr>
            <w:tcW w:type="dxa" w:w="3384"/>
            <w:vAlign w:val="top"/>
          </w:tcPr>
          <w:p>
            <w:pPr>
              <w:spacing w:after="0" w:line="240" w:lineRule="auto"/>
              <w:jc w:val="left"/>
            </w:pPr>
            <w:r>
              <w:rPr>
                <w:rFonts w:ascii="Arial" w:hAnsi="Arial" w:eastAsia="Arial"/>
              </w:rPr>
            </w:r>
            <w:r>
              <w:rPr>
                <w:rFonts w:ascii="Arial" w:hAnsi="Arial" w:eastAsia="Arial"/>
                <w:b w:val="0"/>
                <w:sz w:val="14"/>
              </w:rPr>
              <w:t>Piper, Kokoro, or approved TTS provider behind adapter</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Approved / 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TTS provider is swappable. Voice output must pass output guardrail and safe-response policy.</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Voice Activity / Turn Taking</w:t>
            </w:r>
          </w:p>
        </w:tc>
        <w:tc>
          <w:tcPr>
            <w:tcW w:type="dxa" w:w="3384"/>
            <w:vAlign w:val="top"/>
          </w:tcPr>
          <w:p>
            <w:pPr>
              <w:spacing w:after="0" w:line="240" w:lineRule="auto"/>
              <w:jc w:val="left"/>
            </w:pPr>
            <w:r>
              <w:rPr>
                <w:rFonts w:ascii="Arial" w:hAnsi="Arial" w:eastAsia="Arial"/>
              </w:rPr>
            </w:r>
            <w:r>
              <w:rPr>
                <w:rFonts w:ascii="Arial" w:hAnsi="Arial" w:eastAsia="Arial"/>
                <w:b w:val="0"/>
                <w:sz w:val="14"/>
              </w:rPr>
              <w:t>Dograh-native controls or approved VAD/turn-taking component</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Must avoid recording over-retention, accidental command execution, and hidden prompt leakage.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Telephony / Media</w:t>
            </w:r>
          </w:p>
        </w:tc>
        <w:tc>
          <w:tcPr>
            <w:tcW w:type="dxa" w:w="3384"/>
            <w:vAlign w:val="top"/>
          </w:tcPr>
          <w:p>
            <w:pPr>
              <w:spacing w:after="0" w:line="240" w:lineRule="auto"/>
              <w:jc w:val="left"/>
            </w:pPr>
            <w:r>
              <w:rPr>
                <w:rFonts w:ascii="Arial" w:hAnsi="Arial" w:eastAsia="Arial"/>
              </w:rPr>
            </w:r>
            <w:r>
              <w:rPr>
                <w:rFonts w:ascii="Arial" w:hAnsi="Arial" w:eastAsia="Arial"/>
                <w:b w:val="0"/>
                <w:sz w:val="14"/>
              </w:rPr>
              <w:t>Dograh-supported telephony/WebRTC adapters; LiveKit/Pipecat only where justified</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Telephony providers are adapters. Consent, recording, retention, DPA, and security review are mandatory.</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Voice Guardrails</w:t>
            </w:r>
          </w:p>
        </w:tc>
        <w:tc>
          <w:tcPr>
            <w:tcW w:type="dxa" w:w="3384"/>
            <w:vAlign w:val="top"/>
          </w:tcPr>
          <w:p>
            <w:pPr>
              <w:spacing w:after="0" w:line="240" w:lineRule="auto"/>
              <w:jc w:val="left"/>
            </w:pPr>
            <w:r>
              <w:rPr>
                <w:rFonts w:ascii="Arial" w:hAnsi="Arial" w:eastAsia="Arial"/>
              </w:rPr>
            </w:r>
            <w:r>
              <w:rPr>
                <w:rFonts w:ascii="Arial" w:hAnsi="Arial" w:eastAsia="Arial"/>
                <w:b w:val="0"/>
                <w:sz w:val="14"/>
              </w:rPr>
              <w:t>NeMo Guardrails plus AIRA voice-specific input/output rails</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Transcript classification, PII redaction, prompt eligibility, unsafe instruction blocking, and safe spoken response.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Voice Audit</w:t>
            </w:r>
          </w:p>
        </w:tc>
        <w:tc>
          <w:tcPr>
            <w:tcW w:type="dxa" w:w="3384"/>
            <w:vAlign w:val="top"/>
          </w:tcPr>
          <w:p>
            <w:pPr>
              <w:spacing w:after="0" w:line="240" w:lineRule="auto"/>
              <w:jc w:val="left"/>
            </w:pPr>
            <w:r>
              <w:rPr>
                <w:rFonts w:ascii="Arial" w:hAnsi="Arial" w:eastAsia="Arial"/>
              </w:rPr>
            </w:r>
            <w:r>
              <w:rPr>
                <w:rFonts w:ascii="Arial" w:hAnsi="Arial" w:eastAsia="Arial"/>
                <w:b w:val="0"/>
                <w:sz w:val="14"/>
              </w:rPr>
              <w:t>call_id, speaker role, transcript hash, STT/TTS model, confidence, route, consent, retention</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Do not store raw audio/transcripts unless classification, consent, retention, and access rules allow it.</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Voice Tool Actions</w:t>
            </w:r>
          </w:p>
        </w:tc>
        <w:tc>
          <w:tcPr>
            <w:tcW w:type="dxa" w:w="3384"/>
            <w:vAlign w:val="top"/>
          </w:tcPr>
          <w:p>
            <w:pPr>
              <w:spacing w:after="0" w:line="240" w:lineRule="auto"/>
              <w:jc w:val="left"/>
            </w:pPr>
            <w:r>
              <w:rPr>
                <w:rFonts w:ascii="Arial" w:hAnsi="Arial" w:eastAsia="Arial"/>
              </w:rPr>
            </w:r>
            <w:r>
              <w:rPr>
                <w:rFonts w:ascii="Arial" w:hAnsi="Arial" w:eastAsia="Arial"/>
                <w:b w:val="0"/>
                <w:sz w:val="14"/>
              </w:rPr>
              <w:t>Harness/SBAC/OPA/Flowable approval path</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A voice conversation may propose actions; production-impacting actions require policy and human approval where applicable.</w:t>
            </w:r>
          </w:p>
        </w:tc>
      </w:tr>
    </w:tbl>
    <w:p>
      <w:pPr>
        <w:spacing w:after="100" w:line="252" w:lineRule="auto"/>
      </w:pPr>
    </w:p>
    <w:p>
      <w:pPr>
        <w:pStyle w:val="Heading2"/>
        <w:spacing w:before="160" w:after="80"/>
      </w:pPr>
      <w:r>
        <w:rPr>
          <w:rFonts w:ascii="Arial" w:hAnsi="Arial" w:eastAsia="Arial"/>
          <w:b w:val="0"/>
          <w:i w:val="0"/>
        </w:rPr>
        <w:t>6.7 Tier 5 - Observability, Security Operations, and DevSecOps Enforcement</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944"/>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384"/>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58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456"/>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Telemetry</w:t>
            </w:r>
          </w:p>
        </w:tc>
        <w:tc>
          <w:tcPr>
            <w:tcW w:type="dxa" w:w="3384"/>
            <w:vAlign w:val="top"/>
          </w:tcPr>
          <w:p>
            <w:pPr>
              <w:spacing w:after="0" w:line="240" w:lineRule="auto"/>
              <w:jc w:val="left"/>
            </w:pPr>
            <w:r>
              <w:rPr>
                <w:rFonts w:ascii="Arial" w:hAnsi="Arial" w:eastAsia="Arial"/>
              </w:rPr>
            </w:r>
            <w:r>
              <w:rPr>
                <w:rFonts w:ascii="Arial" w:hAnsi="Arial" w:eastAsia="Arial"/>
                <w:b w:val="0"/>
                <w:sz w:val="14"/>
              </w:rPr>
              <w:t>OpenTelemetry SDK and Collector / Grafana Alloy</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Trace, metric, log, voice, AI interaction, and tool-action telemetry routing.</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Metrics</w:t>
            </w:r>
          </w:p>
        </w:tc>
        <w:tc>
          <w:tcPr>
            <w:tcW w:type="dxa" w:w="3384"/>
            <w:vAlign w:val="top"/>
          </w:tcPr>
          <w:p>
            <w:pPr>
              <w:spacing w:after="0" w:line="240" w:lineRule="auto"/>
              <w:jc w:val="left"/>
            </w:pPr>
            <w:r>
              <w:rPr>
                <w:rFonts w:ascii="Arial" w:hAnsi="Arial" w:eastAsia="Arial"/>
              </w:rPr>
            </w:r>
            <w:r>
              <w:rPr>
                <w:rFonts w:ascii="Arial" w:hAnsi="Arial" w:eastAsia="Arial"/>
                <w:b w:val="0"/>
                <w:sz w:val="14"/>
              </w:rPr>
              <w:t>Prometheus and Thanos / Mimir where approved</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Metrics, SLOs, alerting, long-term metric retention.</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Logs</w:t>
            </w:r>
          </w:p>
        </w:tc>
        <w:tc>
          <w:tcPr>
            <w:tcW w:type="dxa" w:w="3384"/>
            <w:vAlign w:val="top"/>
          </w:tcPr>
          <w:p>
            <w:pPr>
              <w:spacing w:after="0" w:line="240" w:lineRule="auto"/>
              <w:jc w:val="left"/>
            </w:pPr>
            <w:r>
              <w:rPr>
                <w:rFonts w:ascii="Arial" w:hAnsi="Arial" w:eastAsia="Arial"/>
              </w:rPr>
            </w:r>
            <w:r>
              <w:rPr>
                <w:rFonts w:ascii="Arial" w:hAnsi="Arial" w:eastAsia="Arial"/>
                <w:b w:val="0"/>
                <w:sz w:val="14"/>
              </w:rPr>
              <w:t>Loki</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Structured logs with bounded labels; no PII/secrets/high-cardinality labels.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Traces</w:t>
            </w:r>
          </w:p>
        </w:tc>
        <w:tc>
          <w:tcPr>
            <w:tcW w:type="dxa" w:w="3384"/>
            <w:vAlign w:val="top"/>
          </w:tcPr>
          <w:p>
            <w:pPr>
              <w:spacing w:after="0" w:line="240" w:lineRule="auto"/>
              <w:jc w:val="left"/>
            </w:pPr>
            <w:r>
              <w:rPr>
                <w:rFonts w:ascii="Arial" w:hAnsi="Arial" w:eastAsia="Arial"/>
              </w:rPr>
            </w:r>
            <w:r>
              <w:rPr>
                <w:rFonts w:ascii="Arial" w:hAnsi="Arial" w:eastAsia="Arial"/>
                <w:b w:val="0"/>
                <w:sz w:val="14"/>
              </w:rPr>
              <w:t>Tempo</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Distributed tracing and request reconstruction.</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Dashboards</w:t>
            </w:r>
          </w:p>
        </w:tc>
        <w:tc>
          <w:tcPr>
            <w:tcW w:type="dxa" w:w="3384"/>
            <w:vAlign w:val="top"/>
          </w:tcPr>
          <w:p>
            <w:pPr>
              <w:spacing w:after="0" w:line="240" w:lineRule="auto"/>
              <w:jc w:val="left"/>
            </w:pPr>
            <w:r>
              <w:rPr>
                <w:rFonts w:ascii="Arial" w:hAnsi="Arial" w:eastAsia="Arial"/>
              </w:rPr>
            </w:r>
            <w:r>
              <w:rPr>
                <w:rFonts w:ascii="Arial" w:hAnsi="Arial" w:eastAsia="Arial"/>
                <w:b w:val="0"/>
                <w:sz w:val="14"/>
              </w:rPr>
              <w:t>Grafana</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Operational dashboards, SLOs, release health, evidence views.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Exception Intelligence</w:t>
            </w:r>
          </w:p>
        </w:tc>
        <w:tc>
          <w:tcPr>
            <w:tcW w:type="dxa" w:w="3384"/>
            <w:vAlign w:val="top"/>
          </w:tcPr>
          <w:p>
            <w:pPr>
              <w:spacing w:after="0" w:line="240" w:lineRule="auto"/>
              <w:jc w:val="left"/>
            </w:pPr>
            <w:r>
              <w:rPr>
                <w:rFonts w:ascii="Arial" w:hAnsi="Arial" w:eastAsia="Arial"/>
              </w:rPr>
            </w:r>
            <w:r>
              <w:rPr>
                <w:rFonts w:ascii="Arial" w:hAnsi="Arial" w:eastAsia="Arial"/>
                <w:b w:val="0"/>
                <w:sz w:val="14"/>
              </w:rPr>
              <w:t>Sentry</w:t>
            </w:r>
          </w:p>
        </w:tc>
        <w:tc>
          <w:tcPr>
            <w:tcW w:type="dxa" w:w="1584"/>
            <w:vAlign w:val="top"/>
          </w:tcPr>
          <w:p>
            <w:pPr>
              <w:spacing w:after="0" w:line="240" w:lineRule="auto"/>
              <w:jc w:val="left"/>
            </w:pPr>
            <w:r>
              <w:rPr>
                <w:rFonts w:ascii="Arial" w:hAnsi="Arial" w:eastAsia="Arial"/>
              </w:rPr>
            </w:r>
            <w:r>
              <w:rPr>
                <w:rFonts w:ascii="Arial" w:hAnsi="Arial" w:eastAsia="Arial"/>
                <w:b w:val="0"/>
                <w:sz w:val="14"/>
              </w:rPr>
              <w:t>Approved</w:t>
            </w:r>
          </w:p>
        </w:tc>
        <w:tc>
          <w:tcPr>
            <w:tcW w:type="dxa" w:w="3456"/>
            <w:vAlign w:val="top"/>
          </w:tcPr>
          <w:p>
            <w:pPr>
              <w:spacing w:after="0" w:line="240" w:lineRule="auto"/>
              <w:jc w:val="left"/>
            </w:pPr>
            <w:r>
              <w:rPr>
                <w:rFonts w:ascii="Arial" w:hAnsi="Arial" w:eastAsia="Arial"/>
              </w:rPr>
            </w:r>
            <w:r>
              <w:rPr>
                <w:rFonts w:ascii="Arial" w:hAnsi="Arial" w:eastAsia="Arial"/>
                <w:b w:val="0"/>
                <w:sz w:val="14"/>
              </w:rPr>
              <w:t>Application exception and release-health monitoring; redaction required.</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SIEM / XDR</w:t>
            </w:r>
          </w:p>
        </w:tc>
        <w:tc>
          <w:tcPr>
            <w:tcW w:type="dxa" w:w="3384"/>
            <w:vAlign w:val="top"/>
          </w:tcPr>
          <w:p>
            <w:pPr>
              <w:spacing w:after="0" w:line="240" w:lineRule="auto"/>
              <w:jc w:val="left"/>
            </w:pPr>
            <w:r>
              <w:rPr>
                <w:rFonts w:ascii="Arial" w:hAnsi="Arial" w:eastAsia="Arial"/>
              </w:rPr>
            </w:r>
            <w:r>
              <w:rPr>
                <w:rFonts w:ascii="Arial" w:hAnsi="Arial" w:eastAsia="Arial"/>
                <w:b w:val="0"/>
                <w:sz w:val="14"/>
              </w:rPr>
              <w:t>Wazuh or approved enterprise SIEM/XDR</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Approved / 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Security event collection, threat detection, host posture, and compliance evidence.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SOAR / Case Management</w:t>
            </w:r>
          </w:p>
        </w:tc>
        <w:tc>
          <w:tcPr>
            <w:tcW w:type="dxa" w:w="3384"/>
            <w:vAlign w:val="top"/>
          </w:tcPr>
          <w:p>
            <w:pPr>
              <w:spacing w:after="0" w:line="240" w:lineRule="auto"/>
              <w:jc w:val="left"/>
            </w:pPr>
            <w:r>
              <w:rPr>
                <w:rFonts w:ascii="Arial" w:hAnsi="Arial" w:eastAsia="Arial"/>
              </w:rPr>
            </w:r>
            <w:r>
              <w:rPr>
                <w:rFonts w:ascii="Arial" w:hAnsi="Arial" w:eastAsia="Arial"/>
                <w:b w:val="0"/>
                <w:sz w:val="14"/>
              </w:rPr>
              <w:t>TheHive and Cortex or approved incident workflow platform</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Security triage, incident evidence, enrichment, and human accountability.</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SAST / Code Quality</w:t>
            </w:r>
          </w:p>
        </w:tc>
        <w:tc>
          <w:tcPr>
            <w:tcW w:type="dxa" w:w="3384"/>
            <w:vAlign w:val="top"/>
          </w:tcPr>
          <w:p>
            <w:pPr>
              <w:spacing w:after="0" w:line="240" w:lineRule="auto"/>
              <w:jc w:val="left"/>
            </w:pPr>
            <w:r>
              <w:rPr>
                <w:rFonts w:ascii="Arial" w:hAnsi="Arial" w:eastAsia="Arial"/>
              </w:rPr>
            </w:r>
            <w:r>
              <w:rPr>
                <w:rFonts w:ascii="Arial" w:hAnsi="Arial" w:eastAsia="Arial"/>
                <w:b w:val="0"/>
                <w:sz w:val="14"/>
              </w:rPr>
              <w:t>SonarQube, Semgrep</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Quality gates, security rules, architecture-sensitive static checks.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SCA / Image / SBOM</w:t>
            </w:r>
          </w:p>
        </w:tc>
        <w:tc>
          <w:tcPr>
            <w:tcW w:type="dxa" w:w="3384"/>
            <w:vAlign w:val="top"/>
          </w:tcPr>
          <w:p>
            <w:pPr>
              <w:spacing w:after="0" w:line="240" w:lineRule="auto"/>
              <w:jc w:val="left"/>
            </w:pPr>
            <w:r>
              <w:rPr>
                <w:rFonts w:ascii="Arial" w:hAnsi="Arial" w:eastAsia="Arial"/>
              </w:rPr>
            </w:r>
            <w:r>
              <w:rPr>
                <w:rFonts w:ascii="Arial" w:hAnsi="Arial" w:eastAsia="Arial"/>
                <w:b w:val="0"/>
                <w:sz w:val="14"/>
              </w:rPr>
              <w:t>Trivy, Grype, Syft, CycloneDX</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Dependency, image, and SBOM evidence.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Signing / Provenance</w:t>
            </w:r>
          </w:p>
        </w:tc>
        <w:tc>
          <w:tcPr>
            <w:tcW w:type="dxa" w:w="3384"/>
            <w:vAlign w:val="top"/>
          </w:tcPr>
          <w:p>
            <w:pPr>
              <w:spacing w:after="0" w:line="240" w:lineRule="auto"/>
              <w:jc w:val="left"/>
            </w:pPr>
            <w:r>
              <w:rPr>
                <w:rFonts w:ascii="Arial" w:hAnsi="Arial" w:eastAsia="Arial"/>
              </w:rPr>
            </w:r>
            <w:r>
              <w:rPr>
                <w:rFonts w:ascii="Arial" w:hAnsi="Arial" w:eastAsia="Arial"/>
                <w:b w:val="0"/>
                <w:sz w:val="14"/>
              </w:rPr>
              <w:t>Sigstore Cosign, Rekor, in-toto/SLSA provenance</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Signed images, attestations, provenance, and tamper-evident release evidence.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Secret Scanning</w:t>
            </w:r>
          </w:p>
        </w:tc>
        <w:tc>
          <w:tcPr>
            <w:tcW w:type="dxa" w:w="3384"/>
            <w:vAlign w:val="top"/>
          </w:tcPr>
          <w:p>
            <w:pPr>
              <w:spacing w:after="0" w:line="240" w:lineRule="auto"/>
              <w:jc w:val="left"/>
            </w:pPr>
            <w:r>
              <w:rPr>
                <w:rFonts w:ascii="Arial" w:hAnsi="Arial" w:eastAsia="Arial"/>
              </w:rPr>
            </w:r>
            <w:r>
              <w:rPr>
                <w:rFonts w:ascii="Arial" w:hAnsi="Arial" w:eastAsia="Arial"/>
                <w:b w:val="0"/>
                <w:sz w:val="14"/>
              </w:rPr>
              <w:t>Gitleaks plus SCM secret scanning</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Block secrets in code, docs, prompts, test fixtures, voice-flow configs, and examples.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DAST</w:t>
            </w:r>
          </w:p>
        </w:tc>
        <w:tc>
          <w:tcPr>
            <w:tcW w:type="dxa" w:w="3384"/>
            <w:vAlign w:val="top"/>
          </w:tcPr>
          <w:p>
            <w:pPr>
              <w:spacing w:after="0" w:line="240" w:lineRule="auto"/>
              <w:jc w:val="left"/>
            </w:pPr>
            <w:r>
              <w:rPr>
                <w:rFonts w:ascii="Arial" w:hAnsi="Arial" w:eastAsia="Arial"/>
              </w:rPr>
            </w:r>
            <w:r>
              <w:rPr>
                <w:rFonts w:ascii="Arial" w:hAnsi="Arial" w:eastAsia="Arial"/>
                <w:b w:val="0"/>
                <w:sz w:val="14"/>
              </w:rPr>
              <w:t>OWASP ZAP</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API/UI dynamic security testing in CI and release gates.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Dependency Automation</w:t>
            </w:r>
          </w:p>
        </w:tc>
        <w:tc>
          <w:tcPr>
            <w:tcW w:type="dxa" w:w="3384"/>
            <w:vAlign w:val="top"/>
          </w:tcPr>
          <w:p>
            <w:pPr>
              <w:spacing w:after="0" w:line="240" w:lineRule="auto"/>
              <w:jc w:val="left"/>
            </w:pPr>
            <w:r>
              <w:rPr>
                <w:rFonts w:ascii="Arial" w:hAnsi="Arial" w:eastAsia="Arial"/>
              </w:rPr>
            </w:r>
            <w:r>
              <w:rPr>
                <w:rFonts w:ascii="Arial" w:hAnsi="Arial" w:eastAsia="Arial"/>
                <w:b w:val="0"/>
                <w:sz w:val="14"/>
              </w:rPr>
              <w:t>Renovate and/or Dependabot</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Controlled dependency refresh, vulnerability response, and update evidence.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Architecture Fitness</w:t>
            </w:r>
          </w:p>
        </w:tc>
        <w:tc>
          <w:tcPr>
            <w:tcW w:type="dxa" w:w="3384"/>
            <w:vAlign w:val="top"/>
          </w:tcPr>
          <w:p>
            <w:pPr>
              <w:spacing w:after="0" w:line="240" w:lineRule="auto"/>
              <w:jc w:val="left"/>
            </w:pPr>
            <w:r>
              <w:rPr>
                <w:rFonts w:ascii="Arial" w:hAnsi="Arial" w:eastAsia="Arial"/>
              </w:rPr>
            </w:r>
            <w:r>
              <w:rPr>
                <w:rFonts w:ascii="Arial" w:hAnsi="Arial" w:eastAsia="Arial"/>
                <w:b w:val="0"/>
                <w:sz w:val="14"/>
              </w:rPr>
              <w:t>ArchUnit, dependency graph checks, OpenRewrite, contract tests, GitNexus read-only graph</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SOLID, Clean Architecture, DDD boundary, and adapter rules enforced.</w:t>
            </w:r>
          </w:p>
        </w:tc>
      </w:tr>
    </w:tbl>
    <w:p>
      <w:pPr>
        <w:spacing w:after="100" w:line="252" w:lineRule="auto"/>
      </w:pPr>
    </w:p>
    <w:p>
      <w:pPr>
        <w:pStyle w:val="Heading2"/>
        <w:spacing w:before="160" w:after="80"/>
      </w:pPr>
      <w:r>
        <w:rPr>
          <w:rFonts w:ascii="Arial" w:hAnsi="Arial" w:eastAsia="Arial"/>
          <w:b w:val="0"/>
          <w:i w:val="0"/>
        </w:rPr>
        <w:t>6.8 Tier 6 - Developer Productivity, Code Intelligence, and Knowledge Tooling</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944"/>
            <w:shd w:fill="1F4E79"/>
            <w:vAlign w:val="top"/>
          </w:tcPr>
          <w:p>
            <w:pPr>
              <w:spacing w:after="0" w:line="240" w:lineRule="auto"/>
              <w:jc w:val="left"/>
            </w:pPr>
            <w:r>
              <w:rPr>
                <w:rFonts w:ascii="Arial" w:hAnsi="Arial" w:eastAsia="Arial"/>
              </w:rPr>
            </w:r>
            <w:r>
              <w:rPr>
                <w:rFonts w:ascii="Arial" w:hAnsi="Arial" w:eastAsia="Arial"/>
                <w:b/>
                <w:color w:val="FFFFFF"/>
                <w:sz w:val="14"/>
              </w:rPr>
              <w:t>Capability</w:t>
            </w:r>
          </w:p>
        </w:tc>
        <w:tc>
          <w:tcPr>
            <w:tcW w:type="dxa" w:w="3384"/>
            <w:shd w:fill="1F4E79"/>
            <w:vAlign w:val="top"/>
          </w:tcPr>
          <w:p>
            <w:pPr>
              <w:spacing w:after="0" w:line="240" w:lineRule="auto"/>
              <w:jc w:val="left"/>
            </w:pPr>
            <w:r>
              <w:rPr>
                <w:rFonts w:ascii="Arial" w:hAnsi="Arial" w:eastAsia="Arial"/>
              </w:rPr>
            </w:r>
            <w:r>
              <w:rPr>
                <w:rFonts w:ascii="Arial" w:hAnsi="Arial" w:eastAsia="Arial"/>
                <w:b/>
                <w:color w:val="FFFFFF"/>
                <w:sz w:val="14"/>
              </w:rPr>
              <w:t>Approved Component / Baseline</w:t>
            </w:r>
          </w:p>
        </w:tc>
        <w:tc>
          <w:tcPr>
            <w:tcW w:type="dxa" w:w="158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3456"/>
            <w:shd w:fill="1F4E79"/>
            <w:vAlign w:val="top"/>
          </w:tcPr>
          <w:p>
            <w:pPr>
              <w:spacing w:after="0" w:line="240" w:lineRule="auto"/>
              <w:jc w:val="left"/>
            </w:pPr>
            <w:r>
              <w:rPr>
                <w:rFonts w:ascii="Arial" w:hAnsi="Arial" w:eastAsia="Arial"/>
              </w:rPr>
            </w:r>
            <w:r>
              <w:rPr>
                <w:rFonts w:ascii="Arial" w:hAnsi="Arial" w:eastAsia="Arial"/>
                <w:b/>
                <w:color w:val="FFFFFF"/>
                <w:sz w:val="14"/>
              </w:rPr>
              <w:t>AIRA Use / Enforcement Note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Source Control</w:t>
            </w:r>
          </w:p>
        </w:tc>
        <w:tc>
          <w:tcPr>
            <w:tcW w:type="dxa" w:w="3384"/>
            <w:vAlign w:val="top"/>
          </w:tcPr>
          <w:p>
            <w:pPr>
              <w:spacing w:after="0" w:line="240" w:lineRule="auto"/>
              <w:jc w:val="left"/>
            </w:pPr>
            <w:r>
              <w:rPr>
                <w:rFonts w:ascii="Arial" w:hAnsi="Arial" w:eastAsia="Arial"/>
              </w:rPr>
            </w:r>
            <w:r>
              <w:rPr>
                <w:rFonts w:ascii="Arial" w:hAnsi="Arial" w:eastAsia="Arial"/>
                <w:b w:val="0"/>
                <w:sz w:val="14"/>
              </w:rPr>
              <w:t>GitHub Enterprise / GitLab / approved SCM</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Protected branches, CODEOWNERS, signed commits, PR/MR evidence, audit, and integration with CI.</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AI Assistants</w:t>
            </w:r>
          </w:p>
        </w:tc>
        <w:tc>
          <w:tcPr>
            <w:tcW w:type="dxa" w:w="3384"/>
            <w:vAlign w:val="top"/>
          </w:tcPr>
          <w:p>
            <w:pPr>
              <w:spacing w:after="0" w:line="240" w:lineRule="auto"/>
              <w:jc w:val="left"/>
            </w:pPr>
            <w:r>
              <w:rPr>
                <w:rFonts w:ascii="Arial" w:hAnsi="Arial" w:eastAsia="Arial"/>
              </w:rPr>
            </w:r>
            <w:r>
              <w:rPr>
                <w:rFonts w:ascii="Arial" w:hAnsi="Arial" w:eastAsia="Arial"/>
                <w:b w:val="0"/>
                <w:sz w:val="14"/>
              </w:rPr>
              <w:t>ChatGPT Business/Codex, Claude Code, approved IDE assistants</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Named accounts only. No Confidential/Restricted content outside approved routes and data-protection controls.</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Repository Rules</w:t>
            </w:r>
          </w:p>
        </w:tc>
        <w:tc>
          <w:tcPr>
            <w:tcW w:type="dxa" w:w="3384"/>
            <w:vAlign w:val="top"/>
          </w:tcPr>
          <w:p>
            <w:pPr>
              <w:spacing w:after="0" w:line="240" w:lineRule="auto"/>
              <w:jc w:val="left"/>
            </w:pPr>
            <w:r>
              <w:rPr>
                <w:rFonts w:ascii="Arial" w:hAnsi="Arial" w:eastAsia="Arial"/>
              </w:rPr>
            </w:r>
            <w:r>
              <w:rPr>
                <w:rFonts w:ascii="Arial" w:hAnsi="Arial" w:eastAsia="Arial"/>
                <w:b w:val="0"/>
                <w:sz w:val="14"/>
              </w:rPr>
              <w:t>CLAUDE.md, AGENTS.md adapters, pre-commit, CI strict mode</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Mandatory</w:t>
            </w:r>
          </w:p>
        </w:tc>
        <w:tc>
          <w:tcPr>
            <w:tcW w:type="dxa" w:w="3456"/>
            <w:vAlign w:val="top"/>
          </w:tcPr>
          <w:p>
            <w:pPr>
              <w:spacing w:after="0" w:line="240" w:lineRule="auto"/>
              <w:jc w:val="left"/>
            </w:pPr>
            <w:r>
              <w:rPr>
                <w:rFonts w:ascii="Arial" w:hAnsi="Arial" w:eastAsia="Arial"/>
              </w:rPr>
            </w:r>
            <w:r>
              <w:rPr>
                <w:rFonts w:ascii="Arial" w:hAnsi="Arial" w:eastAsia="Arial"/>
                <w:b w:val="0"/>
                <w:sz w:val="14"/>
              </w:rPr>
              <w:t>Repository-local rules must derive from canonical AIRA standards and may tighten but not weaken them.</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Code Intelligence</w:t>
            </w:r>
          </w:p>
        </w:tc>
        <w:tc>
          <w:tcPr>
            <w:tcW w:type="dxa" w:w="3384"/>
            <w:vAlign w:val="top"/>
          </w:tcPr>
          <w:p>
            <w:pPr>
              <w:spacing w:after="0" w:line="240" w:lineRule="auto"/>
              <w:jc w:val="left"/>
            </w:pPr>
            <w:r>
              <w:rPr>
                <w:rFonts w:ascii="Arial" w:hAnsi="Arial" w:eastAsia="Arial"/>
              </w:rPr>
            </w:r>
            <w:r>
              <w:rPr>
                <w:rFonts w:ascii="Arial" w:hAnsi="Arial" w:eastAsia="Arial"/>
                <w:b w:val="0"/>
                <w:sz w:val="14"/>
              </w:rPr>
              <w:t>GitNexus CLI/MCP or zero-server browser mode from approved source</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Conditional / Controlled Evaluation</w:t>
            </w:r>
          </w:p>
        </w:tc>
        <w:tc>
          <w:tcPr>
            <w:tcW w:type="dxa" w:w="3456"/>
            <w:vAlign w:val="top"/>
          </w:tcPr>
          <w:p>
            <w:pPr>
              <w:spacing w:after="0" w:line="240" w:lineRule="auto"/>
              <w:jc w:val="left"/>
            </w:pPr>
            <w:r>
              <w:rPr>
                <w:rFonts w:ascii="Arial" w:hAnsi="Arial" w:eastAsia="Arial"/>
              </w:rPr>
            </w:r>
            <w:r>
              <w:rPr>
                <w:rFonts w:ascii="Arial" w:hAnsi="Arial" w:eastAsia="Arial"/>
                <w:b w:val="0"/>
                <w:sz w:val="14"/>
              </w:rPr>
              <w:t>Read-only codebase graph and impact analysis. Derivative, not authoritative. No secret indexing, no write authority, no direct execution.</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Knowledge Authoring</w:t>
            </w:r>
          </w:p>
        </w:tc>
        <w:tc>
          <w:tcPr>
            <w:tcW w:type="dxa" w:w="3384"/>
            <w:vAlign w:val="top"/>
          </w:tcPr>
          <w:p>
            <w:pPr>
              <w:spacing w:after="0" w:line="240" w:lineRule="auto"/>
              <w:jc w:val="left"/>
            </w:pPr>
            <w:r>
              <w:rPr>
                <w:rFonts w:ascii="Arial" w:hAnsi="Arial" w:eastAsia="Arial"/>
              </w:rPr>
            </w:r>
            <w:r>
              <w:rPr>
                <w:rFonts w:ascii="Arial" w:hAnsi="Arial" w:eastAsia="Arial"/>
                <w:b w:val="0"/>
                <w:sz w:val="14"/>
              </w:rPr>
              <w:t>Obsidian Git-managed vault</w:t>
            </w:r>
          </w:p>
        </w:tc>
        <w:tc>
          <w:tcPr>
            <w:tcW w:type="dxa" w:w="1584"/>
            <w:vAlign w:val="top"/>
          </w:tcPr>
          <w:p>
            <w:pPr>
              <w:spacing w:after="0" w:line="240" w:lineRule="auto"/>
              <w:jc w:val="left"/>
            </w:pPr>
            <w:r>
              <w:rPr>
                <w:rFonts w:ascii="Arial" w:hAnsi="Arial" w:eastAsia="Arial"/>
              </w:rPr>
            </w:r>
            <w:r>
              <w:rPr>
                <w:rFonts w:ascii="Arial" w:hAnsi="Arial" w:eastAsia="Arial"/>
                <w:b w:val="0"/>
                <w:sz w:val="14"/>
              </w:rPr>
              <w:t>Approved</w:t>
            </w:r>
          </w:p>
        </w:tc>
        <w:tc>
          <w:tcPr>
            <w:tcW w:type="dxa" w:w="3456"/>
            <w:vAlign w:val="top"/>
          </w:tcPr>
          <w:p>
            <w:pPr>
              <w:spacing w:after="0" w:line="240" w:lineRule="auto"/>
              <w:jc w:val="left"/>
            </w:pPr>
            <w:r>
              <w:rPr>
                <w:rFonts w:ascii="Arial" w:hAnsi="Arial" w:eastAsia="Arial"/>
              </w:rPr>
            </w:r>
            <w:r>
              <w:rPr>
                <w:rFonts w:ascii="Arial" w:hAnsi="Arial" w:eastAsia="Arial"/>
                <w:b w:val="0"/>
                <w:sz w:val="14"/>
              </w:rPr>
              <w:t>Markdown projection of approved source documents with metadata, classification, and version control.</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Knowledge Retrieval</w:t>
            </w:r>
          </w:p>
        </w:tc>
        <w:tc>
          <w:tcPr>
            <w:tcW w:type="dxa" w:w="3384"/>
            <w:vAlign w:val="top"/>
          </w:tcPr>
          <w:p>
            <w:pPr>
              <w:spacing w:after="0" w:line="240" w:lineRule="auto"/>
              <w:jc w:val="left"/>
            </w:pPr>
            <w:r>
              <w:rPr>
                <w:rFonts w:ascii="Arial" w:hAnsi="Arial" w:eastAsia="Arial"/>
              </w:rPr>
            </w:r>
            <w:r>
              <w:rPr>
                <w:rFonts w:ascii="Arial" w:hAnsi="Arial" w:eastAsia="Arial"/>
                <w:b w:val="0"/>
                <w:sz w:val="14"/>
              </w:rPr>
              <w:t>LLM Wiki, pgvector, LightRAG, approved search indexes</w:t>
            </w:r>
          </w:p>
        </w:tc>
        <w:tc>
          <w:tcPr>
            <w:tcW w:type="dxa" w:w="1584"/>
            <w:vAlign w:val="top"/>
          </w:tcPr>
          <w:p>
            <w:pPr>
              <w:spacing w:after="0" w:line="240" w:lineRule="auto"/>
              <w:jc w:val="left"/>
            </w:pPr>
            <w:r>
              <w:rPr>
                <w:rFonts w:ascii="Arial" w:hAnsi="Arial" w:eastAsia="Arial"/>
              </w:rPr>
            </w:r>
            <w:r>
              <w:rPr>
                <w:rFonts w:ascii="Arial" w:hAnsi="Arial" w:eastAsia="Arial"/>
                <w:b w:val="0"/>
                <w:sz w:val="14"/>
              </w:rPr>
              <w:t>Approved</w:t>
            </w:r>
          </w:p>
        </w:tc>
        <w:tc>
          <w:tcPr>
            <w:tcW w:type="dxa" w:w="3456"/>
            <w:vAlign w:val="top"/>
          </w:tcPr>
          <w:p>
            <w:pPr>
              <w:spacing w:after="0" w:line="240" w:lineRule="auto"/>
              <w:jc w:val="left"/>
            </w:pPr>
            <w:r>
              <w:rPr>
                <w:rFonts w:ascii="Arial" w:hAnsi="Arial" w:eastAsia="Arial"/>
              </w:rPr>
            </w:r>
            <w:r>
              <w:rPr>
                <w:rFonts w:ascii="Arial" w:hAnsi="Arial" w:eastAsia="Arial"/>
                <w:b w:val="0"/>
                <w:sz w:val="14"/>
              </w:rPr>
              <w:t>Classification-aware retrieval with citations, freshness, lineage, and conflict quarantine.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Developer Portal</w:t>
            </w:r>
          </w:p>
        </w:tc>
        <w:tc>
          <w:tcPr>
            <w:tcW w:type="dxa" w:w="3384"/>
            <w:vAlign w:val="top"/>
          </w:tcPr>
          <w:p>
            <w:pPr>
              <w:spacing w:after="0" w:line="240" w:lineRule="auto"/>
              <w:jc w:val="left"/>
            </w:pPr>
            <w:r>
              <w:rPr>
                <w:rFonts w:ascii="Arial" w:hAnsi="Arial" w:eastAsia="Arial"/>
              </w:rPr>
            </w:r>
            <w:r>
              <w:rPr>
                <w:rFonts w:ascii="Arial" w:hAnsi="Arial" w:eastAsia="Arial"/>
                <w:b w:val="0"/>
                <w:sz w:val="14"/>
              </w:rPr>
              <w:t>Backstage or equivalent internal developer portal</w:t>
            </w:r>
          </w:p>
        </w:tc>
        <w:tc>
          <w:tcPr>
            <w:tcW w:type="dxa" w:w="1584"/>
            <w:vAlign w:val="top"/>
            <w:shd w:fill="FFF2CC"/>
          </w:tcPr>
          <w:p>
            <w:pPr>
              <w:spacing w:after="0" w:line="240" w:lineRule="auto"/>
              <w:jc w:val="left"/>
            </w:pPr>
            <w:r>
              <w:rPr>
                <w:rFonts w:ascii="Arial" w:hAnsi="Arial" w:eastAsia="Arial"/>
              </w:rPr>
            </w:r>
            <w:r>
              <w:rPr>
                <w:rFonts w:ascii="Arial" w:hAnsi="Arial" w:eastAsia="Arial"/>
                <w:b w:val="0"/>
                <w:sz w:val="14"/>
              </w:rPr>
              <w:t>Evaluation</w:t>
            </w:r>
          </w:p>
        </w:tc>
        <w:tc>
          <w:tcPr>
            <w:tcW w:type="dxa" w:w="3456"/>
            <w:vAlign w:val="top"/>
          </w:tcPr>
          <w:p>
            <w:pPr>
              <w:spacing w:after="0" w:line="240" w:lineRule="auto"/>
              <w:jc w:val="left"/>
            </w:pPr>
            <w:r>
              <w:rPr>
                <w:rFonts w:ascii="Arial" w:hAnsi="Arial" w:eastAsia="Arial"/>
              </w:rPr>
            </w:r>
            <w:r>
              <w:rPr>
                <w:rFonts w:ascii="Arial" w:hAnsi="Arial" w:eastAsia="Arial"/>
                <w:b w:val="0"/>
                <w:sz w:val="14"/>
              </w:rPr>
              <w:t>Useful for service catalog, ownership, templates, runbooks. Must not become an unmanaged shadow source of truth.</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IDE Baseline</w:t>
            </w:r>
          </w:p>
        </w:tc>
        <w:tc>
          <w:tcPr>
            <w:tcW w:type="dxa" w:w="3384"/>
            <w:vAlign w:val="top"/>
          </w:tcPr>
          <w:p>
            <w:pPr>
              <w:spacing w:after="0" w:line="240" w:lineRule="auto"/>
              <w:jc w:val="left"/>
            </w:pPr>
            <w:r>
              <w:rPr>
                <w:rFonts w:ascii="Arial" w:hAnsi="Arial" w:eastAsia="Arial"/>
              </w:rPr>
            </w:r>
            <w:r>
              <w:rPr>
                <w:rFonts w:ascii="Arial" w:hAnsi="Arial" w:eastAsia="Arial"/>
                <w:b w:val="0"/>
                <w:sz w:val="14"/>
              </w:rPr>
              <w:t>VS Code controlled extensions; JetBrains IntelliJ IDEA where licensed</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 / Conditional</w:t>
            </w:r>
          </w:p>
        </w:tc>
        <w:tc>
          <w:tcPr>
            <w:tcW w:type="dxa" w:w="3456"/>
            <w:vAlign w:val="top"/>
          </w:tcPr>
          <w:p>
            <w:pPr>
              <w:spacing w:after="0" w:line="240" w:lineRule="auto"/>
              <w:jc w:val="left"/>
            </w:pPr>
            <w:r>
              <w:rPr>
                <w:rFonts w:ascii="Arial" w:hAnsi="Arial" w:eastAsia="Arial"/>
              </w:rPr>
            </w:r>
            <w:r>
              <w:rPr>
                <w:rFonts w:ascii="Arial" w:hAnsi="Arial" w:eastAsia="Arial"/>
                <w:b w:val="0"/>
                <w:sz w:val="14"/>
              </w:rPr>
              <w:t>Extension whitelist, devcontainer parity, no unmanaged plugins, and AI-tool governance.</w:t>
            </w:r>
          </w:p>
        </w:tc>
      </w:tr>
      <w:tr>
        <w:tc>
          <w:tcPr>
            <w:tcW w:type="dxa" w:w="1944"/>
            <w:vAlign w:val="top"/>
            <w:shd w:fill="F2F2F2"/>
          </w:tcPr>
          <w:p>
            <w:pPr>
              <w:spacing w:after="0" w:line="240" w:lineRule="auto"/>
              <w:jc w:val="left"/>
            </w:pPr>
            <w:r>
              <w:rPr>
                <w:rFonts w:ascii="Arial" w:hAnsi="Arial" w:eastAsia="Arial"/>
                <w:b/>
              </w:rPr>
            </w:r>
            <w:r>
              <w:rPr>
                <w:rFonts w:ascii="Arial" w:hAnsi="Arial" w:eastAsia="Arial"/>
                <w:b w:val="0"/>
                <w:sz w:val="14"/>
              </w:rPr>
              <w:t>Local Sandbox</w:t>
            </w:r>
          </w:p>
        </w:tc>
        <w:tc>
          <w:tcPr>
            <w:tcW w:type="dxa" w:w="3384"/>
            <w:vAlign w:val="top"/>
          </w:tcPr>
          <w:p>
            <w:pPr>
              <w:spacing w:after="0" w:line="240" w:lineRule="auto"/>
              <w:jc w:val="left"/>
            </w:pPr>
            <w:r>
              <w:rPr>
                <w:rFonts w:ascii="Arial" w:hAnsi="Arial" w:eastAsia="Arial"/>
              </w:rPr>
            </w:r>
            <w:r>
              <w:rPr>
                <w:rFonts w:ascii="Arial" w:hAnsi="Arial" w:eastAsia="Arial"/>
                <w:b w:val="0"/>
                <w:sz w:val="14"/>
              </w:rPr>
              <w:t>Testcontainers, local Kubernetes where approved, synthetic fixtures</w:t>
            </w:r>
          </w:p>
        </w:tc>
        <w:tc>
          <w:tcPr>
            <w:tcW w:type="dxa" w:w="1584"/>
            <w:vAlign w:val="top"/>
            <w:shd w:fill="E2F0D9"/>
          </w:tcPr>
          <w:p>
            <w:pPr>
              <w:spacing w:after="0" w:line="240" w:lineRule="auto"/>
              <w:jc w:val="left"/>
            </w:pPr>
            <w:r>
              <w:rPr>
                <w:rFonts w:ascii="Arial" w:hAnsi="Arial" w:eastAsia="Arial"/>
              </w:rPr>
            </w:r>
            <w:r>
              <w:rPr>
                <w:rFonts w:ascii="Arial" w:hAnsi="Arial" w:eastAsia="Arial"/>
                <w:b w:val="0"/>
                <w:sz w:val="14"/>
              </w:rPr>
              <w:t>Primary</w:t>
            </w:r>
          </w:p>
        </w:tc>
        <w:tc>
          <w:tcPr>
            <w:tcW w:type="dxa" w:w="3456"/>
            <w:vAlign w:val="top"/>
          </w:tcPr>
          <w:p>
            <w:pPr>
              <w:spacing w:after="0" w:line="240" w:lineRule="auto"/>
              <w:jc w:val="left"/>
            </w:pPr>
            <w:r>
              <w:rPr>
                <w:rFonts w:ascii="Arial" w:hAnsi="Arial" w:eastAsia="Arial"/>
              </w:rPr>
            </w:r>
            <w:r>
              <w:rPr>
                <w:rFonts w:ascii="Arial" w:hAnsi="Arial" w:eastAsia="Arial"/>
                <w:b w:val="0"/>
                <w:sz w:val="14"/>
              </w:rPr>
              <w:t>Repeatable local tests without production data, secrets, or unmanaged dependencies.</w:t>
            </w:r>
          </w:p>
        </w:tc>
      </w:tr>
    </w:tbl>
    <w:p>
      <w:pPr>
        <w:spacing w:after="100" w:line="252" w:lineRule="auto"/>
      </w:pPr>
    </w:p>
    <w:p>
      <w:pPr>
        <w:pStyle w:val="Heading1"/>
        <w:spacing w:before="160" w:after="80"/>
      </w:pPr>
      <w:r>
        <w:rPr>
          <w:rFonts w:ascii="Arial" w:hAnsi="Arial" w:eastAsia="Arial"/>
          <w:b w:val="0"/>
          <w:i w:val="0"/>
        </w:rPr>
        <w:t>7. Dograh Voice Agent Orchestration Governance</w:t>
      </w:r>
    </w:p>
    <w:p>
      <w:pPr>
        <w:spacing w:after="100" w:line="252" w:lineRule="auto"/>
      </w:pPr>
      <w:r>
        <w:rPr>
          <w:rFonts w:ascii="Arial" w:hAnsi="Arial" w:eastAsia="Arial"/>
          <w:b w:val="0"/>
          <w:i w:val="0"/>
        </w:rPr>
        <w:t>Dograh is added as the AIRA Voice Agent Orchestration Platform under Conditional / Controlled Evaluation status. It may improve AIRA by providing a self-hostable voice-agent workflow layer for inbound/outbound calling, telephony/WebRTC integration, and conversational flow design. It must not be interpreted as a replacement for AIRA AI governance, LiteLLM routing, NeMo Guardrails, Harness-mediated actions, transcript retention controls, or provider-agnostic STT/TTS adapters.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800"/>
            <w:shd w:fill="1F4E79"/>
            <w:vAlign w:val="top"/>
          </w:tcPr>
          <w:p>
            <w:pPr>
              <w:spacing w:after="0" w:line="240" w:lineRule="auto"/>
              <w:jc w:val="left"/>
            </w:pPr>
            <w:r>
              <w:rPr>
                <w:rFonts w:ascii="Arial" w:hAnsi="Arial" w:eastAsia="Arial"/>
              </w:rPr>
            </w:r>
            <w:r>
              <w:rPr>
                <w:rFonts w:ascii="Arial" w:hAnsi="Arial" w:eastAsia="Arial"/>
                <w:b/>
                <w:color w:val="FFFFFF"/>
                <w:sz w:val="14"/>
              </w:rPr>
              <w:t>Control Area</w:t>
            </w:r>
          </w:p>
        </w:tc>
        <w:tc>
          <w:tcPr>
            <w:tcW w:type="dxa" w:w="4752"/>
            <w:shd w:fill="1F4E79"/>
            <w:vAlign w:val="top"/>
          </w:tcPr>
          <w:p>
            <w:pPr>
              <w:spacing w:after="0" w:line="240" w:lineRule="auto"/>
              <w:jc w:val="left"/>
            </w:pPr>
            <w:r>
              <w:rPr>
                <w:rFonts w:ascii="Arial" w:hAnsi="Arial" w:eastAsia="Arial"/>
              </w:rPr>
            </w:r>
            <w:r>
              <w:rPr>
                <w:rFonts w:ascii="Arial" w:hAnsi="Arial" w:eastAsia="Arial"/>
                <w:b/>
                <w:color w:val="FFFFFF"/>
                <w:sz w:val="14"/>
              </w:rPr>
              <w:t>Mandatory Dograh Governance Rule</w:t>
            </w:r>
          </w:p>
        </w:tc>
        <w:tc>
          <w:tcPr>
            <w:tcW w:type="dxa" w:w="3816"/>
            <w:shd w:fill="1F4E79"/>
            <w:vAlign w:val="top"/>
          </w:tcPr>
          <w:p>
            <w:pPr>
              <w:spacing w:after="0" w:line="240" w:lineRule="auto"/>
              <w:jc w:val="left"/>
            </w:pPr>
            <w:r>
              <w:rPr>
                <w:rFonts w:ascii="Arial" w:hAnsi="Arial" w:eastAsia="Arial"/>
              </w:rPr>
            </w:r>
            <w:r>
              <w:rPr>
                <w:rFonts w:ascii="Arial" w:hAnsi="Arial" w:eastAsia="Arial"/>
                <w:b/>
                <w:color w:val="FFFFFF"/>
                <w:sz w:val="14"/>
              </w:rPr>
              <w:t>Evidence Required</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Technology Role</w:t>
            </w:r>
          </w:p>
        </w:tc>
        <w:tc>
          <w:tcPr>
            <w:tcW w:type="dxa" w:w="4752"/>
            <w:vAlign w:val="top"/>
          </w:tcPr>
          <w:p>
            <w:pPr>
              <w:spacing w:after="0" w:line="240" w:lineRule="auto"/>
              <w:jc w:val="left"/>
            </w:pPr>
            <w:r>
              <w:rPr>
                <w:rFonts w:ascii="Arial" w:hAnsi="Arial" w:eastAsia="Arial"/>
              </w:rPr>
            </w:r>
            <w:r>
              <w:rPr>
                <w:rFonts w:ascii="Arial" w:hAnsi="Arial" w:eastAsia="Arial"/>
                <w:b w:val="0"/>
                <w:sz w:val="14"/>
              </w:rPr>
              <w:t>Dograh orchestrates voice-agent workflows. It is not the sole STT, TTS, LLM, telephony, or action-execution authority.</w:t>
            </w:r>
          </w:p>
        </w:tc>
        <w:tc>
          <w:tcPr>
            <w:tcW w:type="dxa" w:w="3816"/>
            <w:vAlign w:val="top"/>
          </w:tcPr>
          <w:p>
            <w:pPr>
              <w:spacing w:after="0" w:line="240" w:lineRule="auto"/>
              <w:jc w:val="left"/>
            </w:pPr>
            <w:r>
              <w:rPr>
                <w:rFonts w:ascii="Arial" w:hAnsi="Arial" w:eastAsia="Arial"/>
              </w:rPr>
            </w:r>
            <w:r>
              <w:rPr>
                <w:rFonts w:ascii="Arial" w:hAnsi="Arial" w:eastAsia="Arial"/>
                <w:b w:val="0"/>
                <w:sz w:val="14"/>
              </w:rPr>
              <w:t>ADR/TDL, architecture diagram, component owner, version source, deployment boundary.</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Provider Independence</w:t>
            </w:r>
          </w:p>
        </w:tc>
        <w:tc>
          <w:tcPr>
            <w:tcW w:type="dxa" w:w="4752"/>
            <w:vAlign w:val="top"/>
          </w:tcPr>
          <w:p>
            <w:pPr>
              <w:spacing w:after="0" w:line="240" w:lineRule="auto"/>
              <w:jc w:val="left"/>
            </w:pPr>
            <w:r>
              <w:rPr>
                <w:rFonts w:ascii="Arial" w:hAnsi="Arial" w:eastAsia="Arial"/>
              </w:rPr>
            </w:r>
            <w:r>
              <w:rPr>
                <w:rFonts w:ascii="Arial" w:hAnsi="Arial" w:eastAsia="Arial"/>
                <w:b w:val="0"/>
                <w:sz w:val="14"/>
              </w:rPr>
              <w:t>Whisper/faster-whisper/whisper.cpp, Piper/Kokoro, or approved providers remain swappable behind adapters.</w:t>
            </w:r>
          </w:p>
        </w:tc>
        <w:tc>
          <w:tcPr>
            <w:tcW w:type="dxa" w:w="3816"/>
            <w:vAlign w:val="top"/>
          </w:tcPr>
          <w:p>
            <w:pPr>
              <w:spacing w:after="0" w:line="240" w:lineRule="auto"/>
              <w:jc w:val="left"/>
            </w:pPr>
            <w:r>
              <w:rPr>
                <w:rFonts w:ascii="Arial" w:hAnsi="Arial" w:eastAsia="Arial"/>
              </w:rPr>
            </w:r>
            <w:r>
              <w:rPr>
                <w:rFonts w:ascii="Arial" w:hAnsi="Arial" w:eastAsia="Arial"/>
                <w:b w:val="0"/>
                <w:sz w:val="14"/>
              </w:rPr>
              <w:t>Provider registry, adapter contract, performance tests, fallback test, cost/latency evidence.</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Model Routing</w:t>
            </w:r>
          </w:p>
        </w:tc>
        <w:tc>
          <w:tcPr>
            <w:tcW w:type="dxa" w:w="4752"/>
            <w:vAlign w:val="top"/>
          </w:tcPr>
          <w:p>
            <w:pPr>
              <w:spacing w:after="0" w:line="240" w:lineRule="auto"/>
              <w:jc w:val="left"/>
            </w:pPr>
            <w:r>
              <w:rPr>
                <w:rFonts w:ascii="Arial" w:hAnsi="Arial" w:eastAsia="Arial"/>
              </w:rPr>
            </w:r>
            <w:r>
              <w:rPr>
                <w:rFonts w:ascii="Arial" w:hAnsi="Arial" w:eastAsia="Arial"/>
                <w:b w:val="0"/>
                <w:sz w:val="14"/>
              </w:rPr>
              <w:t>LLM calls from Dograh-controlled flows must route through LiteLLM aliases only.</w:t>
            </w:r>
          </w:p>
        </w:tc>
        <w:tc>
          <w:tcPr>
            <w:tcW w:type="dxa" w:w="3816"/>
            <w:vAlign w:val="top"/>
          </w:tcPr>
          <w:p>
            <w:pPr>
              <w:spacing w:after="0" w:line="240" w:lineRule="auto"/>
              <w:jc w:val="left"/>
            </w:pPr>
            <w:r>
              <w:rPr>
                <w:rFonts w:ascii="Arial" w:hAnsi="Arial" w:eastAsia="Arial"/>
              </w:rPr>
            </w:r>
            <w:r>
              <w:rPr>
                <w:rFonts w:ascii="Arial" w:hAnsi="Arial" w:eastAsia="Arial"/>
                <w:b w:val="0"/>
                <w:sz w:val="14"/>
              </w:rPr>
              <w:t>Import scan, route logs, LiteLLM alias registry, model audit records.</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Guardrails</w:t>
            </w:r>
          </w:p>
        </w:tc>
        <w:tc>
          <w:tcPr>
            <w:tcW w:type="dxa" w:w="4752"/>
            <w:vAlign w:val="top"/>
          </w:tcPr>
          <w:p>
            <w:pPr>
              <w:spacing w:after="0" w:line="240" w:lineRule="auto"/>
              <w:jc w:val="left"/>
            </w:pPr>
            <w:r>
              <w:rPr>
                <w:rFonts w:ascii="Arial" w:hAnsi="Arial" w:eastAsia="Arial"/>
              </w:rPr>
            </w:r>
            <w:r>
              <w:rPr>
                <w:rFonts w:ascii="Arial" w:hAnsi="Arial" w:eastAsia="Arial"/>
                <w:b w:val="0"/>
                <w:sz w:val="14"/>
              </w:rPr>
              <w:t>Voice flows must apply transcript input rail, retrieval rail, execution rail, and spoken-output rail.</w:t>
            </w:r>
          </w:p>
        </w:tc>
        <w:tc>
          <w:tcPr>
            <w:tcW w:type="dxa" w:w="3816"/>
            <w:vAlign w:val="top"/>
          </w:tcPr>
          <w:p>
            <w:pPr>
              <w:spacing w:after="0" w:line="240" w:lineRule="auto"/>
              <w:jc w:val="left"/>
            </w:pPr>
            <w:r>
              <w:rPr>
                <w:rFonts w:ascii="Arial" w:hAnsi="Arial" w:eastAsia="Arial"/>
              </w:rPr>
            </w:r>
            <w:r>
              <w:rPr>
                <w:rFonts w:ascii="Arial" w:hAnsi="Arial" w:eastAsia="Arial"/>
                <w:b w:val="0"/>
                <w:sz w:val="14"/>
              </w:rPr>
              <w:t>Guardrail policy version, test transcript suite, block/allow evidence, output safety evidence.</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Classification</w:t>
            </w:r>
          </w:p>
        </w:tc>
        <w:tc>
          <w:tcPr>
            <w:tcW w:type="dxa" w:w="4752"/>
            <w:vAlign w:val="top"/>
          </w:tcPr>
          <w:p>
            <w:pPr>
              <w:spacing w:after="0" w:line="240" w:lineRule="auto"/>
              <w:jc w:val="left"/>
            </w:pPr>
            <w:r>
              <w:rPr>
                <w:rFonts w:ascii="Arial" w:hAnsi="Arial" w:eastAsia="Arial"/>
              </w:rPr>
            </w:r>
            <w:r>
              <w:rPr>
                <w:rFonts w:ascii="Arial" w:hAnsi="Arial" w:eastAsia="Arial"/>
                <w:b w:val="0"/>
                <w:sz w:val="14"/>
              </w:rPr>
              <w:t>Voice audio, transcripts, summaries, embeddings, and call metadata require classification and retention policy.</w:t>
            </w:r>
          </w:p>
        </w:tc>
        <w:tc>
          <w:tcPr>
            <w:tcW w:type="dxa" w:w="3816"/>
            <w:vAlign w:val="top"/>
          </w:tcPr>
          <w:p>
            <w:pPr>
              <w:spacing w:after="0" w:line="240" w:lineRule="auto"/>
              <w:jc w:val="left"/>
            </w:pPr>
            <w:r>
              <w:rPr>
                <w:rFonts w:ascii="Arial" w:hAnsi="Arial" w:eastAsia="Arial"/>
              </w:rPr>
            </w:r>
            <w:r>
              <w:rPr>
                <w:rFonts w:ascii="Arial" w:hAnsi="Arial" w:eastAsia="Arial"/>
                <w:b w:val="0"/>
                <w:sz w:val="14"/>
              </w:rPr>
              <w:t>Classification metadata, consent evidence, retention rule, access-control test.</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Tool Actions</w:t>
            </w:r>
          </w:p>
        </w:tc>
        <w:tc>
          <w:tcPr>
            <w:tcW w:type="dxa" w:w="4752"/>
            <w:vAlign w:val="top"/>
          </w:tcPr>
          <w:p>
            <w:pPr>
              <w:spacing w:after="0" w:line="240" w:lineRule="auto"/>
              <w:jc w:val="left"/>
            </w:pPr>
            <w:r>
              <w:rPr>
                <w:rFonts w:ascii="Arial" w:hAnsi="Arial" w:eastAsia="Arial"/>
              </w:rPr>
            </w:r>
            <w:r>
              <w:rPr>
                <w:rFonts w:ascii="Arial" w:hAnsi="Arial" w:eastAsia="Arial"/>
                <w:b w:val="0"/>
                <w:sz w:val="14"/>
              </w:rPr>
              <w:t>Voice-triggered tool actions are proposals until Harness, SBAC, OPA, trust score, and human approval gates allow execution.</w:t>
            </w:r>
          </w:p>
        </w:tc>
        <w:tc>
          <w:tcPr>
            <w:tcW w:type="dxa" w:w="3816"/>
            <w:vAlign w:val="top"/>
          </w:tcPr>
          <w:p>
            <w:pPr>
              <w:spacing w:after="0" w:line="240" w:lineRule="auto"/>
              <w:jc w:val="left"/>
            </w:pPr>
            <w:r>
              <w:rPr>
                <w:rFonts w:ascii="Arial" w:hAnsi="Arial" w:eastAsia="Arial"/>
              </w:rPr>
            </w:r>
            <w:r>
              <w:rPr>
                <w:rFonts w:ascii="Arial" w:hAnsi="Arial" w:eastAsia="Arial"/>
                <w:b w:val="0"/>
                <w:sz w:val="14"/>
              </w:rPr>
              <w:t>Action evidence record, OPA decision, trust score, approver, trace_id.</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Observability</w:t>
            </w:r>
          </w:p>
        </w:tc>
        <w:tc>
          <w:tcPr>
            <w:tcW w:type="dxa" w:w="4752"/>
            <w:vAlign w:val="top"/>
          </w:tcPr>
          <w:p>
            <w:pPr>
              <w:spacing w:after="0" w:line="240" w:lineRule="auto"/>
              <w:jc w:val="left"/>
            </w:pPr>
            <w:r>
              <w:rPr>
                <w:rFonts w:ascii="Arial" w:hAnsi="Arial" w:eastAsia="Arial"/>
              </w:rPr>
            </w:r>
            <w:r>
              <w:rPr>
                <w:rFonts w:ascii="Arial" w:hAnsi="Arial" w:eastAsia="Arial"/>
                <w:b w:val="0"/>
                <w:sz w:val="14"/>
              </w:rPr>
              <w:t>Every call flow emits trace_id/call_id, route, model, provider, guardrail result, latency, and failure reason.</w:t>
            </w:r>
          </w:p>
        </w:tc>
        <w:tc>
          <w:tcPr>
            <w:tcW w:type="dxa" w:w="3816"/>
            <w:vAlign w:val="top"/>
          </w:tcPr>
          <w:p>
            <w:pPr>
              <w:spacing w:after="0" w:line="240" w:lineRule="auto"/>
              <w:jc w:val="left"/>
            </w:pPr>
            <w:r>
              <w:rPr>
                <w:rFonts w:ascii="Arial" w:hAnsi="Arial" w:eastAsia="Arial"/>
              </w:rPr>
            </w:r>
            <w:r>
              <w:rPr>
                <w:rFonts w:ascii="Arial" w:hAnsi="Arial" w:eastAsia="Arial"/>
                <w:b w:val="0"/>
                <w:sz w:val="14"/>
              </w:rPr>
              <w:t>OTel traces, dashboard, audit query, redaction test.</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Security</w:t>
            </w:r>
          </w:p>
        </w:tc>
        <w:tc>
          <w:tcPr>
            <w:tcW w:type="dxa" w:w="4752"/>
            <w:vAlign w:val="top"/>
          </w:tcPr>
          <w:p>
            <w:pPr>
              <w:spacing w:after="0" w:line="240" w:lineRule="auto"/>
              <w:jc w:val="left"/>
            </w:pPr>
            <w:r>
              <w:rPr>
                <w:rFonts w:ascii="Arial" w:hAnsi="Arial" w:eastAsia="Arial"/>
              </w:rPr>
            </w:r>
            <w:r>
              <w:rPr>
                <w:rFonts w:ascii="Arial" w:hAnsi="Arial" w:eastAsia="Arial"/>
                <w:b w:val="0"/>
                <w:sz w:val="14"/>
              </w:rPr>
              <w:t>Dograh deployment must pass SCA/SAST/image scan, secrets review, network segmentation, and least-privilege service identity.</w:t>
            </w:r>
          </w:p>
        </w:tc>
        <w:tc>
          <w:tcPr>
            <w:tcW w:type="dxa" w:w="3816"/>
            <w:vAlign w:val="top"/>
          </w:tcPr>
          <w:p>
            <w:pPr>
              <w:spacing w:after="0" w:line="240" w:lineRule="auto"/>
              <w:jc w:val="left"/>
            </w:pPr>
            <w:r>
              <w:rPr>
                <w:rFonts w:ascii="Arial" w:hAnsi="Arial" w:eastAsia="Arial"/>
              </w:rPr>
            </w:r>
            <w:r>
              <w:rPr>
                <w:rFonts w:ascii="Arial" w:hAnsi="Arial" w:eastAsia="Arial"/>
                <w:b w:val="0"/>
                <w:sz w:val="14"/>
              </w:rPr>
              <w:t>SBOM, Trivy/Semgrep result, Vault integration, SPIFFE/SVID or workload identity evidence.</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Reversibility</w:t>
            </w:r>
          </w:p>
        </w:tc>
        <w:tc>
          <w:tcPr>
            <w:tcW w:type="dxa" w:w="4752"/>
            <w:vAlign w:val="top"/>
          </w:tcPr>
          <w:p>
            <w:pPr>
              <w:spacing w:after="0" w:line="240" w:lineRule="auto"/>
              <w:jc w:val="left"/>
            </w:pPr>
            <w:r>
              <w:rPr>
                <w:rFonts w:ascii="Arial" w:hAnsi="Arial" w:eastAsia="Arial"/>
              </w:rPr>
            </w:r>
            <w:r>
              <w:rPr>
                <w:rFonts w:ascii="Arial" w:hAnsi="Arial" w:eastAsia="Arial"/>
                <w:b w:val="0"/>
                <w:sz w:val="14"/>
              </w:rPr>
              <w:t>Dograh can be disabled without breaking critical non-voice channels.</w:t>
            </w:r>
          </w:p>
        </w:tc>
        <w:tc>
          <w:tcPr>
            <w:tcW w:type="dxa" w:w="3816"/>
            <w:vAlign w:val="top"/>
          </w:tcPr>
          <w:p>
            <w:pPr>
              <w:spacing w:after="0" w:line="240" w:lineRule="auto"/>
              <w:jc w:val="left"/>
            </w:pPr>
            <w:r>
              <w:rPr>
                <w:rFonts w:ascii="Arial" w:hAnsi="Arial" w:eastAsia="Arial"/>
              </w:rPr>
            </w:r>
            <w:r>
              <w:rPr>
                <w:rFonts w:ascii="Arial" w:hAnsi="Arial" w:eastAsia="Arial"/>
                <w:b w:val="0"/>
                <w:sz w:val="14"/>
              </w:rPr>
              <w:t>Feature flag, fallback channel, rollback runbook, restore test.</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Approval Gate</w:t>
            </w:r>
          </w:p>
        </w:tc>
        <w:tc>
          <w:tcPr>
            <w:tcW w:type="dxa" w:w="4752"/>
            <w:vAlign w:val="top"/>
          </w:tcPr>
          <w:p>
            <w:pPr>
              <w:spacing w:after="0" w:line="240" w:lineRule="auto"/>
              <w:jc w:val="left"/>
            </w:pPr>
            <w:r>
              <w:rPr>
                <w:rFonts w:ascii="Arial" w:hAnsi="Arial" w:eastAsia="Arial"/>
              </w:rPr>
            </w:r>
            <w:r>
              <w:rPr>
                <w:rFonts w:ascii="Arial" w:hAnsi="Arial" w:eastAsia="Arial"/>
                <w:b w:val="0"/>
                <w:sz w:val="14"/>
              </w:rPr>
              <w:t>Production use requires architecture, security, compliance, data privacy, and operations approval.</w:t>
            </w:r>
          </w:p>
        </w:tc>
        <w:tc>
          <w:tcPr>
            <w:tcW w:type="dxa" w:w="3816"/>
            <w:vAlign w:val="top"/>
          </w:tcPr>
          <w:p>
            <w:pPr>
              <w:spacing w:after="0" w:line="240" w:lineRule="auto"/>
              <w:jc w:val="left"/>
            </w:pPr>
            <w:r>
              <w:rPr>
                <w:rFonts w:ascii="Arial" w:hAnsi="Arial" w:eastAsia="Arial"/>
              </w:rPr>
            </w:r>
            <w:r>
              <w:rPr>
                <w:rFonts w:ascii="Arial" w:hAnsi="Arial" w:eastAsia="Arial"/>
                <w:b w:val="0"/>
                <w:sz w:val="14"/>
              </w:rPr>
              <w:t>CAB/ARB approval, readiness checklist, production rehearsal evidence.</w:t>
            </w:r>
          </w:p>
        </w:tc>
      </w:tr>
    </w:tbl>
    <w:p>
      <w:pPr>
        <w:spacing w:after="100" w:line="252" w:lineRule="auto"/>
      </w:pPr>
    </w:p>
    <w:tbl>
      <w:tblPr>
        <w:tblStyle w:val="TableGrid"/>
        <w:tblW w:type="auto" w:w="0"/>
        <w:jc w:val="center"/>
        <w:tblLook w:firstColumn="1" w:firstRow="1" w:lastColumn="0" w:lastRow="0" w:noHBand="0" w:noVBand="1" w:val="04A0"/>
      </w:tblPr>
      <w:tblGrid>
        <w:gridCol w:w="10656"/>
      </w:tblGrid>
      <w:tr>
        <w:tc>
          <w:tcPr>
            <w:tcW w:type="dxa" w:w="10656"/>
            <w:shd w:fill="FFF2CC"/>
          </w:tcPr>
          <w:p>
            <w:pPr>
              <w:spacing w:after="0" w:line="240" w:lineRule="auto"/>
            </w:pPr>
            <w:r>
              <w:rPr>
                <w:rFonts w:ascii="Arial" w:hAnsi="Arial" w:eastAsia="Arial"/>
              </w:rPr>
            </w:r>
            <w:r>
              <w:rPr>
                <w:rFonts w:ascii="Arial" w:hAnsi="Arial" w:eastAsia="Arial"/>
                <w:b/>
                <w:color w:val="1F4E79"/>
                <w:sz w:val="18"/>
              </w:rPr>
              <w:t>Dograh Adoption Verdict</w:t>
              <w:br/>
            </w:r>
            <w:r>
              <w:rPr>
                <w:rFonts w:ascii="Arial" w:hAnsi="Arial" w:eastAsia="Arial"/>
                <w:sz w:val="17"/>
              </w:rPr>
              <w:t>Approved for controlled AIRA evaluation and pilot integration. Do not classify as Mandatory or Primary until security readiness, license review, integration tests, voice safety tests, transcript governance, and operational support evidence are complete.</w:t>
            </w:r>
          </w:p>
        </w:tc>
      </w:tr>
    </w:tbl>
    <w:p>
      <w:pPr>
        <w:pStyle w:val="Heading1"/>
        <w:spacing w:before="160" w:after="80"/>
      </w:pPr>
      <w:r>
        <w:rPr>
          <w:rFonts w:ascii="Arial" w:hAnsi="Arial" w:eastAsia="Arial"/>
          <w:b w:val="0"/>
          <w:i w:val="0"/>
        </w:rPr>
        <w:t>8. GitNexus Code Intelligence Governance</w:t>
      </w:r>
    </w:p>
    <w:p>
      <w:pPr>
        <w:spacing w:after="100" w:line="252" w:lineRule="auto"/>
      </w:pPr>
      <w:r>
        <w:rPr>
          <w:rFonts w:ascii="Arial" w:hAnsi="Arial" w:eastAsia="Arial"/>
          <w:b w:val="0"/>
          <w:i w:val="0"/>
        </w:rPr>
        <w:t>GitNexus is added as a governed code-intelligence layer for repository indexing, dependency/call graph creation, blast-radius analysis, and AI-agent codebase context. It can materially improve AI-assisted development and Auto-Heal/Auto-Improve analysis by allowing assistants to reason across code relationships. It must remain read-only, derivative, and non-authoritative. It does not replace Git, CODEOWNERS, ArchUnit, SonarQube, Semgrep, LLM Wiki, ADRs, API contracts, or human code review.</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800"/>
            <w:shd w:fill="1F4E79"/>
            <w:vAlign w:val="top"/>
          </w:tcPr>
          <w:p>
            <w:pPr>
              <w:spacing w:after="0" w:line="240" w:lineRule="auto"/>
              <w:jc w:val="left"/>
            </w:pPr>
            <w:r>
              <w:rPr>
                <w:rFonts w:ascii="Arial" w:hAnsi="Arial" w:eastAsia="Arial"/>
              </w:rPr>
            </w:r>
            <w:r>
              <w:rPr>
                <w:rFonts w:ascii="Arial" w:hAnsi="Arial" w:eastAsia="Arial"/>
                <w:b/>
                <w:color w:val="FFFFFF"/>
                <w:sz w:val="14"/>
              </w:rPr>
              <w:t>Control Area</w:t>
            </w:r>
          </w:p>
        </w:tc>
        <w:tc>
          <w:tcPr>
            <w:tcW w:type="dxa" w:w="4752"/>
            <w:shd w:fill="1F4E79"/>
            <w:vAlign w:val="top"/>
          </w:tcPr>
          <w:p>
            <w:pPr>
              <w:spacing w:after="0" w:line="240" w:lineRule="auto"/>
              <w:jc w:val="left"/>
            </w:pPr>
            <w:r>
              <w:rPr>
                <w:rFonts w:ascii="Arial" w:hAnsi="Arial" w:eastAsia="Arial"/>
              </w:rPr>
            </w:r>
            <w:r>
              <w:rPr>
                <w:rFonts w:ascii="Arial" w:hAnsi="Arial" w:eastAsia="Arial"/>
                <w:b/>
                <w:color w:val="FFFFFF"/>
                <w:sz w:val="14"/>
              </w:rPr>
              <w:t>Mandatory GitNexus Governance Rule</w:t>
            </w:r>
          </w:p>
        </w:tc>
        <w:tc>
          <w:tcPr>
            <w:tcW w:type="dxa" w:w="3816"/>
            <w:shd w:fill="1F4E79"/>
            <w:vAlign w:val="top"/>
          </w:tcPr>
          <w:p>
            <w:pPr>
              <w:spacing w:after="0" w:line="240" w:lineRule="auto"/>
              <w:jc w:val="left"/>
            </w:pPr>
            <w:r>
              <w:rPr>
                <w:rFonts w:ascii="Arial" w:hAnsi="Arial" w:eastAsia="Arial"/>
              </w:rPr>
            </w:r>
            <w:r>
              <w:rPr>
                <w:rFonts w:ascii="Arial" w:hAnsi="Arial" w:eastAsia="Arial"/>
                <w:b/>
                <w:color w:val="FFFFFF"/>
                <w:sz w:val="14"/>
              </w:rPr>
              <w:t>Evidence Required</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Technology Role</w:t>
            </w:r>
          </w:p>
        </w:tc>
        <w:tc>
          <w:tcPr>
            <w:tcW w:type="dxa" w:w="4752"/>
            <w:vAlign w:val="top"/>
          </w:tcPr>
          <w:p>
            <w:pPr>
              <w:spacing w:after="0" w:line="240" w:lineRule="auto"/>
              <w:jc w:val="left"/>
            </w:pPr>
            <w:r>
              <w:rPr>
                <w:rFonts w:ascii="Arial" w:hAnsi="Arial" w:eastAsia="Arial"/>
              </w:rPr>
            </w:r>
            <w:r>
              <w:rPr>
                <w:rFonts w:ascii="Arial" w:hAnsi="Arial" w:eastAsia="Arial"/>
                <w:b w:val="0"/>
                <w:sz w:val="14"/>
              </w:rPr>
              <w:t>GitNexus provides code-intelligence context, repo graphing, call-chain analysis, and MCP-mediated assistance.</w:t>
            </w:r>
          </w:p>
        </w:tc>
        <w:tc>
          <w:tcPr>
            <w:tcW w:type="dxa" w:w="3816"/>
            <w:vAlign w:val="top"/>
          </w:tcPr>
          <w:p>
            <w:pPr>
              <w:spacing w:after="0" w:line="240" w:lineRule="auto"/>
              <w:jc w:val="left"/>
            </w:pPr>
            <w:r>
              <w:rPr>
                <w:rFonts w:ascii="Arial" w:hAnsi="Arial" w:eastAsia="Arial"/>
              </w:rPr>
            </w:r>
            <w:r>
              <w:rPr>
                <w:rFonts w:ascii="Arial" w:hAnsi="Arial" w:eastAsia="Arial"/>
                <w:b w:val="0"/>
                <w:sz w:val="14"/>
              </w:rPr>
              <w:t>Tool registry entry, owner, source, version, architecture decision.</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Read-Only Boundary</w:t>
            </w:r>
          </w:p>
        </w:tc>
        <w:tc>
          <w:tcPr>
            <w:tcW w:type="dxa" w:w="4752"/>
            <w:vAlign w:val="top"/>
          </w:tcPr>
          <w:p>
            <w:pPr>
              <w:spacing w:after="0" w:line="240" w:lineRule="auto"/>
              <w:jc w:val="left"/>
            </w:pPr>
            <w:r>
              <w:rPr>
                <w:rFonts w:ascii="Arial" w:hAnsi="Arial" w:eastAsia="Arial"/>
              </w:rPr>
            </w:r>
            <w:r>
              <w:rPr>
                <w:rFonts w:ascii="Arial" w:hAnsi="Arial" w:eastAsia="Arial"/>
                <w:b w:val="0"/>
                <w:sz w:val="14"/>
              </w:rPr>
              <w:t>GitNexus must not commit, merge, approve, deploy, edit production config, or execute tools.</w:t>
            </w:r>
          </w:p>
        </w:tc>
        <w:tc>
          <w:tcPr>
            <w:tcW w:type="dxa" w:w="3816"/>
            <w:vAlign w:val="top"/>
          </w:tcPr>
          <w:p>
            <w:pPr>
              <w:spacing w:after="0" w:line="240" w:lineRule="auto"/>
              <w:jc w:val="left"/>
            </w:pPr>
            <w:r>
              <w:rPr>
                <w:rFonts w:ascii="Arial" w:hAnsi="Arial" w:eastAsia="Arial"/>
              </w:rPr>
            </w:r>
            <w:r>
              <w:rPr>
                <w:rFonts w:ascii="Arial" w:hAnsi="Arial" w:eastAsia="Arial"/>
                <w:b w:val="0"/>
                <w:sz w:val="14"/>
              </w:rPr>
              <w:t>Read-only token, network policy, MCP tool permissions, blocked write-action test.</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Source Authority</w:t>
            </w:r>
          </w:p>
        </w:tc>
        <w:tc>
          <w:tcPr>
            <w:tcW w:type="dxa" w:w="4752"/>
            <w:vAlign w:val="top"/>
          </w:tcPr>
          <w:p>
            <w:pPr>
              <w:spacing w:after="0" w:line="240" w:lineRule="auto"/>
              <w:jc w:val="left"/>
            </w:pPr>
            <w:r>
              <w:rPr>
                <w:rFonts w:ascii="Arial" w:hAnsi="Arial" w:eastAsia="Arial"/>
              </w:rPr>
            </w:r>
            <w:r>
              <w:rPr>
                <w:rFonts w:ascii="Arial" w:hAnsi="Arial" w:eastAsia="Arial"/>
                <w:b w:val="0"/>
                <w:sz w:val="14"/>
              </w:rPr>
              <w:t>SCM, contracts, tests, ADRs, and CI remain authoritative. GitNexus index is derivative.</w:t>
            </w:r>
          </w:p>
        </w:tc>
        <w:tc>
          <w:tcPr>
            <w:tcW w:type="dxa" w:w="3816"/>
            <w:vAlign w:val="top"/>
          </w:tcPr>
          <w:p>
            <w:pPr>
              <w:spacing w:after="0" w:line="240" w:lineRule="auto"/>
              <w:jc w:val="left"/>
            </w:pPr>
            <w:r>
              <w:rPr>
                <w:rFonts w:ascii="Arial" w:hAnsi="Arial" w:eastAsia="Arial"/>
              </w:rPr>
            </w:r>
            <w:r>
              <w:rPr>
                <w:rFonts w:ascii="Arial" w:hAnsi="Arial" w:eastAsia="Arial"/>
                <w:b w:val="0"/>
                <w:sz w:val="14"/>
              </w:rPr>
              <w:t>Index provenance, source commit hash, rebuild procedure, freshness evidence.</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Secret Safety</w:t>
            </w:r>
          </w:p>
        </w:tc>
        <w:tc>
          <w:tcPr>
            <w:tcW w:type="dxa" w:w="4752"/>
            <w:vAlign w:val="top"/>
          </w:tcPr>
          <w:p>
            <w:pPr>
              <w:spacing w:after="0" w:line="240" w:lineRule="auto"/>
              <w:jc w:val="left"/>
            </w:pPr>
            <w:r>
              <w:rPr>
                <w:rFonts w:ascii="Arial" w:hAnsi="Arial" w:eastAsia="Arial"/>
              </w:rPr>
            </w:r>
            <w:r>
              <w:rPr>
                <w:rFonts w:ascii="Arial" w:hAnsi="Arial" w:eastAsia="Arial"/>
                <w:b w:val="0"/>
                <w:sz w:val="14"/>
              </w:rPr>
              <w:t>Repositories must be secret-scanned before indexing; indexes must exclude secrets, credentials, production data, and restricted artifacts.</w:t>
            </w:r>
          </w:p>
        </w:tc>
        <w:tc>
          <w:tcPr>
            <w:tcW w:type="dxa" w:w="3816"/>
            <w:vAlign w:val="top"/>
          </w:tcPr>
          <w:p>
            <w:pPr>
              <w:spacing w:after="0" w:line="240" w:lineRule="auto"/>
              <w:jc w:val="left"/>
            </w:pPr>
            <w:r>
              <w:rPr>
                <w:rFonts w:ascii="Arial" w:hAnsi="Arial" w:eastAsia="Arial"/>
              </w:rPr>
            </w:r>
            <w:r>
              <w:rPr>
                <w:rFonts w:ascii="Arial" w:hAnsi="Arial" w:eastAsia="Arial"/>
                <w:b w:val="0"/>
                <w:sz w:val="14"/>
              </w:rPr>
              <w:t>Gitleaks result, exclusion config, DLP test, index retention rule.</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Classification</w:t>
            </w:r>
          </w:p>
        </w:tc>
        <w:tc>
          <w:tcPr>
            <w:tcW w:type="dxa" w:w="4752"/>
            <w:vAlign w:val="top"/>
          </w:tcPr>
          <w:p>
            <w:pPr>
              <w:spacing w:after="0" w:line="240" w:lineRule="auto"/>
              <w:jc w:val="left"/>
            </w:pPr>
            <w:r>
              <w:rPr>
                <w:rFonts w:ascii="Arial" w:hAnsi="Arial" w:eastAsia="Arial"/>
              </w:rPr>
            </w:r>
            <w:r>
              <w:rPr>
                <w:rFonts w:ascii="Arial" w:hAnsi="Arial" w:eastAsia="Arial"/>
                <w:b w:val="0"/>
                <w:sz w:val="14"/>
              </w:rPr>
              <w:t>Only approved repositories and branches may be indexed. Confidential/Restricted code requires private/on-prem processing.</w:t>
            </w:r>
          </w:p>
        </w:tc>
        <w:tc>
          <w:tcPr>
            <w:tcW w:type="dxa" w:w="3816"/>
            <w:vAlign w:val="top"/>
          </w:tcPr>
          <w:p>
            <w:pPr>
              <w:spacing w:after="0" w:line="240" w:lineRule="auto"/>
              <w:jc w:val="left"/>
            </w:pPr>
            <w:r>
              <w:rPr>
                <w:rFonts w:ascii="Arial" w:hAnsi="Arial" w:eastAsia="Arial"/>
              </w:rPr>
            </w:r>
            <w:r>
              <w:rPr>
                <w:rFonts w:ascii="Arial" w:hAnsi="Arial" w:eastAsia="Arial"/>
                <w:b w:val="0"/>
                <w:sz w:val="14"/>
              </w:rPr>
              <w:t>Classification record, ACL test, storage encryption, retention approval.</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AI Assistant Integration</w:t>
            </w:r>
          </w:p>
        </w:tc>
        <w:tc>
          <w:tcPr>
            <w:tcW w:type="dxa" w:w="4752"/>
            <w:vAlign w:val="top"/>
          </w:tcPr>
          <w:p>
            <w:pPr>
              <w:spacing w:after="0" w:line="240" w:lineRule="auto"/>
              <w:jc w:val="left"/>
            </w:pPr>
            <w:r>
              <w:rPr>
                <w:rFonts w:ascii="Arial" w:hAnsi="Arial" w:eastAsia="Arial"/>
              </w:rPr>
            </w:r>
            <w:r>
              <w:rPr>
                <w:rFonts w:ascii="Arial" w:hAnsi="Arial" w:eastAsia="Arial"/>
                <w:b w:val="0"/>
                <w:sz w:val="14"/>
              </w:rPr>
              <w:t>MCP/CLI/browser context must pass through approved assistant governance and CLAUDE.md rules.</w:t>
            </w:r>
          </w:p>
        </w:tc>
        <w:tc>
          <w:tcPr>
            <w:tcW w:type="dxa" w:w="3816"/>
            <w:vAlign w:val="top"/>
          </w:tcPr>
          <w:p>
            <w:pPr>
              <w:spacing w:after="0" w:line="240" w:lineRule="auto"/>
              <w:jc w:val="left"/>
            </w:pPr>
            <w:r>
              <w:rPr>
                <w:rFonts w:ascii="Arial" w:hAnsi="Arial" w:eastAsia="Arial"/>
              </w:rPr>
            </w:r>
            <w:r>
              <w:rPr>
                <w:rFonts w:ascii="Arial" w:hAnsi="Arial" w:eastAsia="Arial"/>
                <w:b w:val="0"/>
                <w:sz w:val="14"/>
              </w:rPr>
              <w:t>MCP registry, tool scope, prompt log redaction, AI usage declaration.</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Auto-Heal / Improve</w:t>
            </w:r>
          </w:p>
        </w:tc>
        <w:tc>
          <w:tcPr>
            <w:tcW w:type="dxa" w:w="4752"/>
            <w:vAlign w:val="top"/>
          </w:tcPr>
          <w:p>
            <w:pPr>
              <w:spacing w:after="0" w:line="240" w:lineRule="auto"/>
              <w:jc w:val="left"/>
            </w:pPr>
            <w:r>
              <w:rPr>
                <w:rFonts w:ascii="Arial" w:hAnsi="Arial" w:eastAsia="Arial"/>
              </w:rPr>
            </w:r>
            <w:r>
              <w:rPr>
                <w:rFonts w:ascii="Arial" w:hAnsi="Arial" w:eastAsia="Arial"/>
                <w:b w:val="0"/>
                <w:sz w:val="14"/>
              </w:rPr>
              <w:t>GitNexus may generate impact analysis and test recommendations only. Fixes remain PR/MR candidates.</w:t>
            </w:r>
          </w:p>
        </w:tc>
        <w:tc>
          <w:tcPr>
            <w:tcW w:type="dxa" w:w="3816"/>
            <w:vAlign w:val="top"/>
          </w:tcPr>
          <w:p>
            <w:pPr>
              <w:spacing w:after="0" w:line="240" w:lineRule="auto"/>
              <w:jc w:val="left"/>
            </w:pPr>
            <w:r>
              <w:rPr>
                <w:rFonts w:ascii="Arial" w:hAnsi="Arial" w:eastAsia="Arial"/>
              </w:rPr>
            </w:r>
            <w:r>
              <w:rPr>
                <w:rFonts w:ascii="Arial" w:hAnsi="Arial" w:eastAsia="Arial"/>
                <w:b w:val="0"/>
                <w:sz w:val="14"/>
              </w:rPr>
              <w:t>Candidate PR, affected-test list, architecture impact evidence, human checker.</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Observability</w:t>
            </w:r>
          </w:p>
        </w:tc>
        <w:tc>
          <w:tcPr>
            <w:tcW w:type="dxa" w:w="4752"/>
            <w:vAlign w:val="top"/>
          </w:tcPr>
          <w:p>
            <w:pPr>
              <w:spacing w:after="0" w:line="240" w:lineRule="auto"/>
              <w:jc w:val="left"/>
            </w:pPr>
            <w:r>
              <w:rPr>
                <w:rFonts w:ascii="Arial" w:hAnsi="Arial" w:eastAsia="Arial"/>
              </w:rPr>
            </w:r>
            <w:r>
              <w:rPr>
                <w:rFonts w:ascii="Arial" w:hAnsi="Arial" w:eastAsia="Arial"/>
                <w:b w:val="0"/>
                <w:sz w:val="14"/>
              </w:rPr>
              <w:t>GitNexus context retrieval, index refresh, and agent access are logged and traceable.</w:t>
            </w:r>
          </w:p>
        </w:tc>
        <w:tc>
          <w:tcPr>
            <w:tcW w:type="dxa" w:w="3816"/>
            <w:vAlign w:val="top"/>
          </w:tcPr>
          <w:p>
            <w:pPr>
              <w:spacing w:after="0" w:line="240" w:lineRule="auto"/>
              <w:jc w:val="left"/>
            </w:pPr>
            <w:r>
              <w:rPr>
                <w:rFonts w:ascii="Arial" w:hAnsi="Arial" w:eastAsia="Arial"/>
              </w:rPr>
            </w:r>
            <w:r>
              <w:rPr>
                <w:rFonts w:ascii="Arial" w:hAnsi="Arial" w:eastAsia="Arial"/>
                <w:b w:val="0"/>
                <w:sz w:val="14"/>
              </w:rPr>
              <w:t>Tool access log, trace_id, repo_id, commit_sha, user/agent identity.</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Security Review</w:t>
            </w:r>
          </w:p>
        </w:tc>
        <w:tc>
          <w:tcPr>
            <w:tcW w:type="dxa" w:w="4752"/>
            <w:vAlign w:val="top"/>
          </w:tcPr>
          <w:p>
            <w:pPr>
              <w:spacing w:after="0" w:line="240" w:lineRule="auto"/>
              <w:jc w:val="left"/>
            </w:pPr>
            <w:r>
              <w:rPr>
                <w:rFonts w:ascii="Arial" w:hAnsi="Arial" w:eastAsia="Arial"/>
              </w:rPr>
            </w:r>
            <w:r>
              <w:rPr>
                <w:rFonts w:ascii="Arial" w:hAnsi="Arial" w:eastAsia="Arial"/>
                <w:b w:val="0"/>
                <w:sz w:val="14"/>
              </w:rPr>
              <w:t>Pin to approved release/fork; scan dependencies and runtime; no uncontrolled external callbacks.</w:t>
            </w:r>
          </w:p>
        </w:tc>
        <w:tc>
          <w:tcPr>
            <w:tcW w:type="dxa" w:w="3816"/>
            <w:vAlign w:val="top"/>
          </w:tcPr>
          <w:p>
            <w:pPr>
              <w:spacing w:after="0" w:line="240" w:lineRule="auto"/>
              <w:jc w:val="left"/>
            </w:pPr>
            <w:r>
              <w:rPr>
                <w:rFonts w:ascii="Arial" w:hAnsi="Arial" w:eastAsia="Arial"/>
              </w:rPr>
            </w:r>
            <w:r>
              <w:rPr>
                <w:rFonts w:ascii="Arial" w:hAnsi="Arial" w:eastAsia="Arial"/>
                <w:b w:val="0"/>
                <w:sz w:val="14"/>
              </w:rPr>
              <w:t>SBOM, SCA/SAST result, egress policy, signed artifact.</w:t>
            </w:r>
          </w:p>
        </w:tc>
      </w:tr>
      <w:tr>
        <w:tc>
          <w:tcPr>
            <w:tcW w:type="dxa" w:w="1800"/>
            <w:vAlign w:val="top"/>
            <w:shd w:fill="F2F2F2"/>
          </w:tcPr>
          <w:p>
            <w:pPr>
              <w:spacing w:after="0" w:line="240" w:lineRule="auto"/>
              <w:jc w:val="left"/>
            </w:pPr>
            <w:r>
              <w:rPr>
                <w:rFonts w:ascii="Arial" w:hAnsi="Arial" w:eastAsia="Arial"/>
                <w:b/>
              </w:rPr>
            </w:r>
            <w:r>
              <w:rPr>
                <w:rFonts w:ascii="Arial" w:hAnsi="Arial" w:eastAsia="Arial"/>
                <w:b w:val="0"/>
                <w:sz w:val="14"/>
              </w:rPr>
              <w:t>Rebuild / Retirement</w:t>
            </w:r>
          </w:p>
        </w:tc>
        <w:tc>
          <w:tcPr>
            <w:tcW w:type="dxa" w:w="4752"/>
            <w:vAlign w:val="top"/>
          </w:tcPr>
          <w:p>
            <w:pPr>
              <w:spacing w:after="0" w:line="240" w:lineRule="auto"/>
              <w:jc w:val="left"/>
            </w:pPr>
            <w:r>
              <w:rPr>
                <w:rFonts w:ascii="Arial" w:hAnsi="Arial" w:eastAsia="Arial"/>
              </w:rPr>
            </w:r>
            <w:r>
              <w:rPr>
                <w:rFonts w:ascii="Arial" w:hAnsi="Arial" w:eastAsia="Arial"/>
                <w:b w:val="0"/>
                <w:sz w:val="14"/>
              </w:rPr>
              <w:t>Indexes are rebuildable from source and retired on repo/archive/branch deletion or supersession.</w:t>
            </w:r>
          </w:p>
        </w:tc>
        <w:tc>
          <w:tcPr>
            <w:tcW w:type="dxa" w:w="3816"/>
            <w:vAlign w:val="top"/>
          </w:tcPr>
          <w:p>
            <w:pPr>
              <w:spacing w:after="0" w:line="240" w:lineRule="auto"/>
              <w:jc w:val="left"/>
            </w:pPr>
            <w:r>
              <w:rPr>
                <w:rFonts w:ascii="Arial" w:hAnsi="Arial" w:eastAsia="Arial"/>
              </w:rPr>
            </w:r>
            <w:r>
              <w:rPr>
                <w:rFonts w:ascii="Arial" w:hAnsi="Arial" w:eastAsia="Arial"/>
                <w:b w:val="0"/>
                <w:sz w:val="14"/>
              </w:rPr>
              <w:t>Rebuild job, retention policy, stale index quarantine evidence.</w:t>
            </w:r>
          </w:p>
        </w:tc>
      </w:tr>
    </w:tbl>
    <w:p>
      <w:pPr>
        <w:spacing w:after="100" w:line="252" w:lineRule="auto"/>
      </w:pPr>
    </w:p>
    <w:tbl>
      <w:tblPr>
        <w:tblStyle w:val="TableGrid"/>
        <w:tblW w:type="auto" w:w="0"/>
        <w:jc w:val="center"/>
        <w:tblLook w:firstColumn="1" w:firstRow="1" w:lastColumn="0" w:lastRow="0" w:noHBand="0" w:noVBand="1" w:val="04A0"/>
      </w:tblPr>
      <w:tblGrid>
        <w:gridCol w:w="10656"/>
      </w:tblGrid>
      <w:tr>
        <w:tc>
          <w:tcPr>
            <w:tcW w:type="dxa" w:w="10656"/>
            <w:shd w:fill="FFF2CC"/>
          </w:tcPr>
          <w:p>
            <w:pPr>
              <w:spacing w:after="0" w:line="240" w:lineRule="auto"/>
            </w:pPr>
            <w:r>
              <w:rPr>
                <w:rFonts w:ascii="Arial" w:hAnsi="Arial" w:eastAsia="Arial"/>
              </w:rPr>
            </w:r>
            <w:r>
              <w:rPr>
                <w:rFonts w:ascii="Arial" w:hAnsi="Arial" w:eastAsia="Arial"/>
                <w:b/>
                <w:color w:val="1F4E79"/>
                <w:sz w:val="18"/>
              </w:rPr>
              <w:t>GitNexus Adoption Verdict</w:t>
              <w:br/>
            </w:r>
            <w:r>
              <w:rPr>
                <w:rFonts w:ascii="Arial" w:hAnsi="Arial" w:eastAsia="Arial"/>
                <w:sz w:val="17"/>
              </w:rPr>
              <w:t>Approved for controlled developer and architecture-review evaluation. It should be used as a codebase-understanding accelerator and CI/review evidence contributor, not as an autonomous engineering actor.</w:t>
            </w:r>
          </w:p>
        </w:tc>
      </w:tr>
    </w:tbl>
    <w:p>
      <w:pPr>
        <w:pStyle w:val="Heading1"/>
        <w:spacing w:before="160" w:after="80"/>
      </w:pPr>
      <w:r>
        <w:rPr>
          <w:rFonts w:ascii="Arial" w:hAnsi="Arial" w:eastAsia="Arial"/>
          <w:b w:val="0"/>
          <w:i w:val="0"/>
        </w:rPr>
        <w:t>9. Architecture Fitness Function Tooling Baseline</w:t>
      </w:r>
    </w:p>
    <w:p>
      <w:pPr>
        <w:spacing w:after="100" w:line="252" w:lineRule="auto"/>
      </w:pPr>
      <w:r>
        <w:rPr>
          <w:rFonts w:ascii="Arial" w:hAnsi="Arial" w:eastAsia="Arial"/>
          <w:b w:val="0"/>
          <w:i w:val="0"/>
        </w:rPr>
        <w:t>Architecture fitness functions are technology-backed tests that continuously verify that AIRA remains aligned with its intended architecture. They are mandatory for high-risk repositories and must run locally where feasible and in CI strict mode before merge.</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592"/>
            <w:shd w:fill="1F4E79"/>
            <w:vAlign w:val="top"/>
          </w:tcPr>
          <w:p>
            <w:pPr>
              <w:spacing w:after="0" w:line="240" w:lineRule="auto"/>
              <w:jc w:val="left"/>
            </w:pPr>
            <w:r>
              <w:rPr>
                <w:rFonts w:ascii="Arial" w:hAnsi="Arial" w:eastAsia="Arial"/>
              </w:rPr>
            </w:r>
            <w:r>
              <w:rPr>
                <w:rFonts w:ascii="Arial" w:hAnsi="Arial" w:eastAsia="Arial"/>
                <w:b/>
                <w:color w:val="FFFFFF"/>
                <w:sz w:val="14"/>
              </w:rPr>
              <w:t>Fitness Area</w:t>
            </w:r>
          </w:p>
        </w:tc>
        <w:tc>
          <w:tcPr>
            <w:tcW w:type="dxa" w:w="3888"/>
            <w:shd w:fill="1F4E79"/>
            <w:vAlign w:val="top"/>
          </w:tcPr>
          <w:p>
            <w:pPr>
              <w:spacing w:after="0" w:line="240" w:lineRule="auto"/>
              <w:jc w:val="left"/>
            </w:pPr>
            <w:r>
              <w:rPr>
                <w:rFonts w:ascii="Arial" w:hAnsi="Arial" w:eastAsia="Arial"/>
              </w:rPr>
            </w:r>
            <w:r>
              <w:rPr>
                <w:rFonts w:ascii="Arial" w:hAnsi="Arial" w:eastAsia="Arial"/>
                <w:b/>
                <w:color w:val="FFFFFF"/>
                <w:sz w:val="14"/>
              </w:rPr>
              <w:t>Recommended Tooling</w:t>
            </w:r>
          </w:p>
        </w:tc>
        <w:tc>
          <w:tcPr>
            <w:tcW w:type="dxa" w:w="3888"/>
            <w:shd w:fill="1F4E79"/>
            <w:vAlign w:val="top"/>
          </w:tcPr>
          <w:p>
            <w:pPr>
              <w:spacing w:after="0" w:line="240" w:lineRule="auto"/>
              <w:jc w:val="left"/>
            </w:pPr>
            <w:r>
              <w:rPr>
                <w:rFonts w:ascii="Arial" w:hAnsi="Arial" w:eastAsia="Arial"/>
              </w:rPr>
            </w:r>
            <w:r>
              <w:rPr>
                <w:rFonts w:ascii="Arial" w:hAnsi="Arial" w:eastAsia="Arial"/>
                <w:b/>
                <w:color w:val="FFFFFF"/>
                <w:sz w:val="14"/>
              </w:rPr>
              <w:t>Minimum Rule</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Layer dependency direction</w:t>
            </w:r>
          </w:p>
        </w:tc>
        <w:tc>
          <w:tcPr>
            <w:tcW w:type="dxa" w:w="3888"/>
            <w:vAlign w:val="top"/>
          </w:tcPr>
          <w:p>
            <w:pPr>
              <w:spacing w:after="0" w:line="240" w:lineRule="auto"/>
              <w:jc w:val="left"/>
            </w:pPr>
            <w:r>
              <w:rPr>
                <w:rFonts w:ascii="Arial" w:hAnsi="Arial" w:eastAsia="Arial"/>
              </w:rPr>
            </w:r>
            <w:r>
              <w:rPr>
                <w:rFonts w:ascii="Arial" w:hAnsi="Arial" w:eastAsia="Arial"/>
                <w:b w:val="0"/>
                <w:sz w:val="14"/>
              </w:rPr>
              <w:t>ArchUnit, dependency graph checks, GitNexus graph review</w:t>
            </w:r>
          </w:p>
        </w:tc>
        <w:tc>
          <w:tcPr>
            <w:tcW w:type="dxa" w:w="3888"/>
            <w:vAlign w:val="top"/>
          </w:tcPr>
          <w:p>
            <w:pPr>
              <w:spacing w:after="0" w:line="240" w:lineRule="auto"/>
              <w:jc w:val="left"/>
            </w:pPr>
            <w:r>
              <w:rPr>
                <w:rFonts w:ascii="Arial" w:hAnsi="Arial" w:eastAsia="Arial"/>
              </w:rPr>
            </w:r>
            <w:r>
              <w:rPr>
                <w:rFonts w:ascii="Arial" w:hAnsi="Arial" w:eastAsia="Arial"/>
                <w:b w:val="0"/>
                <w:sz w:val="14"/>
              </w:rPr>
              <w:t>Domain must not depend on infrastructure/adapters; controllers must not contain business logic.</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Package and bounded-context ownership</w:t>
            </w:r>
          </w:p>
        </w:tc>
        <w:tc>
          <w:tcPr>
            <w:tcW w:type="dxa" w:w="3888"/>
            <w:vAlign w:val="top"/>
          </w:tcPr>
          <w:p>
            <w:pPr>
              <w:spacing w:after="0" w:line="240" w:lineRule="auto"/>
              <w:jc w:val="left"/>
            </w:pPr>
            <w:r>
              <w:rPr>
                <w:rFonts w:ascii="Arial" w:hAnsi="Arial" w:eastAsia="Arial"/>
              </w:rPr>
            </w:r>
            <w:r>
              <w:rPr>
                <w:rFonts w:ascii="Arial" w:hAnsi="Arial" w:eastAsia="Arial"/>
                <w:b w:val="0"/>
                <w:sz w:val="14"/>
              </w:rPr>
              <w:t>ArchUnit, CODEOWNERS, repository rules, GitNexus</w:t>
            </w:r>
          </w:p>
        </w:tc>
        <w:tc>
          <w:tcPr>
            <w:tcW w:type="dxa" w:w="3888"/>
            <w:vAlign w:val="top"/>
          </w:tcPr>
          <w:p>
            <w:pPr>
              <w:spacing w:after="0" w:line="240" w:lineRule="auto"/>
              <w:jc w:val="left"/>
            </w:pPr>
            <w:r>
              <w:rPr>
                <w:rFonts w:ascii="Arial" w:hAnsi="Arial" w:eastAsia="Arial"/>
              </w:rPr>
            </w:r>
            <w:r>
              <w:rPr>
                <w:rFonts w:ascii="Arial" w:hAnsi="Arial" w:eastAsia="Arial"/>
                <w:b w:val="0"/>
                <w:sz w:val="14"/>
              </w:rPr>
              <w:t>No cross-context internal package access or shared schema mutation without ADR.</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Direct model provider prevention</w:t>
            </w:r>
          </w:p>
        </w:tc>
        <w:tc>
          <w:tcPr>
            <w:tcW w:type="dxa" w:w="3888"/>
            <w:vAlign w:val="top"/>
          </w:tcPr>
          <w:p>
            <w:pPr>
              <w:spacing w:after="0" w:line="240" w:lineRule="auto"/>
              <w:jc w:val="left"/>
            </w:pPr>
            <w:r>
              <w:rPr>
                <w:rFonts w:ascii="Arial" w:hAnsi="Arial" w:eastAsia="Arial"/>
              </w:rPr>
            </w:r>
            <w:r>
              <w:rPr>
                <w:rFonts w:ascii="Arial" w:hAnsi="Arial" w:eastAsia="Arial"/>
                <w:b w:val="0"/>
                <w:sz w:val="14"/>
              </w:rPr>
              <w:t>Semgrep, import lint, CLAUDE.md hook</w:t>
            </w:r>
          </w:p>
        </w:tc>
        <w:tc>
          <w:tcPr>
            <w:tcW w:type="dxa" w:w="3888"/>
            <w:vAlign w:val="top"/>
          </w:tcPr>
          <w:p>
            <w:pPr>
              <w:spacing w:after="0" w:line="240" w:lineRule="auto"/>
              <w:jc w:val="left"/>
            </w:pPr>
            <w:r>
              <w:rPr>
                <w:rFonts w:ascii="Arial" w:hAnsi="Arial" w:eastAsia="Arial"/>
              </w:rPr>
            </w:r>
            <w:r>
              <w:rPr>
                <w:rFonts w:ascii="Arial" w:hAnsi="Arial" w:eastAsia="Arial"/>
                <w:b w:val="0"/>
                <w:sz w:val="14"/>
              </w:rPr>
              <w:t>Provider SDK imports and direct provider endpoints are blocked.</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Voice provider independence</w:t>
            </w:r>
          </w:p>
        </w:tc>
        <w:tc>
          <w:tcPr>
            <w:tcW w:type="dxa" w:w="3888"/>
            <w:vAlign w:val="top"/>
          </w:tcPr>
          <w:p>
            <w:pPr>
              <w:spacing w:after="0" w:line="240" w:lineRule="auto"/>
              <w:jc w:val="left"/>
            </w:pPr>
            <w:r>
              <w:rPr>
                <w:rFonts w:ascii="Arial" w:hAnsi="Arial" w:eastAsia="Arial"/>
              </w:rPr>
            </w:r>
            <w:r>
              <w:rPr>
                <w:rFonts w:ascii="Arial" w:hAnsi="Arial" w:eastAsia="Arial"/>
                <w:b w:val="0"/>
                <w:sz w:val="14"/>
              </w:rPr>
              <w:t>Dograh adapters, contract tests, provider registry</w:t>
            </w:r>
          </w:p>
        </w:tc>
        <w:tc>
          <w:tcPr>
            <w:tcW w:type="dxa" w:w="3888"/>
            <w:vAlign w:val="top"/>
          </w:tcPr>
          <w:p>
            <w:pPr>
              <w:spacing w:after="0" w:line="240" w:lineRule="auto"/>
              <w:jc w:val="left"/>
            </w:pPr>
            <w:r>
              <w:rPr>
                <w:rFonts w:ascii="Arial" w:hAnsi="Arial" w:eastAsia="Arial"/>
              </w:rPr>
            </w:r>
            <w:r>
              <w:rPr>
                <w:rFonts w:ascii="Arial" w:hAnsi="Arial" w:eastAsia="Arial"/>
                <w:b w:val="0"/>
                <w:sz w:val="14"/>
              </w:rPr>
              <w:t>Dograh flows cannot hardcode one STT/TTS/LLM provider outside approved config.</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Policy-as-code validation</w:t>
            </w:r>
          </w:p>
        </w:tc>
        <w:tc>
          <w:tcPr>
            <w:tcW w:type="dxa" w:w="3888"/>
            <w:vAlign w:val="top"/>
          </w:tcPr>
          <w:p>
            <w:pPr>
              <w:spacing w:after="0" w:line="240" w:lineRule="auto"/>
              <w:jc w:val="left"/>
            </w:pPr>
            <w:r>
              <w:rPr>
                <w:rFonts w:ascii="Arial" w:hAnsi="Arial" w:eastAsia="Arial"/>
              </w:rPr>
            </w:r>
            <w:r>
              <w:rPr>
                <w:rFonts w:ascii="Arial" w:hAnsi="Arial" w:eastAsia="Arial"/>
                <w:b w:val="0"/>
                <w:sz w:val="14"/>
              </w:rPr>
              <w:t>OPA/Rego tests, Conftest, Gatekeeper/Kyverno</w:t>
            </w:r>
          </w:p>
        </w:tc>
        <w:tc>
          <w:tcPr>
            <w:tcW w:type="dxa" w:w="3888"/>
            <w:vAlign w:val="top"/>
          </w:tcPr>
          <w:p>
            <w:pPr>
              <w:spacing w:after="0" w:line="240" w:lineRule="auto"/>
              <w:jc w:val="left"/>
            </w:pPr>
            <w:r>
              <w:rPr>
                <w:rFonts w:ascii="Arial" w:hAnsi="Arial" w:eastAsia="Arial"/>
              </w:rPr>
            </w:r>
            <w:r>
              <w:rPr>
                <w:rFonts w:ascii="Arial" w:hAnsi="Arial" w:eastAsia="Arial"/>
                <w:b w:val="0"/>
                <w:sz w:val="14"/>
              </w:rPr>
              <w:t>Policy bundles and manifests must pass deterministic tests.</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Contract compatibility</w:t>
            </w:r>
          </w:p>
        </w:tc>
        <w:tc>
          <w:tcPr>
            <w:tcW w:type="dxa" w:w="3888"/>
            <w:vAlign w:val="top"/>
          </w:tcPr>
          <w:p>
            <w:pPr>
              <w:spacing w:after="0" w:line="240" w:lineRule="auto"/>
              <w:jc w:val="left"/>
            </w:pPr>
            <w:r>
              <w:rPr>
                <w:rFonts w:ascii="Arial" w:hAnsi="Arial" w:eastAsia="Arial"/>
              </w:rPr>
            </w:r>
            <w:r>
              <w:rPr>
                <w:rFonts w:ascii="Arial" w:hAnsi="Arial" w:eastAsia="Arial"/>
                <w:b w:val="0"/>
                <w:sz w:val="14"/>
              </w:rPr>
              <w:t>OpenAPI/AsyncAPI diff, Spring Cloud Contract, Pact where approved</w:t>
            </w:r>
          </w:p>
        </w:tc>
        <w:tc>
          <w:tcPr>
            <w:tcW w:type="dxa" w:w="3888"/>
            <w:vAlign w:val="top"/>
          </w:tcPr>
          <w:p>
            <w:pPr>
              <w:spacing w:after="0" w:line="240" w:lineRule="auto"/>
              <w:jc w:val="left"/>
            </w:pPr>
            <w:r>
              <w:rPr>
                <w:rFonts w:ascii="Arial" w:hAnsi="Arial" w:eastAsia="Arial"/>
              </w:rPr>
            </w:r>
            <w:r>
              <w:rPr>
                <w:rFonts w:ascii="Arial" w:hAnsi="Arial" w:eastAsia="Arial"/>
                <w:b w:val="0"/>
                <w:sz w:val="14"/>
              </w:rPr>
              <w:t>Breaking API/event changes require versioning and deprecation plan.</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Test sufficiency</w:t>
            </w:r>
          </w:p>
        </w:tc>
        <w:tc>
          <w:tcPr>
            <w:tcW w:type="dxa" w:w="3888"/>
            <w:vAlign w:val="top"/>
          </w:tcPr>
          <w:p>
            <w:pPr>
              <w:spacing w:after="0" w:line="240" w:lineRule="auto"/>
              <w:jc w:val="left"/>
            </w:pPr>
            <w:r>
              <w:rPr>
                <w:rFonts w:ascii="Arial" w:hAnsi="Arial" w:eastAsia="Arial"/>
              </w:rPr>
            </w:r>
            <w:r>
              <w:rPr>
                <w:rFonts w:ascii="Arial" w:hAnsi="Arial" w:eastAsia="Arial"/>
                <w:b w:val="0"/>
                <w:sz w:val="14"/>
              </w:rPr>
              <w:t>JUnit/Vitest/pytest coverage, mutation testing, changed-line coverage</w:t>
            </w:r>
          </w:p>
        </w:tc>
        <w:tc>
          <w:tcPr>
            <w:tcW w:type="dxa" w:w="3888"/>
            <w:vAlign w:val="top"/>
          </w:tcPr>
          <w:p>
            <w:pPr>
              <w:spacing w:after="0" w:line="240" w:lineRule="auto"/>
              <w:jc w:val="left"/>
            </w:pPr>
            <w:r>
              <w:rPr>
                <w:rFonts w:ascii="Arial" w:hAnsi="Arial" w:eastAsia="Arial"/>
              </w:rPr>
            </w:r>
            <w:r>
              <w:rPr>
                <w:rFonts w:ascii="Arial" w:hAnsi="Arial" w:eastAsia="Arial"/>
                <w:b w:val="0"/>
                <w:sz w:val="14"/>
              </w:rPr>
              <w:t>High-risk code requires branch and mutation evidence, not line coverage alone.</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Security regression</w:t>
            </w:r>
          </w:p>
        </w:tc>
        <w:tc>
          <w:tcPr>
            <w:tcW w:type="dxa" w:w="3888"/>
            <w:vAlign w:val="top"/>
          </w:tcPr>
          <w:p>
            <w:pPr>
              <w:spacing w:after="0" w:line="240" w:lineRule="auto"/>
              <w:jc w:val="left"/>
            </w:pPr>
            <w:r>
              <w:rPr>
                <w:rFonts w:ascii="Arial" w:hAnsi="Arial" w:eastAsia="Arial"/>
              </w:rPr>
            </w:r>
            <w:r>
              <w:rPr>
                <w:rFonts w:ascii="Arial" w:hAnsi="Arial" w:eastAsia="Arial"/>
                <w:b w:val="0"/>
                <w:sz w:val="14"/>
              </w:rPr>
              <w:t>Semgrep, OWASP ZAP, Trivy, Gitleaks</w:t>
            </w:r>
          </w:p>
        </w:tc>
        <w:tc>
          <w:tcPr>
            <w:tcW w:type="dxa" w:w="3888"/>
            <w:vAlign w:val="top"/>
          </w:tcPr>
          <w:p>
            <w:pPr>
              <w:spacing w:after="0" w:line="240" w:lineRule="auto"/>
              <w:jc w:val="left"/>
            </w:pPr>
            <w:r>
              <w:rPr>
                <w:rFonts w:ascii="Arial" w:hAnsi="Arial" w:eastAsia="Arial"/>
              </w:rPr>
            </w:r>
            <w:r>
              <w:rPr>
                <w:rFonts w:ascii="Arial" w:hAnsi="Arial" w:eastAsia="Arial"/>
                <w:b w:val="0"/>
                <w:sz w:val="14"/>
              </w:rPr>
              <w:t>Security defects, secret leaks, unsafe logging, and vulnerable images block merge.</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Reversibility</w:t>
            </w:r>
          </w:p>
        </w:tc>
        <w:tc>
          <w:tcPr>
            <w:tcW w:type="dxa" w:w="3888"/>
            <w:vAlign w:val="top"/>
          </w:tcPr>
          <w:p>
            <w:pPr>
              <w:spacing w:after="0" w:line="240" w:lineRule="auto"/>
              <w:jc w:val="left"/>
            </w:pPr>
            <w:r>
              <w:rPr>
                <w:rFonts w:ascii="Arial" w:hAnsi="Arial" w:eastAsia="Arial"/>
              </w:rPr>
            </w:r>
            <w:r>
              <w:rPr>
                <w:rFonts w:ascii="Arial" w:hAnsi="Arial" w:eastAsia="Arial"/>
                <w:b w:val="0"/>
                <w:sz w:val="14"/>
              </w:rPr>
              <w:t>Flyway checks, Argo CD sync plan, Helm diff, feature flag plan</w:t>
            </w:r>
          </w:p>
        </w:tc>
        <w:tc>
          <w:tcPr>
            <w:tcW w:type="dxa" w:w="3888"/>
            <w:vAlign w:val="top"/>
          </w:tcPr>
          <w:p>
            <w:pPr>
              <w:spacing w:after="0" w:line="240" w:lineRule="auto"/>
              <w:jc w:val="left"/>
            </w:pPr>
            <w:r>
              <w:rPr>
                <w:rFonts w:ascii="Arial" w:hAnsi="Arial" w:eastAsia="Arial"/>
              </w:rPr>
            </w:r>
            <w:r>
              <w:rPr>
                <w:rFonts w:ascii="Arial" w:hAnsi="Arial" w:eastAsia="Arial"/>
                <w:b w:val="0"/>
                <w:sz w:val="14"/>
              </w:rPr>
              <w:t>Production-impacting changes require rollback, forward-fix, or compensation path.</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Observability completeness</w:t>
            </w:r>
          </w:p>
        </w:tc>
        <w:tc>
          <w:tcPr>
            <w:tcW w:type="dxa" w:w="3888"/>
            <w:vAlign w:val="top"/>
          </w:tcPr>
          <w:p>
            <w:pPr>
              <w:spacing w:after="0" w:line="240" w:lineRule="auto"/>
              <w:jc w:val="left"/>
            </w:pPr>
            <w:r>
              <w:rPr>
                <w:rFonts w:ascii="Arial" w:hAnsi="Arial" w:eastAsia="Arial"/>
              </w:rPr>
            </w:r>
            <w:r>
              <w:rPr>
                <w:rFonts w:ascii="Arial" w:hAnsi="Arial" w:eastAsia="Arial"/>
                <w:b w:val="0"/>
                <w:sz w:val="14"/>
              </w:rPr>
              <w:t>OTel instrumentation checks, log schema validation, dashboard/alert evidence</w:t>
            </w:r>
          </w:p>
        </w:tc>
        <w:tc>
          <w:tcPr>
            <w:tcW w:type="dxa" w:w="3888"/>
            <w:vAlign w:val="top"/>
          </w:tcPr>
          <w:p>
            <w:pPr>
              <w:spacing w:after="0" w:line="240" w:lineRule="auto"/>
              <w:jc w:val="left"/>
            </w:pPr>
            <w:r>
              <w:rPr>
                <w:rFonts w:ascii="Arial" w:hAnsi="Arial" w:eastAsia="Arial"/>
              </w:rPr>
            </w:r>
            <w:r>
              <w:rPr>
                <w:rFonts w:ascii="Arial" w:hAnsi="Arial" w:eastAsia="Arial"/>
                <w:b w:val="0"/>
                <w:sz w:val="14"/>
              </w:rPr>
              <w:t>New critical flows emit trace, metric, log, audit, and evidence references.</w:t>
            </w:r>
          </w:p>
        </w:tc>
      </w:tr>
      <w:tr>
        <w:tc>
          <w:tcPr>
            <w:tcW w:type="dxa" w:w="2592"/>
            <w:vAlign w:val="top"/>
            <w:shd w:fill="F2F2F2"/>
          </w:tcPr>
          <w:p>
            <w:pPr>
              <w:spacing w:after="0" w:line="240" w:lineRule="auto"/>
              <w:jc w:val="left"/>
            </w:pPr>
            <w:r>
              <w:rPr>
                <w:rFonts w:ascii="Arial" w:hAnsi="Arial" w:eastAsia="Arial"/>
                <w:b/>
              </w:rPr>
            </w:r>
            <w:r>
              <w:rPr>
                <w:rFonts w:ascii="Arial" w:hAnsi="Arial" w:eastAsia="Arial"/>
                <w:b w:val="0"/>
                <w:sz w:val="14"/>
              </w:rPr>
              <w:t>Code intelligence freshness</w:t>
            </w:r>
          </w:p>
        </w:tc>
        <w:tc>
          <w:tcPr>
            <w:tcW w:type="dxa" w:w="3888"/>
            <w:vAlign w:val="top"/>
          </w:tcPr>
          <w:p>
            <w:pPr>
              <w:spacing w:after="0" w:line="240" w:lineRule="auto"/>
              <w:jc w:val="left"/>
            </w:pPr>
            <w:r>
              <w:rPr>
                <w:rFonts w:ascii="Arial" w:hAnsi="Arial" w:eastAsia="Arial"/>
              </w:rPr>
            </w:r>
            <w:r>
              <w:rPr>
                <w:rFonts w:ascii="Arial" w:hAnsi="Arial" w:eastAsia="Arial"/>
                <w:b w:val="0"/>
                <w:sz w:val="14"/>
              </w:rPr>
              <w:t>GitNexus index timestamp/commit check</w:t>
            </w:r>
          </w:p>
        </w:tc>
        <w:tc>
          <w:tcPr>
            <w:tcW w:type="dxa" w:w="3888"/>
            <w:vAlign w:val="top"/>
          </w:tcPr>
          <w:p>
            <w:pPr>
              <w:spacing w:after="0" w:line="240" w:lineRule="auto"/>
              <w:jc w:val="left"/>
            </w:pPr>
            <w:r>
              <w:rPr>
                <w:rFonts w:ascii="Arial" w:hAnsi="Arial" w:eastAsia="Arial"/>
              </w:rPr>
            </w:r>
            <w:r>
              <w:rPr>
                <w:rFonts w:ascii="Arial" w:hAnsi="Arial" w:eastAsia="Arial"/>
                <w:b w:val="0"/>
                <w:sz w:val="14"/>
              </w:rPr>
              <w:t>AI assistants must not use stale code graphs as current authority.</w:t>
            </w:r>
          </w:p>
        </w:tc>
      </w:tr>
    </w:tbl>
    <w:p>
      <w:pPr>
        <w:spacing w:after="100" w:line="252" w:lineRule="auto"/>
      </w:pPr>
    </w:p>
    <w:p>
      <w:pPr>
        <w:pStyle w:val="Heading1"/>
        <w:spacing w:before="160" w:after="80"/>
      </w:pPr>
      <w:r>
        <w:rPr>
          <w:rFonts w:ascii="Arial" w:hAnsi="Arial" w:eastAsia="Arial"/>
          <w:b w:val="0"/>
          <w:i w:val="0"/>
        </w:rPr>
        <w:t>10. Deprecated, Conditional, and Not-Approved Technologies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888"/>
            <w:shd w:fill="1F4E79"/>
            <w:vAlign w:val="top"/>
          </w:tcPr>
          <w:p>
            <w:pPr>
              <w:spacing w:after="0" w:line="240" w:lineRule="auto"/>
              <w:jc w:val="left"/>
            </w:pPr>
            <w:r>
              <w:rPr>
                <w:rFonts w:ascii="Arial" w:hAnsi="Arial" w:eastAsia="Arial"/>
              </w:rPr>
            </w:r>
            <w:r>
              <w:rPr>
                <w:rFonts w:ascii="Arial" w:hAnsi="Arial" w:eastAsia="Arial"/>
                <w:b/>
                <w:color w:val="FFFFFF"/>
                <w:sz w:val="14"/>
              </w:rPr>
              <w:t>Technology / Pattern</w:t>
            </w:r>
          </w:p>
        </w:tc>
        <w:tc>
          <w:tcPr>
            <w:tcW w:type="dxa" w:w="1800"/>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c>
          <w:tcPr>
            <w:tcW w:type="dxa" w:w="4680"/>
            <w:shd w:fill="1F4E79"/>
            <w:vAlign w:val="top"/>
          </w:tcPr>
          <w:p>
            <w:pPr>
              <w:spacing w:after="0" w:line="240" w:lineRule="auto"/>
              <w:jc w:val="left"/>
            </w:pPr>
            <w:r>
              <w:rPr>
                <w:rFonts w:ascii="Arial" w:hAnsi="Arial" w:eastAsia="Arial"/>
              </w:rPr>
            </w:r>
            <w:r>
              <w:rPr>
                <w:rFonts w:ascii="Arial" w:hAnsi="Arial" w:eastAsia="Arial"/>
                <w:b/>
                <w:color w:val="FFFFFF"/>
                <w:sz w:val="14"/>
              </w:rPr>
              <w:t>Reason / Required Treatment</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Direct LLM provider SDK usage from application services, scripts, Dograh flows, notebooks, or agents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Violates gateway, guardrail, budget, classification, and audit controls.</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Personal AI accounts for AIRA code/data/prompts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Creates unmanaged data exposure and accountability gaps.</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Dograh used as hardcoded or exclusive STT/TTS engine</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Dograh is orchestration. STT/TTS providers must remain swappable and governed.</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GitNexus with write, merge, deploy, or production credentials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Violates read-only code-intelligence boundary and separation of duties.</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Kafka ZooKeeper mode for new deployments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Greenfield baseline is Kafka 4.x KRaft-only.</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Argo CD 3.1 or older for new deployment</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Deprecated / Retire</w:t>
            </w:r>
          </w:p>
        </w:tc>
        <w:tc>
          <w:tcPr>
            <w:tcW w:type="dxa" w:w="4680"/>
            <w:vAlign w:val="top"/>
          </w:tcPr>
          <w:p>
            <w:pPr>
              <w:spacing w:after="0" w:line="240" w:lineRule="auto"/>
              <w:jc w:val="left"/>
            </w:pPr>
            <w:r>
              <w:rPr>
                <w:rFonts w:ascii="Arial" w:hAnsi="Arial" w:eastAsia="Arial"/>
              </w:rPr>
            </w:r>
            <w:r>
              <w:rPr>
                <w:rFonts w:ascii="Arial" w:hAnsi="Arial" w:eastAsia="Arial"/>
                <w:b w:val="0"/>
                <w:sz w:val="14"/>
              </w:rPr>
              <w:t>Upgrade to supported Argo CD branches. No new install on retired branch.</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Kubernetes versions outside current supported release branches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Deprecated / Retire</w:t>
            </w:r>
          </w:p>
        </w:tc>
        <w:tc>
          <w:tcPr>
            <w:tcW w:type="dxa" w:w="4680"/>
            <w:vAlign w:val="top"/>
          </w:tcPr>
          <w:p>
            <w:pPr>
              <w:spacing w:after="0" w:line="240" w:lineRule="auto"/>
              <w:jc w:val="left"/>
            </w:pPr>
            <w:r>
              <w:rPr>
                <w:rFonts w:ascii="Arial" w:hAnsi="Arial" w:eastAsia="Arial"/>
              </w:rPr>
            </w:r>
            <w:r>
              <w:rPr>
                <w:rFonts w:ascii="Arial" w:hAnsi="Arial" w:eastAsia="Arial"/>
                <w:b w:val="0"/>
                <w:sz w:val="14"/>
              </w:rPr>
              <w:t>Kubernetes supports recent minor branches only; plan upgrades before support expiry.</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Node.js 20 or older for AIRA frontend/tooling</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EOL/unsupported for new greenfield development.</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Java 17 or older for AIRA backend</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Use Java 25 LTS unless waiver. Java 21 fallback requires exit plan.</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Java 26 as production default</w:t>
            </w:r>
          </w:p>
        </w:tc>
        <w:tc>
          <w:tcPr>
            <w:tcW w:type="dxa" w:w="1800"/>
            <w:vAlign w:val="top"/>
            <w:shd w:fill="FFF2CC"/>
          </w:tcPr>
          <w:p>
            <w:pPr>
              <w:spacing w:after="0" w:line="240" w:lineRule="auto"/>
              <w:jc w:val="left"/>
            </w:pPr>
            <w:r>
              <w:rPr>
                <w:rFonts w:ascii="Arial" w:hAnsi="Arial" w:eastAsia="Arial"/>
              </w:rPr>
            </w:r>
            <w:r>
              <w:rPr>
                <w:rFonts w:ascii="Arial" w:hAnsi="Arial" w:eastAsia="Arial"/>
                <w:b w:val="0"/>
                <w:sz w:val="14"/>
              </w:rPr>
              <w:t>Evaluation</w:t>
            </w:r>
          </w:p>
        </w:tc>
        <w:tc>
          <w:tcPr>
            <w:tcW w:type="dxa" w:w="4680"/>
            <w:vAlign w:val="top"/>
          </w:tcPr>
          <w:p>
            <w:pPr>
              <w:spacing w:after="0" w:line="240" w:lineRule="auto"/>
              <w:jc w:val="left"/>
            </w:pPr>
            <w:r>
              <w:rPr>
                <w:rFonts w:ascii="Arial" w:hAnsi="Arial" w:eastAsia="Arial"/>
              </w:rPr>
            </w:r>
            <w:r>
              <w:rPr>
                <w:rFonts w:ascii="Arial" w:hAnsi="Arial" w:eastAsia="Arial"/>
                <w:b w:val="0"/>
                <w:sz w:val="14"/>
              </w:rPr>
              <w:t>Current non-LTS release; allow labs/compatibility testing, not default production baseline.</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Spring Boot 3.x as new greenfield default</w:t>
            </w:r>
          </w:p>
        </w:tc>
        <w:tc>
          <w:tcPr>
            <w:tcW w:type="dxa" w:w="1800"/>
            <w:vAlign w:val="top"/>
            <w:shd w:fill="FFF2CC"/>
          </w:tcPr>
          <w:p>
            <w:pPr>
              <w:spacing w:after="0" w:line="240" w:lineRule="auto"/>
              <w:jc w:val="left"/>
            </w:pPr>
            <w:r>
              <w:rPr>
                <w:rFonts w:ascii="Arial" w:hAnsi="Arial" w:eastAsia="Arial"/>
              </w:rPr>
            </w:r>
            <w:r>
              <w:rPr>
                <w:rFonts w:ascii="Arial" w:hAnsi="Arial" w:eastAsia="Arial"/>
                <w:b w:val="0"/>
                <w:sz w:val="14"/>
              </w:rPr>
              <w:t>Transition / Watch</w:t>
            </w:r>
          </w:p>
        </w:tc>
        <w:tc>
          <w:tcPr>
            <w:tcW w:type="dxa" w:w="4680"/>
            <w:vAlign w:val="top"/>
          </w:tcPr>
          <w:p>
            <w:pPr>
              <w:spacing w:after="0" w:line="240" w:lineRule="auto"/>
              <w:jc w:val="left"/>
            </w:pPr>
            <w:r>
              <w:rPr>
                <w:rFonts w:ascii="Arial" w:hAnsi="Arial" w:eastAsia="Arial"/>
              </w:rPr>
            </w:r>
            <w:r>
              <w:rPr>
                <w:rFonts w:ascii="Arial" w:hAnsi="Arial" w:eastAsia="Arial"/>
                <w:b w:val="0"/>
                <w:sz w:val="14"/>
              </w:rPr>
              <w:t>Use only where ecosystem compatibility blocks Spring Boot 4.x; define migration date.</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Manual kubectl writes in production</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Violates GitOps, policy-as-code, separation of duties, and auditability.</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Manual production database edits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Violates Flyway migration discipline and data evidence control.</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Hardcoded model names, secrets, URLs, credentials, or routing decisions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Must be configuration-managed, classified, and reviewed.</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Redis or Valkey as source of truth</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Cache is acceleration only; PostgreSQL/workflow stores remain authoritative.</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Unreviewed AI-generated knowledge promoted to LLM Wiki</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Auto-Learn outputs require human review and source provenance.</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OpenRouter direct application integration</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OpenRouter may be used only behind LiteLLM as conditional fallback.</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Docker daemon as Kubernetes node runtime</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Use containerd or CRI-O on cluster nodes.</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Unpinned GitHub public actions, packages, images, prompts, or model downloads</w:t>
            </w:r>
          </w:p>
        </w:tc>
        <w:tc>
          <w:tcPr>
            <w:tcW w:type="dxa" w:w="1800"/>
            <w:vAlign w:val="top"/>
            <w:shd w:fill="FCE4D6"/>
          </w:tcPr>
          <w:p>
            <w:pPr>
              <w:spacing w:after="0" w:line="240" w:lineRule="auto"/>
              <w:jc w:val="left"/>
            </w:pPr>
            <w:r>
              <w:rPr>
                <w:rFonts w:ascii="Arial" w:hAnsi="Arial" w:eastAsia="Arial"/>
              </w:rPr>
            </w:r>
            <w:r>
              <w:rPr>
                <w:rFonts w:ascii="Arial" w:hAnsi="Arial" w:eastAsia="Arial"/>
                <w:b w:val="0"/>
                <w:sz w:val="14"/>
              </w:rPr>
              <w:t>Not Approved</w:t>
            </w:r>
          </w:p>
        </w:tc>
        <w:tc>
          <w:tcPr>
            <w:tcW w:type="dxa" w:w="4680"/>
            <w:vAlign w:val="top"/>
          </w:tcPr>
          <w:p>
            <w:pPr>
              <w:spacing w:after="0" w:line="240" w:lineRule="auto"/>
              <w:jc w:val="left"/>
            </w:pPr>
            <w:r>
              <w:rPr>
                <w:rFonts w:ascii="Arial" w:hAnsi="Arial" w:eastAsia="Arial"/>
              </w:rPr>
            </w:r>
            <w:r>
              <w:rPr>
                <w:rFonts w:ascii="Arial" w:hAnsi="Arial" w:eastAsia="Arial"/>
                <w:b w:val="0"/>
                <w:sz w:val="14"/>
              </w:rPr>
              <w:t>Must flow through Golden Source, signed artifacts, SBOM, and policy checks.</w:t>
            </w:r>
          </w:p>
        </w:tc>
      </w:tr>
      <w:tr>
        <w:tc>
          <w:tcPr>
            <w:tcW w:type="dxa" w:w="3888"/>
            <w:vAlign w:val="top"/>
            <w:shd w:fill="F2F2F2"/>
          </w:tcPr>
          <w:p>
            <w:pPr>
              <w:spacing w:after="0" w:line="240" w:lineRule="auto"/>
              <w:jc w:val="left"/>
            </w:pPr>
            <w:r>
              <w:rPr>
                <w:rFonts w:ascii="Arial" w:hAnsi="Arial" w:eastAsia="Arial"/>
                <w:b/>
              </w:rPr>
            </w:r>
            <w:r>
              <w:rPr>
                <w:rFonts w:ascii="Arial" w:hAnsi="Arial" w:eastAsia="Arial"/>
                <w:b w:val="0"/>
                <w:sz w:val="14"/>
              </w:rPr>
              <w:t>Recently released major framework versions without readiness gate</w:t>
            </w:r>
          </w:p>
        </w:tc>
        <w:tc>
          <w:tcPr>
            <w:tcW w:type="dxa" w:w="1800"/>
            <w:vAlign w:val="top"/>
            <w:shd w:fill="FFF2CC"/>
          </w:tcPr>
          <w:p>
            <w:pPr>
              <w:spacing w:after="0" w:line="240" w:lineRule="auto"/>
              <w:jc w:val="left"/>
            </w:pPr>
            <w:r>
              <w:rPr>
                <w:rFonts w:ascii="Arial" w:hAnsi="Arial" w:eastAsia="Arial"/>
              </w:rPr>
            </w:r>
            <w:r>
              <w:rPr>
                <w:rFonts w:ascii="Arial" w:hAnsi="Arial" w:eastAsia="Arial"/>
                <w:b w:val="0"/>
                <w:sz w:val="14"/>
              </w:rPr>
              <w:t>Conditional</w:t>
            </w:r>
          </w:p>
        </w:tc>
        <w:tc>
          <w:tcPr>
            <w:tcW w:type="dxa" w:w="4680"/>
            <w:vAlign w:val="top"/>
          </w:tcPr>
          <w:p>
            <w:pPr>
              <w:spacing w:after="0" w:line="240" w:lineRule="auto"/>
              <w:jc w:val="left"/>
            </w:pPr>
            <w:r>
              <w:rPr>
                <w:rFonts w:ascii="Arial" w:hAnsi="Arial" w:eastAsia="Arial"/>
              </w:rPr>
            </w:r>
            <w:r>
              <w:rPr>
                <w:rFonts w:ascii="Arial" w:hAnsi="Arial" w:eastAsia="Arial"/>
                <w:b w:val="0"/>
                <w:sz w:val="14"/>
              </w:rPr>
              <w:t>Allowed in PoC/evaluation only until compatibility, security, and support evidence exists.</w:t>
            </w:r>
          </w:p>
        </w:tc>
      </w:tr>
    </w:tbl>
    <w:p>
      <w:pPr>
        <w:spacing w:after="100" w:line="252" w:lineRule="auto"/>
      </w:pPr>
    </w:p>
    <w:p>
      <w:pPr>
        <w:pStyle w:val="Heading1"/>
        <w:spacing w:before="160" w:after="80"/>
      </w:pPr>
      <w:r>
        <w:rPr>
          <w:rFonts w:ascii="Arial" w:hAnsi="Arial" w:eastAsia="Arial"/>
          <w:b w:val="0"/>
          <w:i w:val="0"/>
        </w:rPr>
        <w:t>11. Production Readiness Checklist</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232"/>
            <w:shd w:fill="1F4E79"/>
            <w:vAlign w:val="top"/>
          </w:tcPr>
          <w:p>
            <w:pPr>
              <w:spacing w:after="0" w:line="240" w:lineRule="auto"/>
              <w:jc w:val="left"/>
            </w:pPr>
            <w:r>
              <w:rPr>
                <w:rFonts w:ascii="Arial" w:hAnsi="Arial" w:eastAsia="Arial"/>
              </w:rPr>
            </w:r>
            <w:r>
              <w:rPr>
                <w:rFonts w:ascii="Arial" w:hAnsi="Arial" w:eastAsia="Arial"/>
                <w:b/>
                <w:color w:val="FFFFFF"/>
                <w:sz w:val="14"/>
              </w:rPr>
              <w:t>Gate</w:t>
            </w:r>
          </w:p>
        </w:tc>
        <w:tc>
          <w:tcPr>
            <w:tcW w:type="dxa" w:w="4824"/>
            <w:shd w:fill="1F4E79"/>
            <w:vAlign w:val="top"/>
          </w:tcPr>
          <w:p>
            <w:pPr>
              <w:spacing w:after="0" w:line="240" w:lineRule="auto"/>
              <w:jc w:val="left"/>
            </w:pPr>
            <w:r>
              <w:rPr>
                <w:rFonts w:ascii="Arial" w:hAnsi="Arial" w:eastAsia="Arial"/>
              </w:rPr>
            </w:r>
            <w:r>
              <w:rPr>
                <w:rFonts w:ascii="Arial" w:hAnsi="Arial" w:eastAsia="Arial"/>
                <w:b/>
                <w:color w:val="FFFFFF"/>
                <w:sz w:val="14"/>
              </w:rPr>
              <w:t>Minimum Evidence</w:t>
            </w:r>
          </w:p>
        </w:tc>
        <w:tc>
          <w:tcPr>
            <w:tcW w:type="dxa" w:w="2088"/>
            <w:shd w:fill="1F4E79"/>
            <w:vAlign w:val="top"/>
          </w:tcPr>
          <w:p>
            <w:pPr>
              <w:spacing w:after="0" w:line="240" w:lineRule="auto"/>
              <w:jc w:val="left"/>
            </w:pPr>
            <w:r>
              <w:rPr>
                <w:rFonts w:ascii="Arial" w:hAnsi="Arial" w:eastAsia="Arial"/>
              </w:rPr>
            </w:r>
            <w:r>
              <w:rPr>
                <w:rFonts w:ascii="Arial" w:hAnsi="Arial" w:eastAsia="Arial"/>
                <w:b/>
                <w:color w:val="FFFFFF"/>
                <w:sz w:val="14"/>
              </w:rPr>
              <w:t>Owner</w:t>
            </w:r>
          </w:p>
        </w:tc>
        <w:tc>
          <w:tcPr>
            <w:tcW w:type="dxa" w:w="1224"/>
            <w:shd w:fill="1F4E79"/>
            <w:vAlign w:val="top"/>
          </w:tcPr>
          <w:p>
            <w:pPr>
              <w:spacing w:after="0" w:line="240" w:lineRule="auto"/>
              <w:jc w:val="left"/>
            </w:pPr>
            <w:r>
              <w:rPr>
                <w:rFonts w:ascii="Arial" w:hAnsi="Arial" w:eastAsia="Arial"/>
              </w:rPr>
            </w:r>
            <w:r>
              <w:rPr>
                <w:rFonts w:ascii="Arial" w:hAnsi="Arial" w:eastAsia="Arial"/>
                <w:b/>
                <w:color w:val="FFFFFF"/>
                <w:sz w:val="14"/>
              </w:rPr>
              <w:t>Status</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Ownership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Each component has owner, lifecycle status, support model, approved source, and retirement path.</w:t>
            </w:r>
          </w:p>
        </w:tc>
        <w:tc>
          <w:tcPr>
            <w:tcW w:type="dxa" w:w="2088"/>
            <w:vAlign w:val="top"/>
          </w:tcPr>
          <w:p>
            <w:pPr>
              <w:spacing w:after="0" w:line="240" w:lineRule="auto"/>
              <w:jc w:val="left"/>
            </w:pPr>
            <w:r>
              <w:rPr>
                <w:rFonts w:ascii="Arial" w:hAnsi="Arial" w:eastAsia="Arial"/>
              </w:rPr>
            </w:r>
            <w:r>
              <w:rPr>
                <w:rFonts w:ascii="Arial" w:hAnsi="Arial" w:eastAsia="Arial"/>
                <w:b w:val="0"/>
                <w:sz w:val="14"/>
              </w:rPr>
              <w:t>Architecture / Platform</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Security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Threat model, secrets handling, IAM integration, scan results, and vulnerability treatment are complete.</w:t>
            </w:r>
          </w:p>
        </w:tc>
        <w:tc>
          <w:tcPr>
            <w:tcW w:type="dxa" w:w="2088"/>
            <w:vAlign w:val="top"/>
          </w:tcPr>
          <w:p>
            <w:pPr>
              <w:spacing w:after="0" w:line="240" w:lineRule="auto"/>
              <w:jc w:val="left"/>
            </w:pPr>
            <w:r>
              <w:rPr>
                <w:rFonts w:ascii="Arial" w:hAnsi="Arial" w:eastAsia="Arial"/>
              </w:rPr>
            </w:r>
            <w:r>
              <w:rPr>
                <w:rFonts w:ascii="Arial" w:hAnsi="Arial" w:eastAsia="Arial"/>
                <w:b w:val="0"/>
                <w:sz w:val="14"/>
              </w:rPr>
              <w:t>Security</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Supply-Chain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SBOM, SCA, signed image/package, provenance, and Golden Source record exist.</w:t>
            </w:r>
          </w:p>
        </w:tc>
        <w:tc>
          <w:tcPr>
            <w:tcW w:type="dxa" w:w="2088"/>
            <w:vAlign w:val="top"/>
          </w:tcPr>
          <w:p>
            <w:pPr>
              <w:spacing w:after="0" w:line="240" w:lineRule="auto"/>
              <w:jc w:val="left"/>
            </w:pPr>
            <w:r>
              <w:rPr>
                <w:rFonts w:ascii="Arial" w:hAnsi="Arial" w:eastAsia="Arial"/>
              </w:rPr>
            </w:r>
            <w:r>
              <w:rPr>
                <w:rFonts w:ascii="Arial" w:hAnsi="Arial" w:eastAsia="Arial"/>
                <w:b w:val="0"/>
                <w:sz w:val="14"/>
              </w:rPr>
              <w:t>DevSecOps / Security</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AVCI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Component has attributable, verifiable, classifiable, and improvable evidence record.</w:t>
            </w:r>
          </w:p>
        </w:tc>
        <w:tc>
          <w:tcPr>
            <w:tcW w:type="dxa" w:w="2088"/>
            <w:vAlign w:val="top"/>
          </w:tcPr>
          <w:p>
            <w:pPr>
              <w:spacing w:after="0" w:line="240" w:lineRule="auto"/>
              <w:jc w:val="left"/>
            </w:pPr>
            <w:r>
              <w:rPr>
                <w:rFonts w:ascii="Arial" w:hAnsi="Arial" w:eastAsia="Arial"/>
              </w:rPr>
            </w:r>
            <w:r>
              <w:rPr>
                <w:rFonts w:ascii="Arial" w:hAnsi="Arial" w:eastAsia="Arial"/>
                <w:b w:val="0"/>
                <w:sz w:val="14"/>
              </w:rPr>
              <w:t>Architecture / Audit</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SOLID / Architecture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Component does not weaken service boundaries, Clean Architecture, DDD, ports/adapters, or MicroFunction isolation.</w:t>
            </w:r>
          </w:p>
        </w:tc>
        <w:tc>
          <w:tcPr>
            <w:tcW w:type="dxa" w:w="2088"/>
            <w:vAlign w:val="top"/>
          </w:tcPr>
          <w:p>
            <w:pPr>
              <w:spacing w:after="0" w:line="240" w:lineRule="auto"/>
              <w:jc w:val="left"/>
            </w:pPr>
            <w:r>
              <w:rPr>
                <w:rFonts w:ascii="Arial" w:hAnsi="Arial" w:eastAsia="Arial"/>
              </w:rPr>
            </w:r>
            <w:r>
              <w:rPr>
                <w:rFonts w:ascii="Arial" w:hAnsi="Arial" w:eastAsia="Arial"/>
                <w:b w:val="0"/>
                <w:sz w:val="14"/>
              </w:rPr>
              <w:t>Architecture</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Voice AI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Dograh voice flow has STT/TTS provider independence, guardrail tests, transcript retention rule, consent evidence, and fallback channel.</w:t>
            </w:r>
          </w:p>
        </w:tc>
        <w:tc>
          <w:tcPr>
            <w:tcW w:type="dxa" w:w="2088"/>
            <w:vAlign w:val="top"/>
          </w:tcPr>
          <w:p>
            <w:pPr>
              <w:spacing w:after="0" w:line="240" w:lineRule="auto"/>
              <w:jc w:val="left"/>
            </w:pPr>
            <w:r>
              <w:rPr>
                <w:rFonts w:ascii="Arial" w:hAnsi="Arial" w:eastAsia="Arial"/>
              </w:rPr>
            </w:r>
            <w:r>
              <w:rPr>
                <w:rFonts w:ascii="Arial" w:hAnsi="Arial" w:eastAsia="Arial"/>
                <w:b w:val="0"/>
                <w:sz w:val="14"/>
              </w:rPr>
              <w:t>AI / Security / Legal</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 for voice</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Code Intelligence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GitNexus index is read-only, secret-scanned, current to commit hash, and access-controlled.</w:t>
            </w:r>
          </w:p>
        </w:tc>
        <w:tc>
          <w:tcPr>
            <w:tcW w:type="dxa" w:w="2088"/>
            <w:vAlign w:val="top"/>
          </w:tcPr>
          <w:p>
            <w:pPr>
              <w:spacing w:after="0" w:line="240" w:lineRule="auto"/>
              <w:jc w:val="left"/>
            </w:pPr>
            <w:r>
              <w:rPr>
                <w:rFonts w:ascii="Arial" w:hAnsi="Arial" w:eastAsia="Arial"/>
              </w:rPr>
            </w:r>
            <w:r>
              <w:rPr>
                <w:rFonts w:ascii="Arial" w:hAnsi="Arial" w:eastAsia="Arial"/>
                <w:b w:val="0"/>
                <w:sz w:val="14"/>
              </w:rPr>
              <w:t>DevSecOps / Architecture</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 for GitNexus</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Testability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Unit, component, integration, contract, security, voice, AI, and fitness tests can be automated.</w:t>
            </w:r>
          </w:p>
        </w:tc>
        <w:tc>
          <w:tcPr>
            <w:tcW w:type="dxa" w:w="2088"/>
            <w:vAlign w:val="top"/>
          </w:tcPr>
          <w:p>
            <w:pPr>
              <w:spacing w:after="0" w:line="240" w:lineRule="auto"/>
              <w:jc w:val="left"/>
            </w:pPr>
            <w:r>
              <w:rPr>
                <w:rFonts w:ascii="Arial" w:hAnsi="Arial" w:eastAsia="Arial"/>
              </w:rPr>
            </w:r>
            <w:r>
              <w:rPr>
                <w:rFonts w:ascii="Arial" w:hAnsi="Arial" w:eastAsia="Arial"/>
                <w:b w:val="0"/>
                <w:sz w:val="14"/>
              </w:rPr>
              <w:t>QA / Developers</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Observability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Metrics, traces, logs, audit events, dashboards, alerts, and evidence fields exist.</w:t>
            </w:r>
          </w:p>
        </w:tc>
        <w:tc>
          <w:tcPr>
            <w:tcW w:type="dxa" w:w="2088"/>
            <w:vAlign w:val="top"/>
          </w:tcPr>
          <w:p>
            <w:pPr>
              <w:spacing w:after="0" w:line="240" w:lineRule="auto"/>
              <w:jc w:val="left"/>
            </w:pPr>
            <w:r>
              <w:rPr>
                <w:rFonts w:ascii="Arial" w:hAnsi="Arial" w:eastAsia="Arial"/>
              </w:rPr>
            </w:r>
            <w:r>
              <w:rPr>
                <w:rFonts w:ascii="Arial" w:hAnsi="Arial" w:eastAsia="Arial"/>
                <w:b w:val="0"/>
                <w:sz w:val="14"/>
              </w:rPr>
              <w:t>SRE / DevSecOps</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Reversibility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Rollback, forward-fix, compensation, restore, feature-flag, or retirement path is defined and tested.</w:t>
            </w:r>
          </w:p>
        </w:tc>
        <w:tc>
          <w:tcPr>
            <w:tcW w:type="dxa" w:w="2088"/>
            <w:vAlign w:val="top"/>
          </w:tcPr>
          <w:p>
            <w:pPr>
              <w:spacing w:after="0" w:line="240" w:lineRule="auto"/>
              <w:jc w:val="left"/>
            </w:pPr>
            <w:r>
              <w:rPr>
                <w:rFonts w:ascii="Arial" w:hAnsi="Arial" w:eastAsia="Arial"/>
              </w:rPr>
            </w:r>
            <w:r>
              <w:rPr>
                <w:rFonts w:ascii="Arial" w:hAnsi="Arial" w:eastAsia="Arial"/>
                <w:b w:val="0"/>
                <w:sz w:val="14"/>
              </w:rPr>
              <w:t>DevSecOps / DBA</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r>
        <w:tc>
          <w:tcPr>
            <w:tcW w:type="dxa" w:w="2232"/>
            <w:vAlign w:val="top"/>
            <w:shd w:fill="F2F2F2"/>
          </w:tcPr>
          <w:p>
            <w:pPr>
              <w:spacing w:after="0" w:line="240" w:lineRule="auto"/>
              <w:jc w:val="left"/>
            </w:pPr>
            <w:r>
              <w:rPr>
                <w:rFonts w:ascii="Arial" w:hAnsi="Arial" w:eastAsia="Arial"/>
                <w:b/>
              </w:rPr>
            </w:r>
            <w:r>
              <w:rPr>
                <w:rFonts w:ascii="Arial" w:hAnsi="Arial" w:eastAsia="Arial"/>
                <w:b w:val="0"/>
                <w:sz w:val="14"/>
              </w:rPr>
              <w:t>Classification Gate</w:t>
            </w:r>
          </w:p>
        </w:tc>
        <w:tc>
          <w:tcPr>
            <w:tcW w:type="dxa" w:w="4824"/>
            <w:vAlign w:val="top"/>
          </w:tcPr>
          <w:p>
            <w:pPr>
              <w:spacing w:after="0" w:line="240" w:lineRule="auto"/>
              <w:jc w:val="left"/>
            </w:pPr>
            <w:r>
              <w:rPr>
                <w:rFonts w:ascii="Arial" w:hAnsi="Arial" w:eastAsia="Arial"/>
              </w:rPr>
            </w:r>
            <w:r>
              <w:rPr>
                <w:rFonts w:ascii="Arial" w:hAnsi="Arial" w:eastAsia="Arial"/>
                <w:b w:val="0"/>
                <w:sz w:val="14"/>
              </w:rPr>
              <w:t>Data handled by the component has storage, routing, logging, retention, model eligibility, and transcript/index rules.</w:t>
            </w:r>
          </w:p>
        </w:tc>
        <w:tc>
          <w:tcPr>
            <w:tcW w:type="dxa" w:w="2088"/>
            <w:vAlign w:val="top"/>
          </w:tcPr>
          <w:p>
            <w:pPr>
              <w:spacing w:after="0" w:line="240" w:lineRule="auto"/>
              <w:jc w:val="left"/>
            </w:pPr>
            <w:r>
              <w:rPr>
                <w:rFonts w:ascii="Arial" w:hAnsi="Arial" w:eastAsia="Arial"/>
              </w:rPr>
            </w:r>
            <w:r>
              <w:rPr>
                <w:rFonts w:ascii="Arial" w:hAnsi="Arial" w:eastAsia="Arial"/>
                <w:b w:val="0"/>
                <w:sz w:val="14"/>
              </w:rPr>
              <w:t>Security / Data Governance</w:t>
            </w:r>
          </w:p>
        </w:tc>
        <w:tc>
          <w:tcPr>
            <w:tcW w:type="dxa" w:w="1224"/>
            <w:vAlign w:val="top"/>
          </w:tcPr>
          <w:p>
            <w:pPr>
              <w:spacing w:after="0" w:line="240" w:lineRule="auto"/>
              <w:jc w:val="left"/>
            </w:pPr>
            <w:r>
              <w:rPr>
                <w:rFonts w:ascii="Arial" w:hAnsi="Arial" w:eastAsia="Arial"/>
              </w:rPr>
            </w:r>
            <w:r>
              <w:rPr>
                <w:rFonts w:ascii="Arial" w:hAnsi="Arial" w:eastAsia="Arial"/>
                <w:b w:val="0"/>
                <w:sz w:val="14"/>
              </w:rPr>
              <w:t>Required</w:t>
            </w:r>
          </w:p>
        </w:tc>
      </w:tr>
    </w:tbl>
    <w:p>
      <w:pPr>
        <w:spacing w:after="100" w:line="252" w:lineRule="auto"/>
      </w:pPr>
    </w:p>
    <w:p>
      <w:pPr>
        <w:pStyle w:val="Heading1"/>
        <w:spacing w:before="160" w:after="80"/>
      </w:pPr>
      <w:r>
        <w:rPr>
          <w:rFonts w:ascii="Arial" w:hAnsi="Arial" w:eastAsia="Arial"/>
          <w:b w:val="0"/>
          <w:i w:val="0"/>
        </w:rPr>
        <w:t>12. Quarterly Technology Refresh Procedure</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864"/>
            <w:shd w:fill="1F4E79"/>
            <w:vAlign w:val="top"/>
          </w:tcPr>
          <w:p>
            <w:pPr>
              <w:spacing w:after="0" w:line="240" w:lineRule="auto"/>
              <w:jc w:val="left"/>
            </w:pPr>
            <w:r>
              <w:rPr>
                <w:rFonts w:ascii="Arial" w:hAnsi="Arial" w:eastAsia="Arial"/>
              </w:rPr>
            </w:r>
            <w:r>
              <w:rPr>
                <w:rFonts w:ascii="Arial" w:hAnsi="Arial" w:eastAsia="Arial"/>
                <w:b/>
                <w:color w:val="FFFFFF"/>
                <w:sz w:val="14"/>
              </w:rPr>
              <w:t>Step</w:t>
            </w:r>
          </w:p>
        </w:tc>
        <w:tc>
          <w:tcPr>
            <w:tcW w:type="dxa" w:w="5760"/>
            <w:shd w:fill="1F4E79"/>
            <w:vAlign w:val="top"/>
          </w:tcPr>
          <w:p>
            <w:pPr>
              <w:spacing w:after="0" w:line="240" w:lineRule="auto"/>
              <w:jc w:val="left"/>
            </w:pPr>
            <w:r>
              <w:rPr>
                <w:rFonts w:ascii="Arial" w:hAnsi="Arial" w:eastAsia="Arial"/>
              </w:rPr>
            </w:r>
            <w:r>
              <w:rPr>
                <w:rFonts w:ascii="Arial" w:hAnsi="Arial" w:eastAsia="Arial"/>
                <w:b/>
                <w:color w:val="FFFFFF"/>
                <w:sz w:val="14"/>
              </w:rPr>
              <w:t>Activity</w:t>
            </w:r>
          </w:p>
        </w:tc>
        <w:tc>
          <w:tcPr>
            <w:tcW w:type="dxa" w:w="3744"/>
            <w:shd w:fill="1F4E79"/>
            <w:vAlign w:val="top"/>
          </w:tcPr>
          <w:p>
            <w:pPr>
              <w:spacing w:after="0" w:line="240" w:lineRule="auto"/>
              <w:jc w:val="left"/>
            </w:pPr>
            <w:r>
              <w:rPr>
                <w:rFonts w:ascii="Arial" w:hAnsi="Arial" w:eastAsia="Arial"/>
              </w:rPr>
            </w:r>
            <w:r>
              <w:rPr>
                <w:rFonts w:ascii="Arial" w:hAnsi="Arial" w:eastAsia="Arial"/>
                <w:b/>
                <w:color w:val="FFFFFF"/>
                <w:sz w:val="14"/>
              </w:rPr>
              <w:t>Output / Evidence</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T1</w:t>
            </w:r>
          </w:p>
        </w:tc>
        <w:tc>
          <w:tcPr>
            <w:tcW w:type="dxa" w:w="5760"/>
            <w:vAlign w:val="top"/>
          </w:tcPr>
          <w:p>
            <w:pPr>
              <w:spacing w:after="0" w:line="240" w:lineRule="auto"/>
              <w:jc w:val="left"/>
            </w:pPr>
            <w:r>
              <w:rPr>
                <w:rFonts w:ascii="Arial" w:hAnsi="Arial" w:eastAsia="Arial"/>
              </w:rPr>
            </w:r>
            <w:r>
              <w:rPr>
                <w:rFonts w:ascii="Arial" w:hAnsi="Arial" w:eastAsia="Arial"/>
                <w:b w:val="0"/>
                <w:sz w:val="14"/>
              </w:rPr>
              <w:t>Inventory all approved, conditional, evaluation, transition, deprecated, and not-approved components.</w:t>
            </w:r>
          </w:p>
        </w:tc>
        <w:tc>
          <w:tcPr>
            <w:tcW w:type="dxa" w:w="3744"/>
            <w:vAlign w:val="top"/>
          </w:tcPr>
          <w:p>
            <w:pPr>
              <w:spacing w:after="0" w:line="240" w:lineRule="auto"/>
              <w:jc w:val="left"/>
            </w:pPr>
            <w:r>
              <w:rPr>
                <w:rFonts w:ascii="Arial" w:hAnsi="Arial" w:eastAsia="Arial"/>
              </w:rPr>
            </w:r>
            <w:r>
              <w:rPr>
                <w:rFonts w:ascii="Arial" w:hAnsi="Arial" w:eastAsia="Arial"/>
                <w:b w:val="0"/>
                <w:sz w:val="14"/>
              </w:rPr>
              <w:t>Updated technology register and owner confirmation.</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T2</w:t>
            </w:r>
          </w:p>
        </w:tc>
        <w:tc>
          <w:tcPr>
            <w:tcW w:type="dxa" w:w="5760"/>
            <w:vAlign w:val="top"/>
          </w:tcPr>
          <w:p>
            <w:pPr>
              <w:spacing w:after="0" w:line="240" w:lineRule="auto"/>
              <w:jc w:val="left"/>
            </w:pPr>
            <w:r>
              <w:rPr>
                <w:rFonts w:ascii="Arial" w:hAnsi="Arial" w:eastAsia="Arial"/>
              </w:rPr>
            </w:r>
            <w:r>
              <w:rPr>
                <w:rFonts w:ascii="Arial" w:hAnsi="Arial" w:eastAsia="Arial"/>
                <w:b w:val="0"/>
                <w:sz w:val="14"/>
              </w:rPr>
              <w:t>Review vendor releases, CVEs, licensing posture, support windows, supply-chain incidents, and compatibility risks.</w:t>
            </w:r>
          </w:p>
        </w:tc>
        <w:tc>
          <w:tcPr>
            <w:tcW w:type="dxa" w:w="3744"/>
            <w:vAlign w:val="top"/>
          </w:tcPr>
          <w:p>
            <w:pPr>
              <w:spacing w:after="0" w:line="240" w:lineRule="auto"/>
              <w:jc w:val="left"/>
            </w:pPr>
            <w:r>
              <w:rPr>
                <w:rFonts w:ascii="Arial" w:hAnsi="Arial" w:eastAsia="Arial"/>
              </w:rPr>
            </w:r>
            <w:r>
              <w:rPr>
                <w:rFonts w:ascii="Arial" w:hAnsi="Arial" w:eastAsia="Arial"/>
                <w:b w:val="0"/>
                <w:sz w:val="14"/>
              </w:rPr>
              <w:t>Risk and lifecycle assessment.</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T3</w:t>
            </w:r>
          </w:p>
        </w:tc>
        <w:tc>
          <w:tcPr>
            <w:tcW w:type="dxa" w:w="5760"/>
            <w:vAlign w:val="top"/>
          </w:tcPr>
          <w:p>
            <w:pPr>
              <w:spacing w:after="0" w:line="240" w:lineRule="auto"/>
              <w:jc w:val="left"/>
            </w:pPr>
            <w:r>
              <w:rPr>
                <w:rFonts w:ascii="Arial" w:hAnsi="Arial" w:eastAsia="Arial"/>
              </w:rPr>
            </w:r>
            <w:r>
              <w:rPr>
                <w:rFonts w:ascii="Arial" w:hAnsi="Arial" w:eastAsia="Arial"/>
                <w:b w:val="0"/>
                <w:sz w:val="14"/>
              </w:rPr>
              <w:t>Run compatibility PoC for major/minor upgrades and sensitive AI/runtime/voice/code-intelligence components.</w:t>
            </w:r>
          </w:p>
        </w:tc>
        <w:tc>
          <w:tcPr>
            <w:tcW w:type="dxa" w:w="3744"/>
            <w:vAlign w:val="top"/>
          </w:tcPr>
          <w:p>
            <w:pPr>
              <w:spacing w:after="0" w:line="240" w:lineRule="auto"/>
              <w:jc w:val="left"/>
            </w:pPr>
            <w:r>
              <w:rPr>
                <w:rFonts w:ascii="Arial" w:hAnsi="Arial" w:eastAsia="Arial"/>
              </w:rPr>
            </w:r>
            <w:r>
              <w:rPr>
                <w:rFonts w:ascii="Arial" w:hAnsi="Arial" w:eastAsia="Arial"/>
                <w:b w:val="0"/>
                <w:sz w:val="14"/>
              </w:rPr>
              <w:t>PoC report, test results, migration notes.</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T4</w:t>
            </w:r>
          </w:p>
        </w:tc>
        <w:tc>
          <w:tcPr>
            <w:tcW w:type="dxa" w:w="5760"/>
            <w:vAlign w:val="top"/>
          </w:tcPr>
          <w:p>
            <w:pPr>
              <w:spacing w:after="0" w:line="240" w:lineRule="auto"/>
              <w:jc w:val="left"/>
            </w:pPr>
            <w:r>
              <w:rPr>
                <w:rFonts w:ascii="Arial" w:hAnsi="Arial" w:eastAsia="Arial"/>
              </w:rPr>
            </w:r>
            <w:r>
              <w:rPr>
                <w:rFonts w:ascii="Arial" w:hAnsi="Arial" w:eastAsia="Arial"/>
                <w:b w:val="0"/>
                <w:sz w:val="14"/>
              </w:rPr>
              <w:t>Assess impact against the 20 Enterprise Design Principles and AVCI evidence.</w:t>
            </w:r>
          </w:p>
        </w:tc>
        <w:tc>
          <w:tcPr>
            <w:tcW w:type="dxa" w:w="3744"/>
            <w:vAlign w:val="top"/>
          </w:tcPr>
          <w:p>
            <w:pPr>
              <w:spacing w:after="0" w:line="240" w:lineRule="auto"/>
              <w:jc w:val="left"/>
            </w:pPr>
            <w:r>
              <w:rPr>
                <w:rFonts w:ascii="Arial" w:hAnsi="Arial" w:eastAsia="Arial"/>
              </w:rPr>
            </w:r>
            <w:r>
              <w:rPr>
                <w:rFonts w:ascii="Arial" w:hAnsi="Arial" w:eastAsia="Arial"/>
                <w:b w:val="0"/>
                <w:sz w:val="14"/>
              </w:rPr>
              <w:t>Design Principles Impact Assessment.</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T5</w:t>
            </w:r>
          </w:p>
        </w:tc>
        <w:tc>
          <w:tcPr>
            <w:tcW w:type="dxa" w:w="5760"/>
            <w:vAlign w:val="top"/>
          </w:tcPr>
          <w:p>
            <w:pPr>
              <w:spacing w:after="0" w:line="240" w:lineRule="auto"/>
              <w:jc w:val="left"/>
            </w:pPr>
            <w:r>
              <w:rPr>
                <w:rFonts w:ascii="Arial" w:hAnsi="Arial" w:eastAsia="Arial"/>
              </w:rPr>
            </w:r>
            <w:r>
              <w:rPr>
                <w:rFonts w:ascii="Arial" w:hAnsi="Arial" w:eastAsia="Arial"/>
                <w:b w:val="0"/>
                <w:sz w:val="14"/>
              </w:rPr>
              <w:t>Update Golden Source versions, dependency locks, devcontainers, CI images, model aliases, Dograh flows, GitNexus indexes, and documentation.</w:t>
            </w:r>
          </w:p>
        </w:tc>
        <w:tc>
          <w:tcPr>
            <w:tcW w:type="dxa" w:w="3744"/>
            <w:vAlign w:val="top"/>
          </w:tcPr>
          <w:p>
            <w:pPr>
              <w:spacing w:after="0" w:line="240" w:lineRule="auto"/>
              <w:jc w:val="left"/>
            </w:pPr>
            <w:r>
              <w:rPr>
                <w:rFonts w:ascii="Arial" w:hAnsi="Arial" w:eastAsia="Arial"/>
              </w:rPr>
            </w:r>
            <w:r>
              <w:rPr>
                <w:rFonts w:ascii="Arial" w:hAnsi="Arial" w:eastAsia="Arial"/>
                <w:b w:val="0"/>
                <w:sz w:val="14"/>
              </w:rPr>
              <w:t>MR with signed artifacts, SBOM, and pipeline evidence.</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T6</w:t>
            </w:r>
          </w:p>
        </w:tc>
        <w:tc>
          <w:tcPr>
            <w:tcW w:type="dxa" w:w="5760"/>
            <w:vAlign w:val="top"/>
          </w:tcPr>
          <w:p>
            <w:pPr>
              <w:spacing w:after="0" w:line="240" w:lineRule="auto"/>
              <w:jc w:val="left"/>
            </w:pPr>
            <w:r>
              <w:rPr>
                <w:rFonts w:ascii="Arial" w:hAnsi="Arial" w:eastAsia="Arial"/>
              </w:rPr>
            </w:r>
            <w:r>
              <w:rPr>
                <w:rFonts w:ascii="Arial" w:hAnsi="Arial" w:eastAsia="Arial"/>
                <w:b w:val="0"/>
                <w:sz w:val="14"/>
              </w:rPr>
              <w:t>Promote through DEV/INT/UAT/STG/PROD gates with rollback or forward-fix plan.</w:t>
            </w:r>
          </w:p>
        </w:tc>
        <w:tc>
          <w:tcPr>
            <w:tcW w:type="dxa" w:w="3744"/>
            <w:vAlign w:val="top"/>
          </w:tcPr>
          <w:p>
            <w:pPr>
              <w:spacing w:after="0" w:line="240" w:lineRule="auto"/>
              <w:jc w:val="left"/>
            </w:pPr>
            <w:r>
              <w:rPr>
                <w:rFonts w:ascii="Arial" w:hAnsi="Arial" w:eastAsia="Arial"/>
              </w:rPr>
            </w:r>
            <w:r>
              <w:rPr>
                <w:rFonts w:ascii="Arial" w:hAnsi="Arial" w:eastAsia="Arial"/>
                <w:b w:val="0"/>
                <w:sz w:val="14"/>
              </w:rPr>
              <w:t>CAB approval, deployment evidence, post-release verification.</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T7</w:t>
            </w:r>
          </w:p>
        </w:tc>
        <w:tc>
          <w:tcPr>
            <w:tcW w:type="dxa" w:w="5760"/>
            <w:vAlign w:val="top"/>
          </w:tcPr>
          <w:p>
            <w:pPr>
              <w:spacing w:after="0" w:line="240" w:lineRule="auto"/>
              <w:jc w:val="left"/>
            </w:pPr>
            <w:r>
              <w:rPr>
                <w:rFonts w:ascii="Arial" w:hAnsi="Arial" w:eastAsia="Arial"/>
              </w:rPr>
            </w:r>
            <w:r>
              <w:rPr>
                <w:rFonts w:ascii="Arial" w:hAnsi="Arial" w:eastAsia="Arial"/>
                <w:b w:val="0"/>
                <w:sz w:val="14"/>
              </w:rPr>
              <w:t>Retire superseded components or quarantine stale references from LLM Wiki/Obsidian/GitNexus indexes.</w:t>
            </w:r>
          </w:p>
        </w:tc>
        <w:tc>
          <w:tcPr>
            <w:tcW w:type="dxa" w:w="3744"/>
            <w:vAlign w:val="top"/>
          </w:tcPr>
          <w:p>
            <w:pPr>
              <w:spacing w:after="0" w:line="240" w:lineRule="auto"/>
              <w:jc w:val="left"/>
            </w:pPr>
            <w:r>
              <w:rPr>
                <w:rFonts w:ascii="Arial" w:hAnsi="Arial" w:eastAsia="Arial"/>
              </w:rPr>
            </w:r>
            <w:r>
              <w:rPr>
                <w:rFonts w:ascii="Arial" w:hAnsi="Arial" w:eastAsia="Arial"/>
                <w:b w:val="0"/>
                <w:sz w:val="14"/>
              </w:rPr>
              <w:t>Retirement record and knowledge/index refresh evidence.</w:t>
            </w:r>
          </w:p>
        </w:tc>
      </w:tr>
      <w:tr>
        <w:tc>
          <w:tcPr>
            <w:tcW w:type="dxa" w:w="864"/>
            <w:vAlign w:val="top"/>
            <w:shd w:fill="F2F2F2"/>
          </w:tcPr>
          <w:p>
            <w:pPr>
              <w:spacing w:after="0" w:line="240" w:lineRule="auto"/>
              <w:jc w:val="left"/>
            </w:pPr>
            <w:r>
              <w:rPr>
                <w:rFonts w:ascii="Arial" w:hAnsi="Arial" w:eastAsia="Arial"/>
                <w:b/>
              </w:rPr>
            </w:r>
            <w:r>
              <w:rPr>
                <w:rFonts w:ascii="Arial" w:hAnsi="Arial" w:eastAsia="Arial"/>
                <w:b w:val="0"/>
                <w:sz w:val="14"/>
              </w:rPr>
              <w:t>T8</w:t>
            </w:r>
          </w:p>
        </w:tc>
        <w:tc>
          <w:tcPr>
            <w:tcW w:type="dxa" w:w="5760"/>
            <w:vAlign w:val="top"/>
          </w:tcPr>
          <w:p>
            <w:pPr>
              <w:spacing w:after="0" w:line="240" w:lineRule="auto"/>
              <w:jc w:val="left"/>
            </w:pPr>
            <w:r>
              <w:rPr>
                <w:rFonts w:ascii="Arial" w:hAnsi="Arial" w:eastAsia="Arial"/>
              </w:rPr>
            </w:r>
            <w:r>
              <w:rPr>
                <w:rFonts w:ascii="Arial" w:hAnsi="Arial" w:eastAsia="Arial"/>
                <w:b w:val="0"/>
                <w:sz w:val="14"/>
              </w:rPr>
              <w:t>Run post-refresh verification for model routing, voice flows, code-intelligence access, security scans, and observability.</w:t>
            </w:r>
          </w:p>
        </w:tc>
        <w:tc>
          <w:tcPr>
            <w:tcW w:type="dxa" w:w="3744"/>
            <w:vAlign w:val="top"/>
          </w:tcPr>
          <w:p>
            <w:pPr>
              <w:spacing w:after="0" w:line="240" w:lineRule="auto"/>
              <w:jc w:val="left"/>
            </w:pPr>
            <w:r>
              <w:rPr>
                <w:rFonts w:ascii="Arial" w:hAnsi="Arial" w:eastAsia="Arial"/>
              </w:rPr>
            </w:r>
            <w:r>
              <w:rPr>
                <w:rFonts w:ascii="Arial" w:hAnsi="Arial" w:eastAsia="Arial"/>
                <w:b w:val="0"/>
                <w:sz w:val="14"/>
              </w:rPr>
              <w:t>Refresh acceptance report and evidence pack.</w:t>
            </w:r>
          </w:p>
        </w:tc>
      </w:tr>
    </w:tbl>
    <w:p>
      <w:pPr>
        <w:spacing w:after="100" w:line="252" w:lineRule="auto"/>
      </w:pPr>
    </w:p>
    <w:p>
      <w:pPr>
        <w:pStyle w:val="Heading1"/>
        <w:spacing w:before="160" w:after="80"/>
      </w:pPr>
      <w:r>
        <w:rPr>
          <w:rFonts w:ascii="Arial" w:hAnsi="Arial" w:eastAsia="Arial"/>
          <w:b w:val="0"/>
          <w:i w:val="0"/>
        </w:rPr>
        <w:t>13. RACI for Technology Stack Governance</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c>
          <w:tcPr>
            <w:tcW w:type="dxa" w:w="2880"/>
            <w:shd w:fill="1F4E79"/>
            <w:vAlign w:val="top"/>
          </w:tcPr>
          <w:p>
            <w:pPr>
              <w:spacing w:after="0" w:line="240" w:lineRule="auto"/>
              <w:jc w:val="left"/>
            </w:pPr>
            <w:r>
              <w:rPr>
                <w:rFonts w:ascii="Arial" w:hAnsi="Arial" w:eastAsia="Arial"/>
              </w:rPr>
            </w:r>
            <w:r>
              <w:rPr>
                <w:rFonts w:ascii="Arial" w:hAnsi="Arial" w:eastAsia="Arial"/>
                <w:b/>
                <w:color w:val="FFFFFF"/>
                <w:sz w:val="13"/>
              </w:rPr>
              <w:t>Activity</w:t>
            </w:r>
          </w:p>
        </w:tc>
        <w:tc>
          <w:tcPr>
            <w:tcW w:type="dxa" w:w="1224"/>
            <w:shd w:fill="1F4E79"/>
            <w:vAlign w:val="top"/>
          </w:tcPr>
          <w:p>
            <w:pPr>
              <w:spacing w:after="0" w:line="240" w:lineRule="auto"/>
              <w:jc w:val="left"/>
            </w:pPr>
            <w:r>
              <w:rPr>
                <w:rFonts w:ascii="Arial" w:hAnsi="Arial" w:eastAsia="Arial"/>
              </w:rPr>
            </w:r>
            <w:r>
              <w:rPr>
                <w:rFonts w:ascii="Arial" w:hAnsi="Arial" w:eastAsia="Arial"/>
                <w:b/>
                <w:color w:val="FFFFFF"/>
                <w:sz w:val="13"/>
              </w:rPr>
              <w:t>Solutions Architect / IT Head</w:t>
            </w:r>
          </w:p>
        </w:tc>
        <w:tc>
          <w:tcPr>
            <w:tcW w:type="dxa" w:w="1224"/>
            <w:shd w:fill="1F4E79"/>
            <w:vAlign w:val="top"/>
          </w:tcPr>
          <w:p>
            <w:pPr>
              <w:spacing w:after="0" w:line="240" w:lineRule="auto"/>
              <w:jc w:val="left"/>
            </w:pPr>
            <w:r>
              <w:rPr>
                <w:rFonts w:ascii="Arial" w:hAnsi="Arial" w:eastAsia="Arial"/>
              </w:rPr>
            </w:r>
            <w:r>
              <w:rPr>
                <w:rFonts w:ascii="Arial" w:hAnsi="Arial" w:eastAsia="Arial"/>
                <w:b/>
                <w:color w:val="FFFFFF"/>
                <w:sz w:val="13"/>
              </w:rPr>
              <w:t>Enterprise Architect</w:t>
            </w:r>
          </w:p>
        </w:tc>
        <w:tc>
          <w:tcPr>
            <w:tcW w:type="dxa" w:w="1080"/>
            <w:shd w:fill="1F4E79"/>
            <w:vAlign w:val="top"/>
          </w:tcPr>
          <w:p>
            <w:pPr>
              <w:spacing w:after="0" w:line="240" w:lineRule="auto"/>
              <w:jc w:val="left"/>
            </w:pPr>
            <w:r>
              <w:rPr>
                <w:rFonts w:ascii="Arial" w:hAnsi="Arial" w:eastAsia="Arial"/>
              </w:rPr>
            </w:r>
            <w:r>
              <w:rPr>
                <w:rFonts w:ascii="Arial" w:hAnsi="Arial" w:eastAsia="Arial"/>
                <w:b/>
                <w:color w:val="FFFFFF"/>
                <w:sz w:val="13"/>
              </w:rPr>
              <w:t>DevSecOps</w:t>
            </w:r>
          </w:p>
        </w:tc>
        <w:tc>
          <w:tcPr>
            <w:tcW w:type="dxa" w:w="936"/>
            <w:shd w:fill="1F4E79"/>
            <w:vAlign w:val="top"/>
          </w:tcPr>
          <w:p>
            <w:pPr>
              <w:spacing w:after="0" w:line="240" w:lineRule="auto"/>
              <w:jc w:val="left"/>
            </w:pPr>
            <w:r>
              <w:rPr>
                <w:rFonts w:ascii="Arial" w:hAnsi="Arial" w:eastAsia="Arial"/>
              </w:rPr>
            </w:r>
            <w:r>
              <w:rPr>
                <w:rFonts w:ascii="Arial" w:hAnsi="Arial" w:eastAsia="Arial"/>
                <w:b/>
                <w:color w:val="FFFFFF"/>
                <w:sz w:val="13"/>
              </w:rPr>
              <w:t>Security</w:t>
            </w:r>
          </w:p>
        </w:tc>
        <w:tc>
          <w:tcPr>
            <w:tcW w:type="dxa" w:w="720"/>
            <w:shd w:fill="1F4E79"/>
            <w:vAlign w:val="top"/>
          </w:tcPr>
          <w:p>
            <w:pPr>
              <w:spacing w:after="0" w:line="240" w:lineRule="auto"/>
              <w:jc w:val="left"/>
            </w:pPr>
            <w:r>
              <w:rPr>
                <w:rFonts w:ascii="Arial" w:hAnsi="Arial" w:eastAsia="Arial"/>
              </w:rPr>
            </w:r>
            <w:r>
              <w:rPr>
                <w:rFonts w:ascii="Arial" w:hAnsi="Arial" w:eastAsia="Arial"/>
                <w:b/>
                <w:color w:val="FFFFFF"/>
                <w:sz w:val="13"/>
              </w:rPr>
              <w:t>QA</w:t>
            </w:r>
          </w:p>
        </w:tc>
        <w:tc>
          <w:tcPr>
            <w:tcW w:type="dxa" w:w="1224"/>
            <w:shd w:fill="1F4E79"/>
            <w:vAlign w:val="top"/>
          </w:tcPr>
          <w:p>
            <w:pPr>
              <w:spacing w:after="0" w:line="240" w:lineRule="auto"/>
              <w:jc w:val="left"/>
            </w:pPr>
            <w:r>
              <w:rPr>
                <w:rFonts w:ascii="Arial" w:hAnsi="Arial" w:eastAsia="Arial"/>
              </w:rPr>
            </w:r>
            <w:r>
              <w:rPr>
                <w:rFonts w:ascii="Arial" w:hAnsi="Arial" w:eastAsia="Arial"/>
                <w:b/>
                <w:color w:val="FFFFFF"/>
                <w:sz w:val="13"/>
              </w:rPr>
              <w:t>DBA / Platform</w:t>
            </w:r>
          </w:p>
        </w:tc>
        <w:tc>
          <w:tcPr>
            <w:tcW w:type="dxa" w:w="1080"/>
            <w:shd w:fill="1F4E79"/>
            <w:vAlign w:val="top"/>
          </w:tcPr>
          <w:p>
            <w:pPr>
              <w:spacing w:after="0" w:line="240" w:lineRule="auto"/>
              <w:jc w:val="left"/>
            </w:pPr>
            <w:r>
              <w:rPr>
                <w:rFonts w:ascii="Arial" w:hAnsi="Arial" w:eastAsia="Arial"/>
              </w:rPr>
            </w:r>
            <w:r>
              <w:rPr>
                <w:rFonts w:ascii="Arial" w:hAnsi="Arial" w:eastAsia="Arial"/>
                <w:b/>
                <w:color w:val="FFFFFF"/>
                <w:sz w:val="13"/>
              </w:rPr>
              <w:t>Internal Audit</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Approve stack baseline</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R</w:t>
            </w:r>
          </w:p>
        </w:tc>
        <w:tc>
          <w:tcPr>
            <w:tcW w:type="dxa" w:w="1080"/>
            <w:vAlign w:val="top"/>
          </w:tcPr>
          <w:p>
            <w:pPr>
              <w:spacing w:after="0" w:line="240" w:lineRule="auto"/>
              <w:jc w:val="left"/>
            </w:pPr>
            <w:r>
              <w:rPr>
                <w:rFonts w:ascii="Arial" w:hAnsi="Arial" w:eastAsia="Arial"/>
              </w:rPr>
            </w:r>
            <w:r>
              <w:rPr>
                <w:rFonts w:ascii="Arial" w:hAnsi="Arial" w:eastAsia="Arial"/>
                <w:b w:val="0"/>
                <w:sz w:val="13"/>
              </w:rPr>
              <w:t>C</w:t>
            </w:r>
          </w:p>
        </w:tc>
        <w:tc>
          <w:tcPr>
            <w:tcW w:type="dxa" w:w="936"/>
            <w:vAlign w:val="top"/>
          </w:tcPr>
          <w:p>
            <w:pPr>
              <w:spacing w:after="0" w:line="240" w:lineRule="auto"/>
              <w:jc w:val="left"/>
            </w:pPr>
            <w:r>
              <w:rPr>
                <w:rFonts w:ascii="Arial" w:hAnsi="Arial" w:eastAsia="Arial"/>
              </w:rPr>
            </w:r>
            <w:r>
              <w:rPr>
                <w:rFonts w:ascii="Arial" w:hAnsi="Arial" w:eastAsia="Arial"/>
                <w:b w:val="0"/>
                <w:sz w:val="13"/>
              </w:rPr>
              <w:t>C</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Evaluate new technology</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R</w:t>
            </w:r>
          </w:p>
        </w:tc>
        <w:tc>
          <w:tcPr>
            <w:tcW w:type="dxa" w:w="1080"/>
            <w:vAlign w:val="top"/>
          </w:tcPr>
          <w:p>
            <w:pPr>
              <w:spacing w:after="0" w:line="240" w:lineRule="auto"/>
              <w:jc w:val="left"/>
            </w:pPr>
            <w:r>
              <w:rPr>
                <w:rFonts w:ascii="Arial" w:hAnsi="Arial" w:eastAsia="Arial"/>
              </w:rPr>
            </w:r>
            <w:r>
              <w:rPr>
                <w:rFonts w:ascii="Arial" w:hAnsi="Arial" w:eastAsia="Arial"/>
                <w:b w:val="0"/>
                <w:sz w:val="13"/>
              </w:rPr>
              <w:t>R</w:t>
            </w:r>
          </w:p>
        </w:tc>
        <w:tc>
          <w:tcPr>
            <w:tcW w:type="dxa" w:w="936"/>
            <w:vAlign w:val="top"/>
          </w:tcPr>
          <w:p>
            <w:pPr>
              <w:spacing w:after="0" w:line="240" w:lineRule="auto"/>
              <w:jc w:val="left"/>
            </w:pPr>
            <w:r>
              <w:rPr>
                <w:rFonts w:ascii="Arial" w:hAnsi="Arial" w:eastAsia="Arial"/>
              </w:rPr>
            </w:r>
            <w:r>
              <w:rPr>
                <w:rFonts w:ascii="Arial" w:hAnsi="Arial" w:eastAsia="Arial"/>
                <w:b w:val="0"/>
                <w:sz w:val="13"/>
              </w:rPr>
              <w:t>C</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Approve AI model route</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R</w:t>
            </w:r>
          </w:p>
        </w:tc>
        <w:tc>
          <w:tcPr>
            <w:tcW w:type="dxa" w:w="936"/>
            <w:vAlign w:val="top"/>
          </w:tcPr>
          <w:p>
            <w:pPr>
              <w:spacing w:after="0" w:line="240" w:lineRule="auto"/>
              <w:jc w:val="left"/>
            </w:pPr>
            <w:r>
              <w:rPr>
                <w:rFonts w:ascii="Arial" w:hAnsi="Arial" w:eastAsia="Arial"/>
              </w:rPr>
            </w:r>
            <w:r>
              <w:rPr>
                <w:rFonts w:ascii="Arial" w:hAnsi="Arial" w:eastAsia="Arial"/>
                <w:b w:val="0"/>
                <w:sz w:val="13"/>
              </w:rPr>
              <w:t>R</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I</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Approve Dograh voice pilot</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R</w:t>
            </w:r>
          </w:p>
        </w:tc>
        <w:tc>
          <w:tcPr>
            <w:tcW w:type="dxa" w:w="1080"/>
            <w:vAlign w:val="top"/>
          </w:tcPr>
          <w:p>
            <w:pPr>
              <w:spacing w:after="0" w:line="240" w:lineRule="auto"/>
              <w:jc w:val="left"/>
            </w:pPr>
            <w:r>
              <w:rPr>
                <w:rFonts w:ascii="Arial" w:hAnsi="Arial" w:eastAsia="Arial"/>
              </w:rPr>
            </w:r>
            <w:r>
              <w:rPr>
                <w:rFonts w:ascii="Arial" w:hAnsi="Arial" w:eastAsia="Arial"/>
                <w:b w:val="0"/>
                <w:sz w:val="13"/>
              </w:rPr>
              <w:t>R</w:t>
            </w:r>
          </w:p>
        </w:tc>
        <w:tc>
          <w:tcPr>
            <w:tcW w:type="dxa" w:w="936"/>
            <w:vAlign w:val="top"/>
          </w:tcPr>
          <w:p>
            <w:pPr>
              <w:spacing w:after="0" w:line="240" w:lineRule="auto"/>
              <w:jc w:val="left"/>
            </w:pPr>
            <w:r>
              <w:rPr>
                <w:rFonts w:ascii="Arial" w:hAnsi="Arial" w:eastAsia="Arial"/>
              </w:rPr>
            </w:r>
            <w:r>
              <w:rPr>
                <w:rFonts w:ascii="Arial" w:hAnsi="Arial" w:eastAsia="Arial"/>
                <w:b w:val="0"/>
                <w:sz w:val="13"/>
              </w:rPr>
              <w:t>R</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Approve GitNexus code-intelligence pilot</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R</w:t>
            </w:r>
          </w:p>
        </w:tc>
        <w:tc>
          <w:tcPr>
            <w:tcW w:type="dxa" w:w="1080"/>
            <w:vAlign w:val="top"/>
          </w:tcPr>
          <w:p>
            <w:pPr>
              <w:spacing w:after="0" w:line="240" w:lineRule="auto"/>
              <w:jc w:val="left"/>
            </w:pPr>
            <w:r>
              <w:rPr>
                <w:rFonts w:ascii="Arial" w:hAnsi="Arial" w:eastAsia="Arial"/>
              </w:rPr>
            </w:r>
            <w:r>
              <w:rPr>
                <w:rFonts w:ascii="Arial" w:hAnsi="Arial" w:eastAsia="Arial"/>
                <w:b w:val="0"/>
                <w:sz w:val="13"/>
              </w:rPr>
              <w:t>R</w:t>
            </w:r>
          </w:p>
        </w:tc>
        <w:tc>
          <w:tcPr>
            <w:tcW w:type="dxa" w:w="936"/>
            <w:vAlign w:val="top"/>
          </w:tcPr>
          <w:p>
            <w:pPr>
              <w:spacing w:after="0" w:line="240" w:lineRule="auto"/>
              <w:jc w:val="left"/>
            </w:pPr>
            <w:r>
              <w:rPr>
                <w:rFonts w:ascii="Arial" w:hAnsi="Arial" w:eastAsia="Arial"/>
              </w:rPr>
            </w:r>
            <w:r>
              <w:rPr>
                <w:rFonts w:ascii="Arial" w:hAnsi="Arial" w:eastAsia="Arial"/>
                <w:b w:val="0"/>
                <w:sz w:val="13"/>
              </w:rPr>
              <w:t>R</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Define fitness functions</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R</w:t>
            </w:r>
          </w:p>
        </w:tc>
        <w:tc>
          <w:tcPr>
            <w:tcW w:type="dxa" w:w="1080"/>
            <w:vAlign w:val="top"/>
          </w:tcPr>
          <w:p>
            <w:pPr>
              <w:spacing w:after="0" w:line="240" w:lineRule="auto"/>
              <w:jc w:val="left"/>
            </w:pPr>
            <w:r>
              <w:rPr>
                <w:rFonts w:ascii="Arial" w:hAnsi="Arial" w:eastAsia="Arial"/>
              </w:rPr>
            </w:r>
            <w:r>
              <w:rPr>
                <w:rFonts w:ascii="Arial" w:hAnsi="Arial" w:eastAsia="Arial"/>
                <w:b w:val="0"/>
                <w:sz w:val="13"/>
              </w:rPr>
              <w:t>R</w:t>
            </w:r>
          </w:p>
        </w:tc>
        <w:tc>
          <w:tcPr>
            <w:tcW w:type="dxa" w:w="936"/>
            <w:vAlign w:val="top"/>
          </w:tcPr>
          <w:p>
            <w:pPr>
              <w:spacing w:after="0" w:line="240" w:lineRule="auto"/>
              <w:jc w:val="left"/>
            </w:pPr>
            <w:r>
              <w:rPr>
                <w:rFonts w:ascii="Arial" w:hAnsi="Arial" w:eastAsia="Arial"/>
              </w:rPr>
            </w:r>
            <w:r>
              <w:rPr>
                <w:rFonts w:ascii="Arial" w:hAnsi="Arial" w:eastAsia="Arial"/>
                <w:b w:val="0"/>
                <w:sz w:val="13"/>
              </w:rPr>
              <w:t>C</w:t>
            </w:r>
          </w:p>
        </w:tc>
        <w:tc>
          <w:tcPr>
            <w:tcW w:type="dxa" w:w="720"/>
            <w:vAlign w:val="top"/>
          </w:tcPr>
          <w:p>
            <w:pPr>
              <w:spacing w:after="0" w:line="240" w:lineRule="auto"/>
              <w:jc w:val="left"/>
            </w:pPr>
            <w:r>
              <w:rPr>
                <w:rFonts w:ascii="Arial" w:hAnsi="Arial" w:eastAsia="Arial"/>
              </w:rPr>
            </w:r>
            <w:r>
              <w:rPr>
                <w:rFonts w:ascii="Arial" w:hAnsi="Arial" w:eastAsia="Arial"/>
                <w:b w:val="0"/>
                <w:sz w:val="13"/>
              </w:rPr>
              <w:t>R</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Maintain Golden Source versions</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R</w:t>
            </w:r>
          </w:p>
        </w:tc>
        <w:tc>
          <w:tcPr>
            <w:tcW w:type="dxa" w:w="936"/>
            <w:vAlign w:val="top"/>
          </w:tcPr>
          <w:p>
            <w:pPr>
              <w:spacing w:after="0" w:line="240" w:lineRule="auto"/>
              <w:jc w:val="left"/>
            </w:pPr>
            <w:r>
              <w:rPr>
                <w:rFonts w:ascii="Arial" w:hAnsi="Arial" w:eastAsia="Arial"/>
              </w:rPr>
            </w:r>
            <w:r>
              <w:rPr>
                <w:rFonts w:ascii="Arial" w:hAnsi="Arial" w:eastAsia="Arial"/>
                <w:b w:val="0"/>
                <w:sz w:val="13"/>
              </w:rPr>
              <w:t>C</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R</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Review security posture</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C</w:t>
            </w:r>
          </w:p>
        </w:tc>
        <w:tc>
          <w:tcPr>
            <w:tcW w:type="dxa" w:w="936"/>
            <w:vAlign w:val="top"/>
          </w:tcPr>
          <w:p>
            <w:pPr>
              <w:spacing w:after="0" w:line="240" w:lineRule="auto"/>
              <w:jc w:val="left"/>
            </w:pPr>
            <w:r>
              <w:rPr>
                <w:rFonts w:ascii="Arial" w:hAnsi="Arial" w:eastAsia="Arial"/>
              </w:rPr>
            </w:r>
            <w:r>
              <w:rPr>
                <w:rFonts w:ascii="Arial" w:hAnsi="Arial" w:eastAsia="Arial"/>
                <w:b w:val="0"/>
                <w:sz w:val="13"/>
              </w:rPr>
              <w:t>R</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Validate test evidence</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C</w:t>
            </w:r>
          </w:p>
        </w:tc>
        <w:tc>
          <w:tcPr>
            <w:tcW w:type="dxa" w:w="936"/>
            <w:vAlign w:val="top"/>
          </w:tcPr>
          <w:p>
            <w:pPr>
              <w:spacing w:after="0" w:line="240" w:lineRule="auto"/>
              <w:jc w:val="left"/>
            </w:pPr>
            <w:r>
              <w:rPr>
                <w:rFonts w:ascii="Arial" w:hAnsi="Arial" w:eastAsia="Arial"/>
              </w:rPr>
            </w:r>
            <w:r>
              <w:rPr>
                <w:rFonts w:ascii="Arial" w:hAnsi="Arial" w:eastAsia="Arial"/>
                <w:b w:val="0"/>
                <w:sz w:val="13"/>
              </w:rPr>
              <w:t>C</w:t>
            </w:r>
          </w:p>
        </w:tc>
        <w:tc>
          <w:tcPr>
            <w:tcW w:type="dxa" w:w="720"/>
            <w:vAlign w:val="top"/>
          </w:tcPr>
          <w:p>
            <w:pPr>
              <w:spacing w:after="0" w:line="240" w:lineRule="auto"/>
              <w:jc w:val="left"/>
            </w:pPr>
            <w:r>
              <w:rPr>
                <w:rFonts w:ascii="Arial" w:hAnsi="Arial" w:eastAsia="Arial"/>
              </w:rPr>
            </w:r>
            <w:r>
              <w:rPr>
                <w:rFonts w:ascii="Arial" w:hAnsi="Arial" w:eastAsia="Arial"/>
                <w:b w:val="0"/>
                <w:sz w:val="13"/>
              </w:rPr>
              <w:t>R</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I</w:t>
            </w:r>
          </w:p>
        </w:tc>
      </w:tr>
      <w:tr>
        <w:tc>
          <w:tcPr>
            <w:tcW w:type="dxa" w:w="2880"/>
            <w:vAlign w:val="top"/>
            <w:shd w:fill="F2F2F2"/>
          </w:tcPr>
          <w:p>
            <w:pPr>
              <w:spacing w:after="0" w:line="240" w:lineRule="auto"/>
              <w:jc w:val="left"/>
            </w:pPr>
            <w:r>
              <w:rPr>
                <w:rFonts w:ascii="Arial" w:hAnsi="Arial" w:eastAsia="Arial"/>
                <w:b/>
              </w:rPr>
            </w:r>
            <w:r>
              <w:rPr>
                <w:rFonts w:ascii="Arial" w:hAnsi="Arial" w:eastAsia="Arial"/>
                <w:b w:val="0"/>
                <w:sz w:val="13"/>
              </w:rPr>
              <w:t>Review compliance evidence</w:t>
            </w:r>
          </w:p>
        </w:tc>
        <w:tc>
          <w:tcPr>
            <w:tcW w:type="dxa" w:w="1224"/>
            <w:vAlign w:val="top"/>
          </w:tcPr>
          <w:p>
            <w:pPr>
              <w:spacing w:after="0" w:line="240" w:lineRule="auto"/>
              <w:jc w:val="left"/>
            </w:pPr>
            <w:r>
              <w:rPr>
                <w:rFonts w:ascii="Arial" w:hAnsi="Arial" w:eastAsia="Arial"/>
              </w:rPr>
            </w:r>
            <w:r>
              <w:rPr>
                <w:rFonts w:ascii="Arial" w:hAnsi="Arial" w:eastAsia="Arial"/>
                <w:b w:val="0"/>
                <w:sz w:val="13"/>
              </w:rPr>
              <w:t>A</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C</w:t>
            </w:r>
          </w:p>
        </w:tc>
        <w:tc>
          <w:tcPr>
            <w:tcW w:type="dxa" w:w="936"/>
            <w:vAlign w:val="top"/>
          </w:tcPr>
          <w:p>
            <w:pPr>
              <w:spacing w:after="0" w:line="240" w:lineRule="auto"/>
              <w:jc w:val="left"/>
            </w:pPr>
            <w:r>
              <w:rPr>
                <w:rFonts w:ascii="Arial" w:hAnsi="Arial" w:eastAsia="Arial"/>
              </w:rPr>
            </w:r>
            <w:r>
              <w:rPr>
                <w:rFonts w:ascii="Arial" w:hAnsi="Arial" w:eastAsia="Arial"/>
                <w:b w:val="0"/>
                <w:sz w:val="13"/>
              </w:rPr>
              <w:t>C</w:t>
            </w:r>
          </w:p>
        </w:tc>
        <w:tc>
          <w:tcPr>
            <w:tcW w:type="dxa" w:w="720"/>
            <w:vAlign w:val="top"/>
          </w:tcPr>
          <w:p>
            <w:pPr>
              <w:spacing w:after="0" w:line="240" w:lineRule="auto"/>
              <w:jc w:val="left"/>
            </w:pPr>
            <w:r>
              <w:rPr>
                <w:rFonts w:ascii="Arial" w:hAnsi="Arial" w:eastAsia="Arial"/>
              </w:rPr>
            </w:r>
            <w:r>
              <w:rPr>
                <w:rFonts w:ascii="Arial" w:hAnsi="Arial" w:eastAsia="Arial"/>
                <w:b w:val="0"/>
                <w:sz w:val="13"/>
              </w:rPr>
              <w:t>C</w:t>
            </w:r>
          </w:p>
        </w:tc>
        <w:tc>
          <w:tcPr>
            <w:tcW w:type="dxa" w:w="1224"/>
            <w:vAlign w:val="top"/>
          </w:tcPr>
          <w:p>
            <w:pPr>
              <w:spacing w:after="0" w:line="240" w:lineRule="auto"/>
              <w:jc w:val="left"/>
            </w:pPr>
            <w:r>
              <w:rPr>
                <w:rFonts w:ascii="Arial" w:hAnsi="Arial" w:eastAsia="Arial"/>
              </w:rPr>
            </w:r>
            <w:r>
              <w:rPr>
                <w:rFonts w:ascii="Arial" w:hAnsi="Arial" w:eastAsia="Arial"/>
                <w:b w:val="0"/>
                <w:sz w:val="13"/>
              </w:rPr>
              <w:t>C</w:t>
            </w:r>
          </w:p>
        </w:tc>
        <w:tc>
          <w:tcPr>
            <w:tcW w:type="dxa" w:w="1080"/>
            <w:vAlign w:val="top"/>
          </w:tcPr>
          <w:p>
            <w:pPr>
              <w:spacing w:after="0" w:line="240" w:lineRule="auto"/>
              <w:jc w:val="left"/>
            </w:pPr>
            <w:r>
              <w:rPr>
                <w:rFonts w:ascii="Arial" w:hAnsi="Arial" w:eastAsia="Arial"/>
              </w:rPr>
            </w:r>
            <w:r>
              <w:rPr>
                <w:rFonts w:ascii="Arial" w:hAnsi="Arial" w:eastAsia="Arial"/>
                <w:b w:val="0"/>
                <w:sz w:val="13"/>
              </w:rPr>
              <w:t>R</w:t>
            </w:r>
          </w:p>
        </w:tc>
      </w:tr>
    </w:tbl>
    <w:p>
      <w:pPr>
        <w:spacing w:after="100" w:line="252" w:lineRule="auto"/>
      </w:pPr>
    </w:p>
    <w:p>
      <w:pPr>
        <w:pStyle w:val="Heading1"/>
        <w:spacing w:before="160" w:after="80"/>
      </w:pPr>
      <w:r>
        <w:rPr>
          <w:rFonts w:ascii="Arial" w:hAnsi="Arial" w:eastAsia="Arial"/>
          <w:b w:val="0"/>
          <w:i w:val="0"/>
        </w:rPr>
        <w:t>14. Implementation Roadmap</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088"/>
            <w:shd w:fill="1F4E79"/>
            <w:vAlign w:val="top"/>
          </w:tcPr>
          <w:p>
            <w:pPr>
              <w:spacing w:after="0" w:line="240" w:lineRule="auto"/>
              <w:jc w:val="left"/>
            </w:pPr>
            <w:r>
              <w:rPr>
                <w:rFonts w:ascii="Arial" w:hAnsi="Arial" w:eastAsia="Arial"/>
              </w:rPr>
            </w:r>
            <w:r>
              <w:rPr>
                <w:rFonts w:ascii="Arial" w:hAnsi="Arial" w:eastAsia="Arial"/>
                <w:b/>
                <w:color w:val="FFFFFF"/>
                <w:sz w:val="14"/>
              </w:rPr>
              <w:t>Phase</w:t>
            </w:r>
          </w:p>
        </w:tc>
        <w:tc>
          <w:tcPr>
            <w:tcW w:type="dxa" w:w="3960"/>
            <w:shd w:fill="1F4E79"/>
            <w:vAlign w:val="top"/>
          </w:tcPr>
          <w:p>
            <w:pPr>
              <w:spacing w:after="0" w:line="240" w:lineRule="auto"/>
              <w:jc w:val="left"/>
            </w:pPr>
            <w:r>
              <w:rPr>
                <w:rFonts w:ascii="Arial" w:hAnsi="Arial" w:eastAsia="Arial"/>
              </w:rPr>
            </w:r>
            <w:r>
              <w:rPr>
                <w:rFonts w:ascii="Arial" w:hAnsi="Arial" w:eastAsia="Arial"/>
                <w:b/>
                <w:color w:val="FFFFFF"/>
                <w:sz w:val="14"/>
              </w:rPr>
              <w:t>Target Outcome</w:t>
            </w:r>
          </w:p>
        </w:tc>
        <w:tc>
          <w:tcPr>
            <w:tcW w:type="dxa" w:w="4320"/>
            <w:shd w:fill="1F4E79"/>
            <w:vAlign w:val="top"/>
          </w:tcPr>
          <w:p>
            <w:pPr>
              <w:spacing w:after="0" w:line="240" w:lineRule="auto"/>
              <w:jc w:val="left"/>
            </w:pPr>
            <w:r>
              <w:rPr>
                <w:rFonts w:ascii="Arial" w:hAnsi="Arial" w:eastAsia="Arial"/>
              </w:rPr>
            </w:r>
            <w:r>
              <w:rPr>
                <w:rFonts w:ascii="Arial" w:hAnsi="Arial" w:eastAsia="Arial"/>
                <w:b/>
                <w:color w:val="FFFFFF"/>
                <w:sz w:val="14"/>
              </w:rPr>
              <w:t>Primary Deliverables</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1 - Baseline approval</w:t>
            </w:r>
          </w:p>
        </w:tc>
        <w:tc>
          <w:tcPr>
            <w:tcW w:type="dxa" w:w="3960"/>
            <w:vAlign w:val="top"/>
          </w:tcPr>
          <w:p>
            <w:pPr>
              <w:spacing w:after="0" w:line="240" w:lineRule="auto"/>
              <w:jc w:val="left"/>
            </w:pPr>
            <w:r>
              <w:rPr>
                <w:rFonts w:ascii="Arial" w:hAnsi="Arial" w:eastAsia="Arial"/>
              </w:rPr>
            </w:r>
            <w:r>
              <w:rPr>
                <w:rFonts w:ascii="Arial" w:hAnsi="Arial" w:eastAsia="Arial"/>
                <w:b w:val="0"/>
                <w:sz w:val="14"/>
              </w:rPr>
              <w:t>v9.0 accepted as the approved stack standard.</w:t>
            </w:r>
          </w:p>
        </w:tc>
        <w:tc>
          <w:tcPr>
            <w:tcW w:type="dxa" w:w="4320"/>
            <w:vAlign w:val="top"/>
          </w:tcPr>
          <w:p>
            <w:pPr>
              <w:spacing w:after="0" w:line="240" w:lineRule="auto"/>
              <w:jc w:val="left"/>
            </w:pPr>
            <w:r>
              <w:rPr>
                <w:rFonts w:ascii="Arial" w:hAnsi="Arial" w:eastAsia="Arial"/>
              </w:rPr>
            </w:r>
            <w:r>
              <w:rPr>
                <w:rFonts w:ascii="Arial" w:hAnsi="Arial" w:eastAsia="Arial"/>
                <w:b w:val="0"/>
                <w:sz w:val="14"/>
              </w:rPr>
              <w:t>Architecture Board approval, ADR/TDL linkage, document register update.</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2 - Lifecycle refresh</w:t>
            </w:r>
          </w:p>
        </w:tc>
        <w:tc>
          <w:tcPr>
            <w:tcW w:type="dxa" w:w="3960"/>
            <w:vAlign w:val="top"/>
          </w:tcPr>
          <w:p>
            <w:pPr>
              <w:spacing w:after="0" w:line="240" w:lineRule="auto"/>
              <w:jc w:val="left"/>
            </w:pPr>
            <w:r>
              <w:rPr>
                <w:rFonts w:ascii="Arial" w:hAnsi="Arial" w:eastAsia="Arial"/>
              </w:rPr>
            </w:r>
            <w:r>
              <w:rPr>
                <w:rFonts w:ascii="Arial" w:hAnsi="Arial" w:eastAsia="Arial"/>
                <w:b w:val="0"/>
                <w:sz w:val="14"/>
              </w:rPr>
              <w:t>Obsolete or risky baselines are identified and upgrade paths are approved.</w:t>
            </w:r>
          </w:p>
        </w:tc>
        <w:tc>
          <w:tcPr>
            <w:tcW w:type="dxa" w:w="4320"/>
            <w:vAlign w:val="top"/>
          </w:tcPr>
          <w:p>
            <w:pPr>
              <w:spacing w:after="0" w:line="240" w:lineRule="auto"/>
              <w:jc w:val="left"/>
            </w:pPr>
            <w:r>
              <w:rPr>
                <w:rFonts w:ascii="Arial" w:hAnsi="Arial" w:eastAsia="Arial"/>
              </w:rPr>
            </w:r>
            <w:r>
              <w:rPr>
                <w:rFonts w:ascii="Arial" w:hAnsi="Arial" w:eastAsia="Arial"/>
                <w:b w:val="0"/>
                <w:sz w:val="14"/>
              </w:rPr>
              <w:t>Version register, EOL report, risk treatment, waiver register.</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3 - Golden Source pinning</w:t>
            </w:r>
          </w:p>
        </w:tc>
        <w:tc>
          <w:tcPr>
            <w:tcW w:type="dxa" w:w="3960"/>
            <w:vAlign w:val="top"/>
          </w:tcPr>
          <w:p>
            <w:pPr>
              <w:spacing w:after="0" w:line="240" w:lineRule="auto"/>
              <w:jc w:val="left"/>
            </w:pPr>
            <w:r>
              <w:rPr>
                <w:rFonts w:ascii="Arial" w:hAnsi="Arial" w:eastAsia="Arial"/>
              </w:rPr>
            </w:r>
            <w:r>
              <w:rPr>
                <w:rFonts w:ascii="Arial" w:hAnsi="Arial" w:eastAsia="Arial"/>
                <w:b w:val="0"/>
                <w:sz w:val="14"/>
              </w:rPr>
              <w:t>Exact patch versions and approved binaries/images are locked.</w:t>
            </w:r>
          </w:p>
        </w:tc>
        <w:tc>
          <w:tcPr>
            <w:tcW w:type="dxa" w:w="4320"/>
            <w:vAlign w:val="top"/>
          </w:tcPr>
          <w:p>
            <w:pPr>
              <w:spacing w:after="0" w:line="240" w:lineRule="auto"/>
              <w:jc w:val="left"/>
            </w:pPr>
            <w:r>
              <w:rPr>
                <w:rFonts w:ascii="Arial" w:hAnsi="Arial" w:eastAsia="Arial"/>
              </w:rPr>
            </w:r>
            <w:r>
              <w:rPr>
                <w:rFonts w:ascii="Arial" w:hAnsi="Arial" w:eastAsia="Arial"/>
                <w:b w:val="0"/>
                <w:sz w:val="14"/>
              </w:rPr>
              <w:t>Dependency locks, base images, devcontainers, registry entries, SBOM baselines, signed artifacts.</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4 - Enforcement tooling</w:t>
            </w:r>
          </w:p>
        </w:tc>
        <w:tc>
          <w:tcPr>
            <w:tcW w:type="dxa" w:w="3960"/>
            <w:vAlign w:val="top"/>
          </w:tcPr>
          <w:p>
            <w:pPr>
              <w:spacing w:after="0" w:line="240" w:lineRule="auto"/>
              <w:jc w:val="left"/>
            </w:pPr>
            <w:r>
              <w:rPr>
                <w:rFonts w:ascii="Arial" w:hAnsi="Arial" w:eastAsia="Arial"/>
              </w:rPr>
            </w:r>
            <w:r>
              <w:rPr>
                <w:rFonts w:ascii="Arial" w:hAnsi="Arial" w:eastAsia="Arial"/>
                <w:b w:val="0"/>
                <w:sz w:val="14"/>
              </w:rPr>
              <w:t>Architecture, security, supply-chain, and code-intelligence fitness tools are active.</w:t>
            </w:r>
          </w:p>
        </w:tc>
        <w:tc>
          <w:tcPr>
            <w:tcW w:type="dxa" w:w="4320"/>
            <w:vAlign w:val="top"/>
          </w:tcPr>
          <w:p>
            <w:pPr>
              <w:spacing w:after="0" w:line="240" w:lineRule="auto"/>
              <w:jc w:val="left"/>
            </w:pPr>
            <w:r>
              <w:rPr>
                <w:rFonts w:ascii="Arial" w:hAnsi="Arial" w:eastAsia="Arial"/>
              </w:rPr>
            </w:r>
            <w:r>
              <w:rPr>
                <w:rFonts w:ascii="Arial" w:hAnsi="Arial" w:eastAsia="Arial"/>
                <w:b w:val="0"/>
                <w:sz w:val="14"/>
              </w:rPr>
              <w:t>ArchUnit, Semgrep, SonarQube, OPA/Conftest, GitNexus read-only graph, contract tests, mutation gates.</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5 - AI runtime governance</w:t>
            </w:r>
          </w:p>
        </w:tc>
        <w:tc>
          <w:tcPr>
            <w:tcW w:type="dxa" w:w="3960"/>
            <w:vAlign w:val="top"/>
          </w:tcPr>
          <w:p>
            <w:pPr>
              <w:spacing w:after="0" w:line="240" w:lineRule="auto"/>
              <w:jc w:val="left"/>
            </w:pPr>
            <w:r>
              <w:rPr>
                <w:rFonts w:ascii="Arial" w:hAnsi="Arial" w:eastAsia="Arial"/>
              </w:rPr>
            </w:r>
            <w:r>
              <w:rPr>
                <w:rFonts w:ascii="Arial" w:hAnsi="Arial" w:eastAsia="Arial"/>
                <w:b w:val="0"/>
                <w:sz w:val="14"/>
              </w:rPr>
              <w:t>Model routing, guardrails, Harness, SBAC, OPA, and audit are integrated.</w:t>
            </w:r>
          </w:p>
        </w:tc>
        <w:tc>
          <w:tcPr>
            <w:tcW w:type="dxa" w:w="4320"/>
            <w:vAlign w:val="top"/>
          </w:tcPr>
          <w:p>
            <w:pPr>
              <w:spacing w:after="0" w:line="240" w:lineRule="auto"/>
              <w:jc w:val="left"/>
            </w:pPr>
            <w:r>
              <w:rPr>
                <w:rFonts w:ascii="Arial" w:hAnsi="Arial" w:eastAsia="Arial"/>
              </w:rPr>
            </w:r>
            <w:r>
              <w:rPr>
                <w:rFonts w:ascii="Arial" w:hAnsi="Arial" w:eastAsia="Arial"/>
                <w:b w:val="0"/>
                <w:sz w:val="14"/>
              </w:rPr>
              <w:t>LiteLLM aliases, guardrail policies, Harness action vocabulary, trust thresholds.</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6 - Dograh controlled pilot</w:t>
            </w:r>
          </w:p>
        </w:tc>
        <w:tc>
          <w:tcPr>
            <w:tcW w:type="dxa" w:w="3960"/>
            <w:vAlign w:val="top"/>
          </w:tcPr>
          <w:p>
            <w:pPr>
              <w:spacing w:after="0" w:line="240" w:lineRule="auto"/>
              <w:jc w:val="left"/>
            </w:pPr>
            <w:r>
              <w:rPr>
                <w:rFonts w:ascii="Arial" w:hAnsi="Arial" w:eastAsia="Arial"/>
              </w:rPr>
            </w:r>
            <w:r>
              <w:rPr>
                <w:rFonts w:ascii="Arial" w:hAnsi="Arial" w:eastAsia="Arial"/>
                <w:b w:val="0"/>
                <w:sz w:val="14"/>
              </w:rPr>
              <w:t>Voice-agent orchestration is tested without weakening STT/TTS provider independence or AIRA control path.</w:t>
            </w:r>
          </w:p>
        </w:tc>
        <w:tc>
          <w:tcPr>
            <w:tcW w:type="dxa" w:w="4320"/>
            <w:vAlign w:val="top"/>
          </w:tcPr>
          <w:p>
            <w:pPr>
              <w:spacing w:after="0" w:line="240" w:lineRule="auto"/>
              <w:jc w:val="left"/>
            </w:pPr>
            <w:r>
              <w:rPr>
                <w:rFonts w:ascii="Arial" w:hAnsi="Arial" w:eastAsia="Arial"/>
              </w:rPr>
            </w:r>
            <w:r>
              <w:rPr>
                <w:rFonts w:ascii="Arial" w:hAnsi="Arial" w:eastAsia="Arial"/>
                <w:b w:val="0"/>
                <w:sz w:val="14"/>
              </w:rPr>
              <w:t>Dograh sandbox, voice safety tests, transcript retention policy, fallback plan, security scan.</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7 - GitNexus controlled pilot</w:t>
            </w:r>
          </w:p>
        </w:tc>
        <w:tc>
          <w:tcPr>
            <w:tcW w:type="dxa" w:w="3960"/>
            <w:vAlign w:val="top"/>
          </w:tcPr>
          <w:p>
            <w:pPr>
              <w:spacing w:after="0" w:line="240" w:lineRule="auto"/>
              <w:jc w:val="left"/>
            </w:pPr>
            <w:r>
              <w:rPr>
                <w:rFonts w:ascii="Arial" w:hAnsi="Arial" w:eastAsia="Arial"/>
              </w:rPr>
            </w:r>
            <w:r>
              <w:rPr>
                <w:rFonts w:ascii="Arial" w:hAnsi="Arial" w:eastAsia="Arial"/>
                <w:b w:val="0"/>
                <w:sz w:val="14"/>
              </w:rPr>
              <w:t>Code-intelligence graph is available to approved AI assistants under read-only MCP governance.</w:t>
            </w:r>
          </w:p>
        </w:tc>
        <w:tc>
          <w:tcPr>
            <w:tcW w:type="dxa" w:w="4320"/>
            <w:vAlign w:val="top"/>
          </w:tcPr>
          <w:p>
            <w:pPr>
              <w:spacing w:after="0" w:line="240" w:lineRule="auto"/>
              <w:jc w:val="left"/>
            </w:pPr>
            <w:r>
              <w:rPr>
                <w:rFonts w:ascii="Arial" w:hAnsi="Arial" w:eastAsia="Arial"/>
              </w:rPr>
            </w:r>
            <w:r>
              <w:rPr>
                <w:rFonts w:ascii="Arial" w:hAnsi="Arial" w:eastAsia="Arial"/>
                <w:b w:val="0"/>
                <w:sz w:val="14"/>
              </w:rPr>
              <w:t>GitNexus sandbox, secret-scan evidence, index freshness check, MCP permission policy, blocked write-action test.</w:t>
            </w:r>
          </w:p>
        </w:tc>
      </w:tr>
      <w:tr>
        <w:tc>
          <w:tcPr>
            <w:tcW w:type="dxa" w:w="2088"/>
            <w:vAlign w:val="top"/>
            <w:shd w:fill="F2F2F2"/>
          </w:tcPr>
          <w:p>
            <w:pPr>
              <w:spacing w:after="0" w:line="240" w:lineRule="auto"/>
              <w:jc w:val="left"/>
            </w:pPr>
            <w:r>
              <w:rPr>
                <w:rFonts w:ascii="Arial" w:hAnsi="Arial" w:eastAsia="Arial"/>
                <w:b/>
              </w:rPr>
            </w:r>
            <w:r>
              <w:rPr>
                <w:rFonts w:ascii="Arial" w:hAnsi="Arial" w:eastAsia="Arial"/>
                <w:b w:val="0"/>
                <w:sz w:val="14"/>
              </w:rPr>
              <w:t>Phase 8 - Production readiness</w:t>
            </w:r>
          </w:p>
        </w:tc>
        <w:tc>
          <w:tcPr>
            <w:tcW w:type="dxa" w:w="3960"/>
            <w:vAlign w:val="top"/>
          </w:tcPr>
          <w:p>
            <w:pPr>
              <w:spacing w:after="0" w:line="240" w:lineRule="auto"/>
              <w:jc w:val="left"/>
            </w:pPr>
            <w:r>
              <w:rPr>
                <w:rFonts w:ascii="Arial" w:hAnsi="Arial" w:eastAsia="Arial"/>
              </w:rPr>
            </w:r>
            <w:r>
              <w:rPr>
                <w:rFonts w:ascii="Arial" w:hAnsi="Arial" w:eastAsia="Arial"/>
                <w:b w:val="0"/>
                <w:sz w:val="14"/>
              </w:rPr>
              <w:t>Stack passes readiness, reversibility, observability, and compliance gates.</w:t>
            </w:r>
          </w:p>
        </w:tc>
        <w:tc>
          <w:tcPr>
            <w:tcW w:type="dxa" w:w="4320"/>
            <w:vAlign w:val="top"/>
          </w:tcPr>
          <w:p>
            <w:pPr>
              <w:spacing w:after="0" w:line="240" w:lineRule="auto"/>
              <w:jc w:val="left"/>
            </w:pPr>
            <w:r>
              <w:rPr>
                <w:rFonts w:ascii="Arial" w:hAnsi="Arial" w:eastAsia="Arial"/>
              </w:rPr>
            </w:r>
            <w:r>
              <w:rPr>
                <w:rFonts w:ascii="Arial" w:hAnsi="Arial" w:eastAsia="Arial"/>
                <w:b w:val="0"/>
                <w:sz w:val="14"/>
              </w:rPr>
              <w:t>Production readiness report, restore tests, deployment rehearsal, CAB evidence.</w:t>
            </w:r>
          </w:p>
        </w:tc>
      </w:tr>
    </w:tbl>
    <w:p>
      <w:pPr>
        <w:spacing w:after="100" w:line="252" w:lineRule="auto"/>
      </w:pPr>
    </w:p>
    <w:p>
      <w:pPr>
        <w:pStyle w:val="Heading1"/>
        <w:spacing w:before="160" w:after="80"/>
      </w:pPr>
      <w:r>
        <w:rPr>
          <w:rFonts w:ascii="Arial" w:hAnsi="Arial" w:eastAsia="Arial"/>
          <w:b w:val="0"/>
          <w:i w:val="0"/>
        </w:rPr>
        <w:t>15. External Lifecycle Review Log</w:t>
      </w:r>
    </w:p>
    <w:p>
      <w:pPr>
        <w:spacing w:after="100" w:line="252" w:lineRule="auto"/>
      </w:pPr>
      <w:r>
        <w:rPr>
          <w:rFonts w:ascii="Arial" w:hAnsi="Arial" w:eastAsia="Arial"/>
          <w:b w:val="0"/>
          <w:i w:val="0"/>
        </w:rPr>
        <w:t>This section records the external lifecycle signals used during the v9.0 refresh. Exact patch selection remains a Golden Source decision and must be revalidated before implementation.</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728"/>
            <w:shd w:fill="1F4E79"/>
            <w:vAlign w:val="top"/>
          </w:tcPr>
          <w:p>
            <w:pPr>
              <w:spacing w:after="0" w:line="240" w:lineRule="auto"/>
              <w:jc w:val="left"/>
            </w:pPr>
            <w:r>
              <w:rPr>
                <w:rFonts w:ascii="Arial" w:hAnsi="Arial" w:eastAsia="Arial"/>
              </w:rPr>
            </w:r>
            <w:r>
              <w:rPr>
                <w:rFonts w:ascii="Arial" w:hAnsi="Arial" w:eastAsia="Arial"/>
                <w:b/>
                <w:color w:val="FFFFFF"/>
                <w:sz w:val="14"/>
              </w:rPr>
              <w:t>Area</w:t>
            </w:r>
          </w:p>
        </w:tc>
        <w:tc>
          <w:tcPr>
            <w:tcW w:type="dxa" w:w="4896"/>
            <w:shd w:fill="1F4E79"/>
            <w:vAlign w:val="top"/>
          </w:tcPr>
          <w:p>
            <w:pPr>
              <w:spacing w:after="0" w:line="240" w:lineRule="auto"/>
              <w:jc w:val="left"/>
            </w:pPr>
            <w:r>
              <w:rPr>
                <w:rFonts w:ascii="Arial" w:hAnsi="Arial" w:eastAsia="Arial"/>
              </w:rPr>
            </w:r>
            <w:r>
              <w:rPr>
                <w:rFonts w:ascii="Arial" w:hAnsi="Arial" w:eastAsia="Arial"/>
                <w:b/>
                <w:color w:val="FFFFFF"/>
                <w:sz w:val="14"/>
              </w:rPr>
              <w:t>Source / Evidence Reviewed</w:t>
            </w:r>
          </w:p>
        </w:tc>
        <w:tc>
          <w:tcPr>
            <w:tcW w:type="dxa" w:w="3744"/>
            <w:shd w:fill="1F4E79"/>
            <w:vAlign w:val="top"/>
          </w:tcPr>
          <w:p>
            <w:pPr>
              <w:spacing w:after="0" w:line="240" w:lineRule="auto"/>
              <w:jc w:val="left"/>
            </w:pPr>
            <w:r>
              <w:rPr>
                <w:rFonts w:ascii="Arial" w:hAnsi="Arial" w:eastAsia="Arial"/>
              </w:rPr>
            </w:r>
            <w:r>
              <w:rPr>
                <w:rFonts w:ascii="Arial" w:hAnsi="Arial" w:eastAsia="Arial"/>
                <w:b/>
                <w:color w:val="FFFFFF"/>
                <w:sz w:val="14"/>
              </w:rPr>
              <w:t>v9.0 Impact</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Dograh</w:t>
            </w:r>
          </w:p>
        </w:tc>
        <w:tc>
          <w:tcPr>
            <w:tcW w:type="dxa" w:w="4896"/>
            <w:vAlign w:val="top"/>
          </w:tcPr>
          <w:p>
            <w:pPr>
              <w:spacing w:after="0" w:line="240" w:lineRule="auto"/>
              <w:jc w:val="left"/>
            </w:pPr>
            <w:r>
              <w:rPr>
                <w:rFonts w:ascii="Arial" w:hAnsi="Arial" w:eastAsia="Arial"/>
              </w:rPr>
            </w:r>
            <w:r>
              <w:rPr>
                <w:rFonts w:ascii="Arial" w:hAnsi="Arial" w:eastAsia="Arial"/>
                <w:b w:val="0"/>
                <w:sz w:val="14"/>
              </w:rPr>
              <w:t>Dograh GitHub and project site describe a self-hostable, open-source voice agent platform with workflow builder and bring-your-own components.</w:t>
            </w:r>
          </w:p>
        </w:tc>
        <w:tc>
          <w:tcPr>
            <w:tcW w:type="dxa" w:w="3744"/>
            <w:vAlign w:val="top"/>
          </w:tcPr>
          <w:p>
            <w:pPr>
              <w:spacing w:after="0" w:line="240" w:lineRule="auto"/>
              <w:jc w:val="left"/>
            </w:pPr>
            <w:r>
              <w:rPr>
                <w:rFonts w:ascii="Arial" w:hAnsi="Arial" w:eastAsia="Arial"/>
              </w:rPr>
            </w:r>
            <w:r>
              <w:rPr>
                <w:rFonts w:ascii="Arial" w:hAnsi="Arial" w:eastAsia="Arial"/>
                <w:b w:val="0"/>
                <w:sz w:val="14"/>
              </w:rPr>
              <w:t>Add as Conditional / Controlled Evaluation voice-agent orchestration; not sole STT/TTS engine.</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GitNexus</w:t>
            </w:r>
          </w:p>
        </w:tc>
        <w:tc>
          <w:tcPr>
            <w:tcW w:type="dxa" w:w="4896"/>
            <w:vAlign w:val="top"/>
          </w:tcPr>
          <w:p>
            <w:pPr>
              <w:spacing w:after="0" w:line="240" w:lineRule="auto"/>
              <w:jc w:val="left"/>
            </w:pPr>
            <w:r>
              <w:rPr>
                <w:rFonts w:ascii="Arial" w:hAnsi="Arial" w:eastAsia="Arial"/>
              </w:rPr>
            </w:r>
            <w:r>
              <w:rPr>
                <w:rFonts w:ascii="Arial" w:hAnsi="Arial" w:eastAsia="Arial"/>
                <w:b w:val="0"/>
                <w:sz w:val="14"/>
              </w:rPr>
              <w:t>GitNexus GitHub/project materials describe repo indexing, MCP server integration, and codebase knowledge graph / zero-server code intelligence.</w:t>
            </w:r>
          </w:p>
        </w:tc>
        <w:tc>
          <w:tcPr>
            <w:tcW w:type="dxa" w:w="3744"/>
            <w:vAlign w:val="top"/>
          </w:tcPr>
          <w:p>
            <w:pPr>
              <w:spacing w:after="0" w:line="240" w:lineRule="auto"/>
              <w:jc w:val="left"/>
            </w:pPr>
            <w:r>
              <w:rPr>
                <w:rFonts w:ascii="Arial" w:hAnsi="Arial" w:eastAsia="Arial"/>
              </w:rPr>
            </w:r>
            <w:r>
              <w:rPr>
                <w:rFonts w:ascii="Arial" w:hAnsi="Arial" w:eastAsia="Arial"/>
                <w:b w:val="0"/>
                <w:sz w:val="14"/>
              </w:rPr>
              <w:t>Add as Conditional / Controlled Evaluation read-only code intelligence.</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Java</w:t>
            </w:r>
          </w:p>
        </w:tc>
        <w:tc>
          <w:tcPr>
            <w:tcW w:type="dxa" w:w="4896"/>
            <w:vAlign w:val="top"/>
          </w:tcPr>
          <w:p>
            <w:pPr>
              <w:spacing w:after="0" w:line="240" w:lineRule="auto"/>
              <w:jc w:val="left"/>
            </w:pPr>
            <w:r>
              <w:rPr>
                <w:rFonts w:ascii="Arial" w:hAnsi="Arial" w:eastAsia="Arial"/>
              </w:rPr>
            </w:r>
            <w:r>
              <w:rPr>
                <w:rFonts w:ascii="Arial" w:hAnsi="Arial" w:eastAsia="Arial"/>
                <w:b w:val="0"/>
                <w:sz w:val="14"/>
              </w:rPr>
              <w:t>Oracle/OpenJDK sources identify Java 25 as LTS and Java 26 as current GA/non-LTS update line.</w:t>
            </w:r>
          </w:p>
        </w:tc>
        <w:tc>
          <w:tcPr>
            <w:tcW w:type="dxa" w:w="3744"/>
            <w:vAlign w:val="top"/>
          </w:tcPr>
          <w:p>
            <w:pPr>
              <w:spacing w:after="0" w:line="240" w:lineRule="auto"/>
              <w:jc w:val="left"/>
            </w:pPr>
            <w:r>
              <w:rPr>
                <w:rFonts w:ascii="Arial" w:hAnsi="Arial" w:eastAsia="Arial"/>
              </w:rPr>
            </w:r>
            <w:r>
              <w:rPr>
                <w:rFonts w:ascii="Arial" w:hAnsi="Arial" w:eastAsia="Arial"/>
                <w:b w:val="0"/>
                <w:sz w:val="14"/>
              </w:rPr>
              <w:t>Java 25 LTS remains production primary; Java 26 is evaluation.</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Spring</w:t>
            </w:r>
          </w:p>
        </w:tc>
        <w:tc>
          <w:tcPr>
            <w:tcW w:type="dxa" w:w="4896"/>
            <w:vAlign w:val="top"/>
          </w:tcPr>
          <w:p>
            <w:pPr>
              <w:spacing w:after="0" w:line="240" w:lineRule="auto"/>
              <w:jc w:val="left"/>
            </w:pPr>
            <w:r>
              <w:rPr>
                <w:rFonts w:ascii="Arial" w:hAnsi="Arial" w:eastAsia="Arial"/>
              </w:rPr>
            </w:r>
            <w:r>
              <w:rPr>
                <w:rFonts w:ascii="Arial" w:hAnsi="Arial" w:eastAsia="Arial"/>
                <w:b w:val="0"/>
                <w:sz w:val="14"/>
              </w:rPr>
              <w:t>Spring release materials identify Spring Framework 7 / Spring Boot 4 generation and alignment.</w:t>
            </w:r>
          </w:p>
        </w:tc>
        <w:tc>
          <w:tcPr>
            <w:tcW w:type="dxa" w:w="3744"/>
            <w:vAlign w:val="top"/>
          </w:tcPr>
          <w:p>
            <w:pPr>
              <w:spacing w:after="0" w:line="240" w:lineRule="auto"/>
              <w:jc w:val="left"/>
            </w:pPr>
            <w:r>
              <w:rPr>
                <w:rFonts w:ascii="Arial" w:hAnsi="Arial" w:eastAsia="Arial"/>
              </w:rPr>
            </w:r>
            <w:r>
              <w:rPr>
                <w:rFonts w:ascii="Arial" w:hAnsi="Arial" w:eastAsia="Arial"/>
                <w:b w:val="0"/>
                <w:sz w:val="14"/>
              </w:rPr>
              <w:t>Spring Boot 4.x remains greenfield primary with compatibility gate.</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Frontend</w:t>
            </w:r>
          </w:p>
        </w:tc>
        <w:tc>
          <w:tcPr>
            <w:tcW w:type="dxa" w:w="4896"/>
            <w:vAlign w:val="top"/>
          </w:tcPr>
          <w:p>
            <w:pPr>
              <w:spacing w:after="0" w:line="240" w:lineRule="auto"/>
              <w:jc w:val="left"/>
            </w:pPr>
            <w:r>
              <w:rPr>
                <w:rFonts w:ascii="Arial" w:hAnsi="Arial" w:eastAsia="Arial"/>
              </w:rPr>
            </w:r>
            <w:r>
              <w:rPr>
                <w:rFonts w:ascii="Arial" w:hAnsi="Arial" w:eastAsia="Arial"/>
                <w:b w:val="0"/>
                <w:sz w:val="14"/>
              </w:rPr>
              <w:t>React docs list latest major as React 19.2; Next.js 16 and 16.2 release materials are current.</w:t>
            </w:r>
          </w:p>
        </w:tc>
        <w:tc>
          <w:tcPr>
            <w:tcW w:type="dxa" w:w="3744"/>
            <w:vAlign w:val="top"/>
          </w:tcPr>
          <w:p>
            <w:pPr>
              <w:spacing w:after="0" w:line="240" w:lineRule="auto"/>
              <w:jc w:val="left"/>
            </w:pPr>
            <w:r>
              <w:rPr>
                <w:rFonts w:ascii="Arial" w:hAnsi="Arial" w:eastAsia="Arial"/>
              </w:rPr>
            </w:r>
            <w:r>
              <w:rPr>
                <w:rFonts w:ascii="Arial" w:hAnsi="Arial" w:eastAsia="Arial"/>
                <w:b w:val="0"/>
                <w:sz w:val="14"/>
              </w:rPr>
              <w:t>React 19.2 and Next.js 16.2 baseline added.</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Node.js</w:t>
            </w:r>
          </w:p>
        </w:tc>
        <w:tc>
          <w:tcPr>
            <w:tcW w:type="dxa" w:w="4896"/>
            <w:vAlign w:val="top"/>
          </w:tcPr>
          <w:p>
            <w:pPr>
              <w:spacing w:after="0" w:line="240" w:lineRule="auto"/>
              <w:jc w:val="left"/>
            </w:pPr>
            <w:r>
              <w:rPr>
                <w:rFonts w:ascii="Arial" w:hAnsi="Arial" w:eastAsia="Arial"/>
              </w:rPr>
            </w:r>
            <w:r>
              <w:rPr>
                <w:rFonts w:ascii="Arial" w:hAnsi="Arial" w:eastAsia="Arial"/>
                <w:b w:val="0"/>
                <w:sz w:val="14"/>
              </w:rPr>
              <w:t>Node.js Release WG materials show LTS/current release model and Node 24 LTS support window.</w:t>
            </w:r>
          </w:p>
        </w:tc>
        <w:tc>
          <w:tcPr>
            <w:tcW w:type="dxa" w:w="3744"/>
            <w:vAlign w:val="top"/>
          </w:tcPr>
          <w:p>
            <w:pPr>
              <w:spacing w:after="0" w:line="240" w:lineRule="auto"/>
              <w:jc w:val="left"/>
            </w:pPr>
            <w:r>
              <w:rPr>
                <w:rFonts w:ascii="Arial" w:hAnsi="Arial" w:eastAsia="Arial"/>
              </w:rPr>
            </w:r>
            <w:r>
              <w:rPr>
                <w:rFonts w:ascii="Arial" w:hAnsi="Arial" w:eastAsia="Arial"/>
                <w:b w:val="0"/>
                <w:sz w:val="14"/>
              </w:rPr>
              <w:t>Node 24 LTS primary; Node 26 evaluation; Node 20 not approved.</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PostgreSQL</w:t>
            </w:r>
          </w:p>
        </w:tc>
        <w:tc>
          <w:tcPr>
            <w:tcW w:type="dxa" w:w="4896"/>
            <w:vAlign w:val="top"/>
          </w:tcPr>
          <w:p>
            <w:pPr>
              <w:spacing w:after="0" w:line="240" w:lineRule="auto"/>
              <w:jc w:val="left"/>
            </w:pPr>
            <w:r>
              <w:rPr>
                <w:rFonts w:ascii="Arial" w:hAnsi="Arial" w:eastAsia="Arial"/>
              </w:rPr>
            </w:r>
            <w:r>
              <w:rPr>
                <w:rFonts w:ascii="Arial" w:hAnsi="Arial" w:eastAsia="Arial"/>
                <w:b w:val="0"/>
                <w:sz w:val="14"/>
              </w:rPr>
              <w:t>PostgreSQL 18 release notes/news show PostgreSQL 18 release and upgrade improvements.</w:t>
            </w:r>
          </w:p>
        </w:tc>
        <w:tc>
          <w:tcPr>
            <w:tcW w:type="dxa" w:w="3744"/>
            <w:vAlign w:val="top"/>
          </w:tcPr>
          <w:p>
            <w:pPr>
              <w:spacing w:after="0" w:line="240" w:lineRule="auto"/>
              <w:jc w:val="left"/>
            </w:pPr>
            <w:r>
              <w:rPr>
                <w:rFonts w:ascii="Arial" w:hAnsi="Arial" w:eastAsia="Arial"/>
              </w:rPr>
            </w:r>
            <w:r>
              <w:rPr>
                <w:rFonts w:ascii="Arial" w:hAnsi="Arial" w:eastAsia="Arial"/>
                <w:b w:val="0"/>
                <w:sz w:val="14"/>
              </w:rPr>
              <w:t>PostgreSQL 18.x primary baseline retained.</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Kubernetes</w:t>
            </w:r>
          </w:p>
        </w:tc>
        <w:tc>
          <w:tcPr>
            <w:tcW w:type="dxa" w:w="4896"/>
            <w:vAlign w:val="top"/>
          </w:tcPr>
          <w:p>
            <w:pPr>
              <w:spacing w:after="0" w:line="240" w:lineRule="auto"/>
              <w:jc w:val="left"/>
            </w:pPr>
            <w:r>
              <w:rPr>
                <w:rFonts w:ascii="Arial" w:hAnsi="Arial" w:eastAsia="Arial"/>
              </w:rPr>
            </w:r>
            <w:r>
              <w:rPr>
                <w:rFonts w:ascii="Arial" w:hAnsi="Arial" w:eastAsia="Arial"/>
                <w:b w:val="0"/>
                <w:sz w:val="14"/>
              </w:rPr>
              <w:t>Kubernetes release page states maintained release branches are 1.36, 1.35, and 1.34.</w:t>
            </w:r>
          </w:p>
        </w:tc>
        <w:tc>
          <w:tcPr>
            <w:tcW w:type="dxa" w:w="3744"/>
            <w:vAlign w:val="top"/>
          </w:tcPr>
          <w:p>
            <w:pPr>
              <w:spacing w:after="0" w:line="240" w:lineRule="auto"/>
              <w:jc w:val="left"/>
            </w:pPr>
            <w:r>
              <w:rPr>
                <w:rFonts w:ascii="Arial" w:hAnsi="Arial" w:eastAsia="Arial"/>
              </w:rPr>
            </w:r>
            <w:r>
              <w:rPr>
                <w:rFonts w:ascii="Arial" w:hAnsi="Arial" w:eastAsia="Arial"/>
                <w:b w:val="0"/>
                <w:sz w:val="14"/>
              </w:rPr>
              <w:t>Kubernetes 1.36 readiness track; 1.35 accepted; 1.34 watch; older retired.</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Argo CD</w:t>
            </w:r>
          </w:p>
        </w:tc>
        <w:tc>
          <w:tcPr>
            <w:tcW w:type="dxa" w:w="4896"/>
            <w:vAlign w:val="top"/>
          </w:tcPr>
          <w:p>
            <w:pPr>
              <w:spacing w:after="0" w:line="240" w:lineRule="auto"/>
              <w:jc w:val="left"/>
            </w:pPr>
            <w:r>
              <w:rPr>
                <w:rFonts w:ascii="Arial" w:hAnsi="Arial" w:eastAsia="Arial"/>
              </w:rPr>
            </w:r>
            <w:r>
              <w:rPr>
                <w:rFonts w:ascii="Arial" w:hAnsi="Arial" w:eastAsia="Arial"/>
                <w:b w:val="0"/>
                <w:sz w:val="14"/>
              </w:rPr>
              <w:t>Argo CD release materials flag 3.1 EOL and recommend supported versions 3.4, 3.3, or 3.2.</w:t>
            </w:r>
          </w:p>
        </w:tc>
        <w:tc>
          <w:tcPr>
            <w:tcW w:type="dxa" w:w="3744"/>
            <w:vAlign w:val="top"/>
          </w:tcPr>
          <w:p>
            <w:pPr>
              <w:spacing w:after="0" w:line="240" w:lineRule="auto"/>
              <w:jc w:val="left"/>
            </w:pPr>
            <w:r>
              <w:rPr>
                <w:rFonts w:ascii="Arial" w:hAnsi="Arial" w:eastAsia="Arial"/>
              </w:rPr>
            </w:r>
            <w:r>
              <w:rPr>
                <w:rFonts w:ascii="Arial" w:hAnsi="Arial" w:eastAsia="Arial"/>
                <w:b w:val="0"/>
                <w:sz w:val="14"/>
              </w:rPr>
              <w:t>Argo CD 3.1 retired; supported branches required.</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Proxmox</w:t>
            </w:r>
          </w:p>
        </w:tc>
        <w:tc>
          <w:tcPr>
            <w:tcW w:type="dxa" w:w="4896"/>
            <w:vAlign w:val="top"/>
          </w:tcPr>
          <w:p>
            <w:pPr>
              <w:spacing w:after="0" w:line="240" w:lineRule="auto"/>
              <w:jc w:val="left"/>
            </w:pPr>
            <w:r>
              <w:rPr>
                <w:rFonts w:ascii="Arial" w:hAnsi="Arial" w:eastAsia="Arial"/>
              </w:rPr>
            </w:r>
            <w:r>
              <w:rPr>
                <w:rFonts w:ascii="Arial" w:hAnsi="Arial" w:eastAsia="Arial"/>
                <w:b w:val="0"/>
                <w:sz w:val="14"/>
              </w:rPr>
              <w:t>Proxmox official downloads and release notes show Proxmox VE 9.1 available and 8.4 transition support window.</w:t>
            </w:r>
          </w:p>
        </w:tc>
        <w:tc>
          <w:tcPr>
            <w:tcW w:type="dxa" w:w="3744"/>
            <w:vAlign w:val="top"/>
          </w:tcPr>
          <w:p>
            <w:pPr>
              <w:spacing w:after="0" w:line="240" w:lineRule="auto"/>
              <w:jc w:val="left"/>
            </w:pPr>
            <w:r>
              <w:rPr>
                <w:rFonts w:ascii="Arial" w:hAnsi="Arial" w:eastAsia="Arial"/>
              </w:rPr>
            </w:r>
            <w:r>
              <w:rPr>
                <w:rFonts w:ascii="Arial" w:hAnsi="Arial" w:eastAsia="Arial"/>
                <w:b w:val="0"/>
                <w:sz w:val="14"/>
              </w:rPr>
              <w:t>Proxmox VE 9.1 primary; 8.4 transition only.</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Kafka</w:t>
            </w:r>
          </w:p>
        </w:tc>
        <w:tc>
          <w:tcPr>
            <w:tcW w:type="dxa" w:w="4896"/>
            <w:vAlign w:val="top"/>
          </w:tcPr>
          <w:p>
            <w:pPr>
              <w:spacing w:after="0" w:line="240" w:lineRule="auto"/>
              <w:jc w:val="left"/>
            </w:pPr>
            <w:r>
              <w:rPr>
                <w:rFonts w:ascii="Arial" w:hAnsi="Arial" w:eastAsia="Arial"/>
              </w:rPr>
            </w:r>
            <w:r>
              <w:rPr>
                <w:rFonts w:ascii="Arial" w:hAnsi="Arial" w:eastAsia="Arial"/>
                <w:b w:val="0"/>
                <w:sz w:val="14"/>
              </w:rPr>
              <w:t>Kafka 4.0 materials identify KRaft-only direction and ZooKeeper removal.</w:t>
            </w:r>
          </w:p>
        </w:tc>
        <w:tc>
          <w:tcPr>
            <w:tcW w:type="dxa" w:w="3744"/>
            <w:vAlign w:val="top"/>
          </w:tcPr>
          <w:p>
            <w:pPr>
              <w:spacing w:after="0" w:line="240" w:lineRule="auto"/>
              <w:jc w:val="left"/>
            </w:pPr>
            <w:r>
              <w:rPr>
                <w:rFonts w:ascii="Arial" w:hAnsi="Arial" w:eastAsia="Arial"/>
              </w:rPr>
            </w:r>
            <w:r>
              <w:rPr>
                <w:rFonts w:ascii="Arial" w:hAnsi="Arial" w:eastAsia="Arial"/>
                <w:b w:val="0"/>
                <w:sz w:val="14"/>
              </w:rPr>
              <w:t>Kafka 4.x KRaft-only baseline; ZooKeeper mode not approved.</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AI Gateway</w:t>
            </w:r>
          </w:p>
        </w:tc>
        <w:tc>
          <w:tcPr>
            <w:tcW w:type="dxa" w:w="4896"/>
            <w:vAlign w:val="top"/>
          </w:tcPr>
          <w:p>
            <w:pPr>
              <w:spacing w:after="0" w:line="240" w:lineRule="auto"/>
              <w:jc w:val="left"/>
            </w:pPr>
            <w:r>
              <w:rPr>
                <w:rFonts w:ascii="Arial" w:hAnsi="Arial" w:eastAsia="Arial"/>
              </w:rPr>
            </w:r>
            <w:r>
              <w:rPr>
                <w:rFonts w:ascii="Arial" w:hAnsi="Arial" w:eastAsia="Arial"/>
                <w:b w:val="0"/>
                <w:sz w:val="14"/>
              </w:rPr>
              <w:t>LiteLLM release notes show v1.84.x reliability and behavior changes; security news highlights supply-chain risk in AI packages.</w:t>
            </w:r>
          </w:p>
        </w:tc>
        <w:tc>
          <w:tcPr>
            <w:tcW w:type="dxa" w:w="3744"/>
            <w:vAlign w:val="top"/>
          </w:tcPr>
          <w:p>
            <w:pPr>
              <w:spacing w:after="0" w:line="240" w:lineRule="auto"/>
              <w:jc w:val="left"/>
            </w:pPr>
            <w:r>
              <w:rPr>
                <w:rFonts w:ascii="Arial" w:hAnsi="Arial" w:eastAsia="Arial"/>
              </w:rPr>
            </w:r>
            <w:r>
              <w:rPr>
                <w:rFonts w:ascii="Arial" w:hAnsi="Arial" w:eastAsia="Arial"/>
                <w:b w:val="0"/>
                <w:sz w:val="14"/>
              </w:rPr>
              <w:t>Require signed images, SBOM, quarantine, and controlled upgrade for LiteLLM.</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Guardrails</w:t>
            </w:r>
          </w:p>
        </w:tc>
        <w:tc>
          <w:tcPr>
            <w:tcW w:type="dxa" w:w="4896"/>
            <w:vAlign w:val="top"/>
          </w:tcPr>
          <w:p>
            <w:pPr>
              <w:spacing w:after="0" w:line="240" w:lineRule="auto"/>
              <w:jc w:val="left"/>
            </w:pPr>
            <w:r>
              <w:rPr>
                <w:rFonts w:ascii="Arial" w:hAnsi="Arial" w:eastAsia="Arial"/>
              </w:rPr>
            </w:r>
            <w:r>
              <w:rPr>
                <w:rFonts w:ascii="Arial" w:hAnsi="Arial" w:eastAsia="Arial"/>
                <w:b w:val="0"/>
                <w:sz w:val="14"/>
              </w:rPr>
              <w:t>NVIDIA NeMo Guardrails materials identify v0.21.x and LangChain 1.x compatibility/IORails improvements.</w:t>
            </w:r>
          </w:p>
        </w:tc>
        <w:tc>
          <w:tcPr>
            <w:tcW w:type="dxa" w:w="3744"/>
            <w:vAlign w:val="top"/>
          </w:tcPr>
          <w:p>
            <w:pPr>
              <w:spacing w:after="0" w:line="240" w:lineRule="auto"/>
              <w:jc w:val="left"/>
            </w:pPr>
            <w:r>
              <w:rPr>
                <w:rFonts w:ascii="Arial" w:hAnsi="Arial" w:eastAsia="Arial"/>
              </w:rPr>
            </w:r>
            <w:r>
              <w:rPr>
                <w:rFonts w:ascii="Arial" w:hAnsi="Arial" w:eastAsia="Arial"/>
                <w:b w:val="0"/>
                <w:sz w:val="14"/>
              </w:rPr>
              <w:t>NeMo Guardrails 0.21.x approved patched baseline.</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Telemetry</w:t>
            </w:r>
          </w:p>
        </w:tc>
        <w:tc>
          <w:tcPr>
            <w:tcW w:type="dxa" w:w="4896"/>
            <w:vAlign w:val="top"/>
          </w:tcPr>
          <w:p>
            <w:pPr>
              <w:spacing w:after="0" w:line="240" w:lineRule="auto"/>
              <w:jc w:val="left"/>
            </w:pPr>
            <w:r>
              <w:rPr>
                <w:rFonts w:ascii="Arial" w:hAnsi="Arial" w:eastAsia="Arial"/>
              </w:rPr>
            </w:r>
            <w:r>
              <w:rPr>
                <w:rFonts w:ascii="Arial" w:hAnsi="Arial" w:eastAsia="Arial"/>
                <w:b w:val="0"/>
                <w:sz w:val="14"/>
              </w:rPr>
              <w:t>OpenTelemetry Collector release materials show v0.152.x current release stream.</w:t>
            </w:r>
          </w:p>
        </w:tc>
        <w:tc>
          <w:tcPr>
            <w:tcW w:type="dxa" w:w="3744"/>
            <w:vAlign w:val="top"/>
          </w:tcPr>
          <w:p>
            <w:pPr>
              <w:spacing w:after="0" w:line="240" w:lineRule="auto"/>
              <w:jc w:val="left"/>
            </w:pPr>
            <w:r>
              <w:rPr>
                <w:rFonts w:ascii="Arial" w:hAnsi="Arial" w:eastAsia="Arial"/>
              </w:rPr>
            </w:r>
            <w:r>
              <w:rPr>
                <w:rFonts w:ascii="Arial" w:hAnsi="Arial" w:eastAsia="Arial"/>
                <w:b w:val="0"/>
                <w:sz w:val="14"/>
              </w:rPr>
              <w:t>OpenTelemetry Collector must be pinned through Golden Source and tested.</w:t>
            </w:r>
          </w:p>
        </w:tc>
      </w:tr>
      <w:tr>
        <w:tc>
          <w:tcPr>
            <w:tcW w:type="dxa" w:w="1728"/>
            <w:vAlign w:val="top"/>
            <w:shd w:fill="F2F2F2"/>
          </w:tcPr>
          <w:p>
            <w:pPr>
              <w:spacing w:after="0" w:line="240" w:lineRule="auto"/>
              <w:jc w:val="left"/>
            </w:pPr>
            <w:r>
              <w:rPr>
                <w:rFonts w:ascii="Arial" w:hAnsi="Arial" w:eastAsia="Arial"/>
                <w:b/>
              </w:rPr>
            </w:r>
            <w:r>
              <w:rPr>
                <w:rFonts w:ascii="Arial" w:hAnsi="Arial" w:eastAsia="Arial"/>
                <w:b w:val="0"/>
                <w:sz w:val="14"/>
              </w:rPr>
              <w:t>Secrets</w:t>
            </w:r>
          </w:p>
        </w:tc>
        <w:tc>
          <w:tcPr>
            <w:tcW w:type="dxa" w:w="4896"/>
            <w:vAlign w:val="top"/>
          </w:tcPr>
          <w:p>
            <w:pPr>
              <w:spacing w:after="0" w:line="240" w:lineRule="auto"/>
              <w:jc w:val="left"/>
            </w:pPr>
            <w:r>
              <w:rPr>
                <w:rFonts w:ascii="Arial" w:hAnsi="Arial" w:eastAsia="Arial"/>
              </w:rPr>
            </w:r>
            <w:r>
              <w:rPr>
                <w:rFonts w:ascii="Arial" w:hAnsi="Arial" w:eastAsia="Arial"/>
                <w:b w:val="0"/>
                <w:sz w:val="14"/>
              </w:rPr>
              <w:t>OpenBao release materials show v2.5.x stream.</w:t>
            </w:r>
          </w:p>
        </w:tc>
        <w:tc>
          <w:tcPr>
            <w:tcW w:type="dxa" w:w="3744"/>
            <w:vAlign w:val="top"/>
          </w:tcPr>
          <w:p>
            <w:pPr>
              <w:spacing w:after="0" w:line="240" w:lineRule="auto"/>
              <w:jc w:val="left"/>
            </w:pPr>
            <w:r>
              <w:rPr>
                <w:rFonts w:ascii="Arial" w:hAnsi="Arial" w:eastAsia="Arial"/>
              </w:rPr>
            </w:r>
            <w:r>
              <w:rPr>
                <w:rFonts w:ascii="Arial" w:hAnsi="Arial" w:eastAsia="Arial"/>
                <w:b w:val="0"/>
                <w:sz w:val="14"/>
              </w:rPr>
              <w:t>OpenBao remains approved alternative to Vault subject to security scan and readiness.</w:t>
            </w:r>
          </w:p>
        </w:tc>
      </w:tr>
    </w:tbl>
    <w:p>
      <w:pPr>
        <w:spacing w:after="100" w:line="252" w:lineRule="auto"/>
      </w:pPr>
    </w:p>
    <w:p>
      <w:pPr>
        <w:pStyle w:val="Heading1"/>
        <w:spacing w:before="160" w:after="80"/>
      </w:pPr>
      <w:r>
        <w:rPr>
          <w:rFonts w:ascii="Arial" w:hAnsi="Arial" w:eastAsia="Arial"/>
          <w:b w:val="0"/>
          <w:i w:val="0"/>
        </w:rPr>
        <w:t>16. AVCI Compliance Summary</w:t>
      </w:r>
    </w:p>
    <w:tbl>
      <w:tblPr>
        <w:tblStyle w:val="TableGrid"/>
        <w:tblW w:type="auto" w:w="0"/>
        <w:jc w:val="center"/>
        <w:tblLayout w:type="autofit"/>
        <w:tblLook w:firstColumn="1" w:firstRow="1" w:lastColumn="0" w:lastRow="0" w:noHBand="0" w:noVBand="1" w:val="04A0"/>
      </w:tblPr>
      <w:tblGrid>
        <w:gridCol w:w="5328"/>
        <w:gridCol w:w="5328"/>
      </w:tblGrid>
      <w:tr>
        <w:tc>
          <w:tcPr>
            <w:tcW w:type="dxa" w:w="2160"/>
            <w:shd w:fill="1F4E79"/>
            <w:vAlign w:val="top"/>
          </w:tcPr>
          <w:p>
            <w:pPr>
              <w:spacing w:after="0" w:line="240" w:lineRule="auto"/>
              <w:jc w:val="left"/>
            </w:pPr>
            <w:r>
              <w:rPr>
                <w:rFonts w:ascii="Arial" w:hAnsi="Arial" w:eastAsia="Arial"/>
              </w:rPr>
            </w:r>
            <w:r>
              <w:rPr>
                <w:rFonts w:ascii="Arial" w:hAnsi="Arial" w:eastAsia="Arial"/>
                <w:b/>
                <w:color w:val="FFFFFF"/>
                <w:sz w:val="16"/>
              </w:rPr>
              <w:t>AVCI Property</w:t>
            </w:r>
          </w:p>
        </w:tc>
        <w:tc>
          <w:tcPr>
            <w:tcW w:type="dxa" w:w="8208"/>
            <w:shd w:fill="1F4E79"/>
            <w:vAlign w:val="top"/>
          </w:tcPr>
          <w:p>
            <w:pPr>
              <w:spacing w:after="0" w:line="240" w:lineRule="auto"/>
              <w:jc w:val="left"/>
            </w:pPr>
            <w:r>
              <w:rPr>
                <w:rFonts w:ascii="Arial" w:hAnsi="Arial" w:eastAsia="Arial"/>
              </w:rPr>
            </w:r>
            <w:r>
              <w:rPr>
                <w:rFonts w:ascii="Arial" w:hAnsi="Arial" w:eastAsia="Arial"/>
                <w:b/>
                <w:color w:val="FFFFFF"/>
                <w:sz w:val="16"/>
              </w:rPr>
              <w:t>How v9.0 Satisfies It</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6"/>
              </w:rPr>
              <w:t>Attributable</w:t>
            </w:r>
          </w:p>
        </w:tc>
        <w:tc>
          <w:tcPr>
            <w:tcW w:type="dxa" w:w="8208"/>
            <w:vAlign w:val="top"/>
          </w:tcPr>
          <w:p>
            <w:pPr>
              <w:spacing w:after="0" w:line="240" w:lineRule="auto"/>
              <w:jc w:val="left"/>
            </w:pPr>
            <w:r>
              <w:rPr>
                <w:rFonts w:ascii="Arial" w:hAnsi="Arial" w:eastAsia="Arial"/>
              </w:rPr>
            </w:r>
            <w:r>
              <w:rPr>
                <w:rFonts w:ascii="Arial" w:hAnsi="Arial" w:eastAsia="Arial"/>
                <w:b w:val="0"/>
                <w:sz w:val="16"/>
              </w:rPr>
              <w:t>Every technology has owner, source, version, status, decision record, accountable role, and source-of-truth path. Dograh and GitNexus have explicit owners and control boundaries.</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6"/>
              </w:rPr>
              <w:t>Verifiable</w:t>
            </w:r>
          </w:p>
        </w:tc>
        <w:tc>
          <w:tcPr>
            <w:tcW w:type="dxa" w:w="8208"/>
            <w:vAlign w:val="top"/>
          </w:tcPr>
          <w:p>
            <w:pPr>
              <w:spacing w:after="0" w:line="240" w:lineRule="auto"/>
              <w:jc w:val="left"/>
            </w:pPr>
            <w:r>
              <w:rPr>
                <w:rFonts w:ascii="Arial" w:hAnsi="Arial" w:eastAsia="Arial"/>
              </w:rPr>
            </w:r>
            <w:r>
              <w:rPr>
                <w:rFonts w:ascii="Arial" w:hAnsi="Arial" w:eastAsia="Arial"/>
                <w:b w:val="0"/>
                <w:sz w:val="16"/>
              </w:rPr>
              <w:t>Each component requires tests, scans, fitness checks, compatibility evidence, supply-chain evidence, restore/rollback proof, and runtime observability. Voice and code-intelligence pilots have dedicated verification gates.</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6"/>
              </w:rPr>
              <w:t>Classifiable</w:t>
            </w:r>
          </w:p>
        </w:tc>
        <w:tc>
          <w:tcPr>
            <w:tcW w:type="dxa" w:w="8208"/>
            <w:vAlign w:val="top"/>
          </w:tcPr>
          <w:p>
            <w:pPr>
              <w:spacing w:after="0" w:line="240" w:lineRule="auto"/>
              <w:jc w:val="left"/>
            </w:pPr>
            <w:r>
              <w:rPr>
                <w:rFonts w:ascii="Arial" w:hAnsi="Arial" w:eastAsia="Arial"/>
              </w:rPr>
            </w:r>
            <w:r>
              <w:rPr>
                <w:rFonts w:ascii="Arial" w:hAnsi="Arial" w:eastAsia="Arial"/>
                <w:b w:val="0"/>
                <w:sz w:val="16"/>
              </w:rPr>
              <w:t>Technology use is governed by data classification, model-routing eligibility, logging/retention rules, transcript handling, repository-index handling, and access-control scope.</w:t>
            </w:r>
          </w:p>
        </w:tc>
      </w:tr>
      <w:tr>
        <w:tc>
          <w:tcPr>
            <w:tcW w:type="dxa" w:w="2160"/>
            <w:vAlign w:val="top"/>
            <w:shd w:fill="F2F2F2"/>
          </w:tcPr>
          <w:p>
            <w:pPr>
              <w:spacing w:after="0" w:line="240" w:lineRule="auto"/>
              <w:jc w:val="left"/>
            </w:pPr>
            <w:r>
              <w:rPr>
                <w:rFonts w:ascii="Arial" w:hAnsi="Arial" w:eastAsia="Arial"/>
                <w:b/>
              </w:rPr>
            </w:r>
            <w:r>
              <w:rPr>
                <w:rFonts w:ascii="Arial" w:hAnsi="Arial" w:eastAsia="Arial"/>
                <w:b w:val="0"/>
                <w:sz w:val="16"/>
              </w:rPr>
              <w:t>Improvable</w:t>
            </w:r>
          </w:p>
        </w:tc>
        <w:tc>
          <w:tcPr>
            <w:tcW w:type="dxa" w:w="8208"/>
            <w:vAlign w:val="top"/>
          </w:tcPr>
          <w:p>
            <w:pPr>
              <w:spacing w:after="0" w:line="240" w:lineRule="auto"/>
              <w:jc w:val="left"/>
            </w:pPr>
            <w:r>
              <w:rPr>
                <w:rFonts w:ascii="Arial" w:hAnsi="Arial" w:eastAsia="Arial"/>
              </w:rPr>
            </w:r>
            <w:r>
              <w:rPr>
                <w:rFonts w:ascii="Arial" w:hAnsi="Arial" w:eastAsia="Arial"/>
                <w:b w:val="0"/>
                <w:sz w:val="16"/>
              </w:rPr>
              <w:t>Quarterly refresh, dependency automation, CVE response, incident learning, Dograh pilot findings, GitNexus pilot findings, and governed Auto-Improve proposals provide controlled improvement.</w:t>
            </w:r>
          </w:p>
        </w:tc>
      </w:tr>
    </w:tbl>
    <w:p>
      <w:pPr>
        <w:spacing w:after="100" w:line="252" w:lineRule="auto"/>
      </w:pPr>
    </w:p>
    <w:tbl>
      <w:tblPr>
        <w:tblStyle w:val="TableGrid"/>
        <w:tblW w:type="auto" w:w="0"/>
        <w:jc w:val="center"/>
        <w:tblLook w:firstColumn="1" w:firstRow="1" w:lastColumn="0" w:lastRow="0" w:noHBand="0" w:noVBand="1" w:val="04A0"/>
      </w:tblPr>
      <w:tblGrid>
        <w:gridCol w:w="10656"/>
      </w:tblGrid>
      <w:tr>
        <w:tc>
          <w:tcPr>
            <w:tcW w:type="dxa" w:w="10656"/>
            <w:shd w:fill="D9EAF7"/>
          </w:tcPr>
          <w:p>
            <w:pPr>
              <w:spacing w:after="0" w:line="240" w:lineRule="auto"/>
            </w:pPr>
            <w:r>
              <w:rPr>
                <w:rFonts w:ascii="Arial" w:hAnsi="Arial" w:eastAsia="Arial"/>
              </w:rPr>
            </w:r>
            <w:r>
              <w:rPr>
                <w:rFonts w:ascii="Arial" w:hAnsi="Arial" w:eastAsia="Arial"/>
                <w:b/>
                <w:color w:val="1F4E79"/>
                <w:sz w:val="18"/>
              </w:rPr>
              <w:t>Final v9.0 Technology Adoption Rule</w:t>
              <w:br/>
            </w:r>
            <w:r>
              <w:rPr>
                <w:rFonts w:ascii="Arial" w:hAnsi="Arial" w:eastAsia="Arial"/>
                <w:sz w:val="17"/>
              </w:rPr>
              <w:t>AIRA adopts technology for controlled capability, not novelty. Dograh may improve voice-agent orchestration only if it preserves provider independence, classification, guardrails, and evidence. GitNexus may improve codebase understanding only if it remains read-only, derivative, secret-safe, and governed. Any technology that accelerates delivery while weakening architecture, security, testability, observability, reversibility, or AVCI evidence is rejected or quarantined until remediated.</w:t>
            </w:r>
          </w:p>
        </w:tc>
      </w:tr>
    </w:tbl>
    <w:sectPr w:rsidR="00FC693F" w:rsidRPr="0006063C" w:rsidSect="00034616">
      <w:headerReference w:type="default" r:id="rId9"/>
      <w:footerReference w:type="default" r:id="rId10"/>
      <w:pgSz w:w="12240" w:h="15840"/>
      <w:pgMar w:top="792" w:right="792" w:bottom="792" w:left="792"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95959"/>
        <w:sz w:val="16"/>
      </w:rPr>
      <w:t>Solutions Architecture Office | AIRA-DOC-004 | Version 9.0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595959"/>
        <w:sz w:val="16"/>
      </w:rPr>
      <w:t>AIRA Technology Stack v9.0 | Dograh + GitNexus Lifecycle Refresh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RASmall">
    <w:name w:val="AIRA Small"/>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Production-Ready Technology Stack v9.0</dc:title>
  <dc:subject>Dograh, GitNexus, lifecycle refresh, AVCI/SOLID technology governance</dc:subject>
  <dc:creator>Solutions Architecture Office</dc:creator>
  <cp:keywords>AIRA, Technology Stack, Dograh, GitNexus, AVCI, SOLID, DevSecOps, AI-Native</cp:keywords>
  <dc:description>generated by python-docx</dc:description>
  <cp:lastModifiedBy/>
  <cp:revision>1</cp:revision>
  <dcterms:created xsi:type="dcterms:W3CDTF">2013-12-23T23:15:00Z</dcterms:created>
  <dcterms:modified xsi:type="dcterms:W3CDTF">2013-12-23T23:15:00Z</dcterms:modified>
  <cp:category/>
</cp:coreProperties>
</file>