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56"/>
        </w:rPr>
        <w:t>AIRA</w:t>
      </w:r>
    </w:p>
    <w:p>
      <w:pPr>
        <w:jc w:val="center"/>
      </w:pPr>
      <w:r>
        <w:rPr>
          <w:rFonts w:ascii="Arial" w:hAnsi="Arial"/>
          <w:b/>
          <w:color w:val="464646"/>
          <w:sz w:val="28"/>
        </w:rPr>
        <w:t>AI-Native Enterprise Platform</w:t>
      </w:r>
    </w:p>
    <w:p/>
    <w:p>
      <w:pPr>
        <w:jc w:val="center"/>
      </w:pPr>
      <w:r>
        <w:rPr>
          <w:rFonts w:ascii="Arial" w:hAnsi="Arial"/>
          <w:b/>
          <w:color w:val="1F4E79"/>
          <w:sz w:val="44"/>
        </w:rPr>
        <w:t>Architecture Fitness Function Catalog</w:t>
      </w:r>
    </w:p>
    <w:p>
      <w:pPr>
        <w:jc w:val="center"/>
      </w:pPr>
      <w:r>
        <w:rPr>
          <w:rFonts w:ascii="Arial" w:hAnsi="Arial"/>
          <w:b/>
          <w:color w:val="5A5A5A"/>
          <w:sz w:val="24"/>
        </w:rPr>
        <w:t>Executable Architecture Controls | SOLID Enforcement | AVCI Evidence</w:t>
      </w:r>
    </w:p>
    <w:p>
      <w:pPr>
        <w:jc w:val="center"/>
      </w:pPr>
      <w:r>
        <w:rPr>
          <w:rFonts w:ascii="Arial" w:hAnsi="Arial"/>
          <w:b/>
          <w:sz w:val="22"/>
        </w:rPr>
        <w:t>Version 1.0 | April 2026 | INTERNAL CONFIDENTIAL</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F4E79"/>
            <w:vAlign w:val="top"/>
          </w:tcPr>
          <w:p>
            <w:r/>
            <w:r>
              <w:rPr>
                <w:rFonts w:ascii="Arial" w:hAnsi="Arial" w:eastAsia="Arial"/>
                <w:b/>
                <w:color w:val="FFFFFF"/>
                <w:sz w:val="16"/>
              </w:rPr>
              <w:t>Property</w:t>
            </w:r>
          </w:p>
        </w:tc>
        <w:tc>
          <w:tcPr>
            <w:tcW w:type="dxa" w:w="8352"/>
            <w:shd w:fill="1F4E79"/>
            <w:vAlign w:val="top"/>
          </w:tcPr>
          <w:p>
            <w:r/>
            <w:r>
              <w:rPr>
                <w:rFonts w:ascii="Arial" w:hAnsi="Arial" w:eastAsia="Arial"/>
                <w:b/>
                <w:color w:val="FFFFFF"/>
                <w:sz w:val="16"/>
              </w:rPr>
              <w:t>Value</w:t>
            </w:r>
          </w:p>
        </w:tc>
      </w:tr>
      <w:tr>
        <w:tc>
          <w:tcPr>
            <w:tcW w:type="dxa" w:w="3024"/>
            <w:vAlign w:val="top"/>
          </w:tcPr>
          <w:p>
            <w:r/>
            <w:r>
              <w:rPr>
                <w:rFonts w:ascii="Arial" w:hAnsi="Arial" w:eastAsia="Arial"/>
                <w:b w:val="0"/>
                <w:sz w:val="16"/>
              </w:rPr>
              <w:t>Document ID</w:t>
            </w:r>
          </w:p>
        </w:tc>
        <w:tc>
          <w:tcPr>
            <w:tcW w:type="dxa" w:w="8352"/>
            <w:vAlign w:val="top"/>
          </w:tcPr>
          <w:p>
            <w:r/>
            <w:r>
              <w:rPr>
                <w:rFonts w:ascii="Arial" w:hAnsi="Arial" w:eastAsia="Arial"/>
                <w:b w:val="0"/>
                <w:sz w:val="16"/>
              </w:rPr>
              <w:t>AIRA-DOC-023</w:t>
            </w:r>
          </w:p>
        </w:tc>
      </w:tr>
      <w:tr>
        <w:tc>
          <w:tcPr>
            <w:tcW w:type="dxa" w:w="3024"/>
            <w:vAlign w:val="top"/>
          </w:tcPr>
          <w:p>
            <w:r/>
            <w:r>
              <w:rPr>
                <w:rFonts w:ascii="Arial" w:hAnsi="Arial" w:eastAsia="Arial"/>
                <w:b w:val="0"/>
                <w:sz w:val="16"/>
              </w:rPr>
              <w:t>Document Title</w:t>
            </w:r>
          </w:p>
        </w:tc>
        <w:tc>
          <w:tcPr>
            <w:tcW w:type="dxa" w:w="8352"/>
            <w:vAlign w:val="top"/>
          </w:tcPr>
          <w:p>
            <w:r/>
            <w:r>
              <w:rPr>
                <w:rFonts w:ascii="Arial" w:hAnsi="Arial" w:eastAsia="Arial"/>
                <w:b w:val="0"/>
                <w:sz w:val="16"/>
              </w:rPr>
              <w:t>AIRA Architecture Fitness Function Catalog</w:t>
            </w:r>
          </w:p>
        </w:tc>
      </w:tr>
      <w:tr>
        <w:tc>
          <w:tcPr>
            <w:tcW w:type="dxa" w:w="3024"/>
            <w:vAlign w:val="top"/>
          </w:tcPr>
          <w:p>
            <w:r/>
            <w:r>
              <w:rPr>
                <w:rFonts w:ascii="Arial" w:hAnsi="Arial" w:eastAsia="Arial"/>
                <w:b w:val="0"/>
                <w:sz w:val="16"/>
              </w:rPr>
              <w:t>Version</w:t>
            </w:r>
          </w:p>
        </w:tc>
        <w:tc>
          <w:tcPr>
            <w:tcW w:type="dxa" w:w="8352"/>
            <w:vAlign w:val="top"/>
          </w:tcPr>
          <w:p>
            <w:r/>
            <w:r>
              <w:rPr>
                <w:rFonts w:ascii="Arial" w:hAnsi="Arial" w:eastAsia="Arial"/>
                <w:b w:val="0"/>
                <w:sz w:val="16"/>
              </w:rPr>
              <w:t>v1.0 - Initial Implementation Baseline</w:t>
            </w:r>
          </w:p>
        </w:tc>
      </w:tr>
      <w:tr>
        <w:tc>
          <w:tcPr>
            <w:tcW w:type="dxa" w:w="3024"/>
            <w:vAlign w:val="top"/>
          </w:tcPr>
          <w:p>
            <w:r/>
            <w:r>
              <w:rPr>
                <w:rFonts w:ascii="Arial" w:hAnsi="Arial" w:eastAsia="Arial"/>
                <w:b w:val="0"/>
                <w:sz w:val="16"/>
              </w:rPr>
              <w:t>Classification</w:t>
            </w:r>
          </w:p>
        </w:tc>
        <w:tc>
          <w:tcPr>
            <w:tcW w:type="dxa" w:w="8352"/>
            <w:vAlign w:val="top"/>
          </w:tcPr>
          <w:p>
            <w:r/>
            <w:r>
              <w:rPr>
                <w:rFonts w:ascii="Arial" w:hAnsi="Arial" w:eastAsia="Arial"/>
                <w:b w:val="0"/>
                <w:sz w:val="16"/>
              </w:rPr>
              <w:t>INTERNAL CONFIDENTIAL</w:t>
            </w:r>
          </w:p>
        </w:tc>
      </w:tr>
      <w:tr>
        <w:tc>
          <w:tcPr>
            <w:tcW w:type="dxa" w:w="3024"/>
            <w:vAlign w:val="top"/>
          </w:tcPr>
          <w:p>
            <w:r/>
            <w:r>
              <w:rPr>
                <w:rFonts w:ascii="Arial" w:hAnsi="Arial" w:eastAsia="Arial"/>
                <w:b w:val="0"/>
                <w:sz w:val="16"/>
              </w:rPr>
              <w:t>Status</w:t>
            </w:r>
          </w:p>
        </w:tc>
        <w:tc>
          <w:tcPr>
            <w:tcW w:type="dxa" w:w="8352"/>
            <w:vAlign w:val="top"/>
          </w:tcPr>
          <w:p>
            <w:r/>
            <w:r>
              <w:rPr>
                <w:rFonts w:ascii="Arial" w:hAnsi="Arial" w:eastAsia="Arial"/>
                <w:b w:val="0"/>
                <w:sz w:val="16"/>
              </w:rPr>
              <w:t>FOR ARCHITECTURE REVIEW BOARD / ENGINEERING ADOPTION</w:t>
            </w:r>
          </w:p>
        </w:tc>
      </w:tr>
      <w:tr>
        <w:tc>
          <w:tcPr>
            <w:tcW w:type="dxa" w:w="3024"/>
            <w:vAlign w:val="top"/>
          </w:tcPr>
          <w:p>
            <w:r/>
            <w:r>
              <w:rPr>
                <w:rFonts w:ascii="Arial" w:hAnsi="Arial" w:eastAsia="Arial"/>
                <w:b w:val="0"/>
                <w:sz w:val="16"/>
              </w:rPr>
              <w:t>Owner</w:t>
            </w:r>
          </w:p>
        </w:tc>
        <w:tc>
          <w:tcPr>
            <w:tcW w:type="dxa" w:w="8352"/>
            <w:vAlign w:val="top"/>
          </w:tcPr>
          <w:p>
            <w:r/>
            <w:r>
              <w:rPr>
                <w:rFonts w:ascii="Arial" w:hAnsi="Arial" w:eastAsia="Arial"/>
                <w:b w:val="0"/>
                <w:sz w:val="16"/>
              </w:rPr>
              <w:t>Solutions Architecture Office / AI-Native Platform Architecture</w:t>
            </w:r>
          </w:p>
        </w:tc>
      </w:tr>
      <w:tr>
        <w:tc>
          <w:tcPr>
            <w:tcW w:type="dxa" w:w="3024"/>
            <w:vAlign w:val="top"/>
          </w:tcPr>
          <w:p>
            <w:r/>
            <w:r>
              <w:rPr>
                <w:rFonts w:ascii="Arial" w:hAnsi="Arial" w:eastAsia="Arial"/>
                <w:b w:val="0"/>
                <w:sz w:val="16"/>
              </w:rPr>
              <w:t>Effective Date</w:t>
            </w:r>
          </w:p>
        </w:tc>
        <w:tc>
          <w:tcPr>
            <w:tcW w:type="dxa" w:w="8352"/>
            <w:vAlign w:val="top"/>
          </w:tcPr>
          <w:p>
            <w:r/>
            <w:r>
              <w:rPr>
                <w:rFonts w:ascii="Arial" w:hAnsi="Arial" w:eastAsia="Arial"/>
                <w:b w:val="0"/>
                <w:sz w:val="16"/>
              </w:rPr>
              <w:t>On CAB / Architecture Review Board approval</w:t>
            </w:r>
          </w:p>
        </w:tc>
      </w:tr>
      <w:tr>
        <w:tc>
          <w:tcPr>
            <w:tcW w:type="dxa" w:w="3024"/>
            <w:vAlign w:val="top"/>
          </w:tcPr>
          <w:p>
            <w:r/>
            <w:r>
              <w:rPr>
                <w:rFonts w:ascii="Arial" w:hAnsi="Arial" w:eastAsia="Arial"/>
                <w:b w:val="0"/>
                <w:sz w:val="16"/>
              </w:rPr>
              <w:t>Review Cadence</w:t>
            </w:r>
          </w:p>
        </w:tc>
        <w:tc>
          <w:tcPr>
            <w:tcW w:type="dxa" w:w="8352"/>
            <w:vAlign w:val="top"/>
          </w:tcPr>
          <w:p>
            <w:r/>
            <w:r>
              <w:rPr>
                <w:rFonts w:ascii="Arial" w:hAnsi="Arial" w:eastAsia="Arial"/>
                <w:b w:val="0"/>
                <w:sz w:val="16"/>
              </w:rPr>
              <w:t>Quarterly; unscheduled on material architecture, tooling, security, AI, or regulatory change</w:t>
            </w:r>
          </w:p>
        </w:tc>
      </w:tr>
      <w:tr>
        <w:tc>
          <w:tcPr>
            <w:tcW w:type="dxa" w:w="3024"/>
            <w:vAlign w:val="top"/>
          </w:tcPr>
          <w:p>
            <w:r/>
            <w:r>
              <w:rPr>
                <w:rFonts w:ascii="Arial" w:hAnsi="Arial" w:eastAsia="Arial"/>
                <w:b w:val="0"/>
                <w:sz w:val="16"/>
              </w:rPr>
              <w:t>Audience</w:t>
            </w:r>
          </w:p>
        </w:tc>
        <w:tc>
          <w:tcPr>
            <w:tcW w:type="dxa" w:w="8352"/>
            <w:vAlign w:val="top"/>
          </w:tcPr>
          <w:p>
            <w:r/>
            <w:r>
              <w:rPr>
                <w:rFonts w:ascii="Arial" w:hAnsi="Arial" w:eastAsia="Arial"/>
                <w:b w:val="0"/>
                <w:sz w:val="16"/>
              </w:rPr>
              <w:t>Solutions Architect / IT Head, Enterprise Architects, Software Development Leads, Developers, DevSecOps, QA/SDET, Security, DBA, SRE, Internal Audit</w:t>
            </w:r>
          </w:p>
        </w:tc>
      </w:tr>
      <w:tr>
        <w:tc>
          <w:tcPr>
            <w:tcW w:type="dxa" w:w="3024"/>
            <w:vAlign w:val="top"/>
          </w:tcPr>
          <w:p>
            <w:r/>
            <w:r>
              <w:rPr>
                <w:rFonts w:ascii="Arial" w:hAnsi="Arial" w:eastAsia="Arial"/>
                <w:b w:val="0"/>
                <w:sz w:val="16"/>
              </w:rPr>
              <w:t>Companion Documents</w:t>
            </w:r>
          </w:p>
        </w:tc>
        <w:tc>
          <w:tcPr>
            <w:tcW w:type="dxa" w:w="8352"/>
            <w:vAlign w:val="top"/>
          </w:tcPr>
          <w:p>
            <w:r/>
            <w:r>
              <w:rPr>
                <w:rFonts w:ascii="Arial" w:hAnsi="Arial" w:eastAsia="Arial"/>
                <w:b w:val="0"/>
                <w:sz w:val="16"/>
              </w:rPr>
              <w:t>01A Enterprise Design Principles and SOLID Enforcement Layer; 01 AVCI v3.0; 02 Engineering Blueprint v5.0; 03 Developer Guide v4.0; 08 Unit Testing v3.0; 20 CI/CD Pipeline and Evidence Pack; 22 Prompt/Guardrail/Model Registry</w:t>
            </w:r>
          </w:p>
        </w:tc>
      </w:tr>
      <w:tr>
        <w:tc>
          <w:tcPr>
            <w:tcW w:type="dxa" w:w="3024"/>
            <w:vAlign w:val="top"/>
          </w:tcPr>
          <w:p>
            <w:r/>
            <w:r>
              <w:rPr>
                <w:rFonts w:ascii="Arial" w:hAnsi="Arial" w:eastAsia="Arial"/>
                <w:b w:val="0"/>
                <w:sz w:val="16"/>
              </w:rPr>
              <w:t>Purpose</w:t>
            </w:r>
          </w:p>
        </w:tc>
        <w:tc>
          <w:tcPr>
            <w:tcW w:type="dxa" w:w="8352"/>
            <w:vAlign w:val="top"/>
          </w:tcPr>
          <w:p>
            <w:r/>
            <w:r>
              <w:rPr>
                <w:rFonts w:ascii="Arial" w:hAnsi="Arial" w:eastAsia="Arial"/>
                <w:b w:val="0"/>
                <w:sz w:val="16"/>
              </w:rPr>
              <w:t>Define the executable architecture fitness functions used to continuously validate SOLID, Clean Architecture, DDD boundaries, security, testability, reversibility, observability, and AVCI evidence across AIRA.</w:t>
            </w:r>
          </w:p>
        </w:tc>
      </w:tr>
    </w:tbl>
    <w:p/>
    <w:p>
      <w:pPr>
        <w:jc w:val="center"/>
      </w:pPr>
      <w:r>
        <w:rPr>
          <w:rFonts w:ascii="Arial" w:hAnsi="Arial" w:eastAsia="Arial"/>
          <w:b/>
          <w:color w:val="A03C28"/>
          <w:sz w:val="24"/>
        </w:rPr>
        <w:t>Mandatory Practice Statement</w:t>
      </w:r>
    </w:p>
    <w:p>
      <w:r>
        <w:rPr>
          <w:rFonts w:ascii="Arial" w:hAnsi="Arial" w:eastAsia="Arial"/>
          <w:b w:val="0"/>
        </w:rPr>
        <w:t>No AIRA code, configuration, prompt, guardrail, model route, database migration, MicroFunction, contract, infrastructure change, or AI-assisted remediation is production-ready unless the mandatory architecture fitness functions pass or a formal, time-bound waiver is approved. Fitness functions are executable governance controls, not optional review suggestions.</w:t>
      </w:r>
    </w:p>
    <w:p>
      <w:r>
        <w:rPr>
          <w:rFonts w:ascii="Arial" w:hAnsi="Arial" w:eastAsia="Arial"/>
        </w:rPr>
        <w:br w:type="page"/>
      </w:r>
    </w:p>
    <w:p>
      <w:pPr>
        <w:pStyle w:val="Heading1"/>
      </w:pPr>
      <w:r>
        <w:rPr>
          <w:rFonts w:ascii="Arial" w:hAnsi="Arial" w:eastAsia="Arial"/>
          <w:b w:val="0"/>
        </w:rPr>
        <w:t>Table of Contents</w:t>
      </w:r>
    </w:p>
    <w:p>
      <w:r>
        <w:rPr>
          <w:rFonts w:ascii="Arial" w:hAnsi="Arial" w:eastAsia="Arial"/>
          <w:b w:val="0"/>
        </w:rPr>
        <w:t>1. Executive Summary</w:t>
      </w:r>
    </w:p>
    <w:p>
      <w:r>
        <w:rPr>
          <w:rFonts w:ascii="Arial" w:hAnsi="Arial" w:eastAsia="Arial"/>
          <w:b w:val="0"/>
        </w:rPr>
        <w:t>2. Purpose, Scope, and Authority</w:t>
      </w:r>
    </w:p>
    <w:p>
      <w:r>
        <w:rPr>
          <w:rFonts w:ascii="Arial" w:hAnsi="Arial" w:eastAsia="Arial"/>
          <w:b w:val="0"/>
        </w:rPr>
        <w:t>3. Fitness Function Operating Model</w:t>
      </w:r>
    </w:p>
    <w:p>
      <w:r>
        <w:rPr>
          <w:rFonts w:ascii="Arial" w:hAnsi="Arial" w:eastAsia="Arial"/>
          <w:b w:val="0"/>
        </w:rPr>
        <w:t>4. Enforcement Levels and Toolchain</w:t>
      </w:r>
    </w:p>
    <w:p>
      <w:r>
        <w:rPr>
          <w:rFonts w:ascii="Arial" w:hAnsi="Arial" w:eastAsia="Arial"/>
          <w:b w:val="0"/>
        </w:rPr>
        <w:t>5. Architecture Fitness Function Catalog</w:t>
      </w:r>
    </w:p>
    <w:p>
      <w:r>
        <w:rPr>
          <w:rFonts w:ascii="Arial" w:hAnsi="Arial" w:eastAsia="Arial"/>
          <w:b w:val="0"/>
        </w:rPr>
        <w:t>6. SOLID and Clean Architecture Fitness Functions</w:t>
      </w:r>
    </w:p>
    <w:p>
      <w:r>
        <w:rPr>
          <w:rFonts w:ascii="Arial" w:hAnsi="Arial" w:eastAsia="Arial"/>
          <w:b w:val="0"/>
        </w:rPr>
        <w:t>7. DDD, Ports-and-Adapters, and Boundary Fitness Functions</w:t>
      </w:r>
    </w:p>
    <w:p>
      <w:r>
        <w:rPr>
          <w:rFonts w:ascii="Arial" w:hAnsi="Arial" w:eastAsia="Arial"/>
          <w:b w:val="0"/>
        </w:rPr>
        <w:t>8. Security, AI, and Policy Fitness Functions</w:t>
      </w:r>
    </w:p>
    <w:p>
      <w:r>
        <w:rPr>
          <w:rFonts w:ascii="Arial" w:hAnsi="Arial" w:eastAsia="Arial"/>
          <w:b w:val="0"/>
        </w:rPr>
        <w:t>9. Data, API, Workflow, and MicroFunction Fitness Functions</w:t>
      </w:r>
    </w:p>
    <w:p>
      <w:r>
        <w:rPr>
          <w:rFonts w:ascii="Arial" w:hAnsi="Arial" w:eastAsia="Arial"/>
          <w:b w:val="0"/>
        </w:rPr>
        <w:t>10. Testing, Determinism, Idempotency, and Resilience Fitness Functions</w:t>
      </w:r>
    </w:p>
    <w:p>
      <w:r>
        <w:rPr>
          <w:rFonts w:ascii="Arial" w:hAnsi="Arial" w:eastAsia="Arial"/>
          <w:b w:val="0"/>
        </w:rPr>
        <w:t>11. Observability, Reversibility, and AVCI Evidence Fitness Functions</w:t>
      </w:r>
    </w:p>
    <w:p>
      <w:r>
        <w:rPr>
          <w:rFonts w:ascii="Arial" w:hAnsi="Arial" w:eastAsia="Arial"/>
          <w:b w:val="0"/>
        </w:rPr>
        <w:t>12. Auto-Heal, Auto-Learn, and Auto-Improve Fitness Gates</w:t>
      </w:r>
    </w:p>
    <w:p>
      <w:r>
        <w:rPr>
          <w:rFonts w:ascii="Arial" w:hAnsi="Arial" w:eastAsia="Arial"/>
          <w:b w:val="0"/>
        </w:rPr>
        <w:t>13. CI/CD Integration and Evidence Manifest</w:t>
      </w:r>
    </w:p>
    <w:p>
      <w:r>
        <w:rPr>
          <w:rFonts w:ascii="Arial" w:hAnsi="Arial" w:eastAsia="Arial"/>
          <w:b w:val="0"/>
        </w:rPr>
        <w:t>14. Waivers, Exceptions, and Non-Conformance</w:t>
      </w:r>
    </w:p>
    <w:p>
      <w:r>
        <w:rPr>
          <w:rFonts w:ascii="Arial" w:hAnsi="Arial" w:eastAsia="Arial"/>
          <w:b w:val="0"/>
        </w:rPr>
        <w:t>15. RACI and Operating Responsibilities</w:t>
      </w:r>
    </w:p>
    <w:p>
      <w:r>
        <w:rPr>
          <w:rFonts w:ascii="Arial" w:hAnsi="Arial" w:eastAsia="Arial"/>
          <w:b w:val="0"/>
        </w:rPr>
        <w:t>16. Implementation Roadmap and Acceptance Criteria</w:t>
      </w:r>
    </w:p>
    <w:p>
      <w:r>
        <w:rPr>
          <w:rFonts w:ascii="Arial" w:hAnsi="Arial" w:eastAsia="Arial"/>
          <w:b w:val="0"/>
        </w:rPr>
        <w:t>Appendix A. Copy-Ready ArchUnit Examples</w:t>
      </w:r>
    </w:p>
    <w:p>
      <w:r>
        <w:rPr>
          <w:rFonts w:ascii="Arial" w:hAnsi="Arial" w:eastAsia="Arial"/>
          <w:b w:val="0"/>
        </w:rPr>
        <w:t>Appendix B. Copy-Ready Semgrep Rules</w:t>
      </w:r>
    </w:p>
    <w:p>
      <w:r>
        <w:rPr>
          <w:rFonts w:ascii="Arial" w:hAnsi="Arial" w:eastAsia="Arial"/>
          <w:b w:val="0"/>
        </w:rPr>
        <w:t>Appendix C. Copy-Ready OPA/Rego Policies</w:t>
      </w:r>
    </w:p>
    <w:p>
      <w:r>
        <w:rPr>
          <w:rFonts w:ascii="Arial" w:hAnsi="Arial" w:eastAsia="Arial"/>
          <w:b w:val="0"/>
        </w:rPr>
        <w:t>Appendix D. Mermaid Diagram References</w:t>
      </w:r>
    </w:p>
    <w:p>
      <w:r>
        <w:rPr>
          <w:rFonts w:ascii="Arial" w:hAnsi="Arial" w:eastAsia="Arial"/>
          <w:b w:val="0"/>
        </w:rPr>
        <w:t>Appendix E. AVCI Compliance Summary</w:t>
      </w:r>
    </w:p>
    <w:p>
      <w:r>
        <w:rPr>
          <w:rFonts w:ascii="Arial" w:hAnsi="Arial" w:eastAsia="Arial"/>
        </w:rPr>
        <w:br w:type="page"/>
      </w:r>
    </w:p>
    <w:p>
      <w:pPr>
        <w:pStyle w:val="Heading1"/>
      </w:pPr>
      <w:r>
        <w:rPr>
          <w:rFonts w:ascii="Arial" w:hAnsi="Arial" w:eastAsia="Arial"/>
          <w:b w:val="0"/>
        </w:rPr>
        <w:t>1. Executive Summary</w:t>
      </w:r>
    </w:p>
    <w:p>
      <w:r>
        <w:rPr>
          <w:rFonts w:ascii="Arial" w:hAnsi="Arial" w:eastAsia="Arial"/>
          <w:b w:val="0"/>
        </w:rPr>
        <w:t>AIRA is a regulated AI-native platform where architecture quality must be measurable, repeatable, and enforceable. This catalog defines the architecture fitness functions that transform the Enterprise Design Principles and SOLID Enforcement Layer into automated and reviewable controls.</w:t>
      </w:r>
    </w:p>
    <w:p>
      <w:r>
        <w:rPr>
          <w:rFonts w:ascii="Arial" w:hAnsi="Arial" w:eastAsia="Arial"/>
          <w:b w:val="0"/>
        </w:rPr>
        <w:t>Fitness functions are tests, policies, scans, inspections, and evidence gates that continuously verify whether a system remains aligned with its intended architecture. They protect AIRA from silent erosion: misplaced business logic, cross-context data access, direct model provider calls, missing idempotency, unobservable changes, insecure shortcuts, unreviewed AI improvements, and unrecoverable production changes.</w:t>
      </w:r>
    </w:p>
    <w:p>
      <w:r>
        <w:rPr>
          <w:rFonts w:ascii="Arial" w:hAnsi="Arial" w:eastAsia="Arial"/>
          <w:b w:val="0"/>
        </w:rPr>
        <w:t>The catalog is designed for daily engineering use. Developers run a subset locally through pre-commit and IDE checks. CI/CD runs the full mandatory set. Architecture, Security, QA, and DevSecOps review evidence before protected merges, promotions, and production-impacting changes.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top"/>
          </w:tcPr>
          <w:p>
            <w:r/>
            <w:r>
              <w:rPr>
                <w:rFonts w:ascii="Arial" w:hAnsi="Arial" w:eastAsia="Arial"/>
                <w:b/>
                <w:color w:val="FFFFFF"/>
                <w:sz w:val="16"/>
              </w:rPr>
              <w:t>Strategic Outcome</w:t>
            </w:r>
          </w:p>
        </w:tc>
        <w:tc>
          <w:tcPr>
            <w:tcW w:type="dxa" w:w="8208"/>
            <w:shd w:fill="1F4E79"/>
            <w:vAlign w:val="top"/>
          </w:tcPr>
          <w:p>
            <w:r/>
            <w:r>
              <w:rPr>
                <w:rFonts w:ascii="Arial" w:hAnsi="Arial" w:eastAsia="Arial"/>
                <w:b/>
                <w:color w:val="FFFFFF"/>
                <w:sz w:val="16"/>
              </w:rPr>
              <w:t>How This Catalog Delivers It</w:t>
            </w:r>
          </w:p>
        </w:tc>
      </w:tr>
      <w:tr>
        <w:tc>
          <w:tcPr>
            <w:tcW w:type="dxa" w:w="3168"/>
            <w:vAlign w:val="top"/>
          </w:tcPr>
          <w:p>
            <w:r/>
            <w:r>
              <w:rPr>
                <w:rFonts w:ascii="Arial" w:hAnsi="Arial" w:eastAsia="Arial"/>
                <w:b w:val="0"/>
                <w:sz w:val="16"/>
              </w:rPr>
              <w:t>Architecture drift prevention</w:t>
            </w:r>
          </w:p>
        </w:tc>
        <w:tc>
          <w:tcPr>
            <w:tcW w:type="dxa" w:w="8208"/>
            <w:vAlign w:val="top"/>
          </w:tcPr>
          <w:p>
            <w:r/>
            <w:r>
              <w:rPr>
                <w:rFonts w:ascii="Arial" w:hAnsi="Arial" w:eastAsia="Arial"/>
                <w:b w:val="0"/>
                <w:sz w:val="16"/>
              </w:rPr>
              <w:t>Detects boundary violations, dependency direction errors, cross-context writes, direct provider SDK use, and unsupported shortcuts before merge.</w:t>
            </w:r>
          </w:p>
        </w:tc>
      </w:tr>
      <w:tr>
        <w:tc>
          <w:tcPr>
            <w:tcW w:type="dxa" w:w="3168"/>
            <w:vAlign w:val="top"/>
          </w:tcPr>
          <w:p>
            <w:r/>
            <w:r>
              <w:rPr>
                <w:rFonts w:ascii="Arial" w:hAnsi="Arial" w:eastAsia="Arial"/>
                <w:b w:val="0"/>
                <w:sz w:val="16"/>
              </w:rPr>
              <w:t>Executable SOLID enforcement</w:t>
            </w:r>
          </w:p>
        </w:tc>
        <w:tc>
          <w:tcPr>
            <w:tcW w:type="dxa" w:w="8208"/>
            <w:vAlign w:val="top"/>
          </w:tcPr>
          <w:p>
            <w:r/>
            <w:r>
              <w:rPr>
                <w:rFonts w:ascii="Arial" w:hAnsi="Arial" w:eastAsia="Arial"/>
                <w:b w:val="0"/>
                <w:sz w:val="16"/>
              </w:rPr>
              <w:t>Converts SOLID, Clean Architecture, DDD, and ports-and-adapters into checks that can be tested, reviewed, and evidenced.</w:t>
            </w:r>
          </w:p>
        </w:tc>
      </w:tr>
      <w:tr>
        <w:tc>
          <w:tcPr>
            <w:tcW w:type="dxa" w:w="3168"/>
            <w:vAlign w:val="top"/>
          </w:tcPr>
          <w:p>
            <w:r/>
            <w:r>
              <w:rPr>
                <w:rFonts w:ascii="Arial" w:hAnsi="Arial" w:eastAsia="Arial"/>
                <w:b w:val="0"/>
                <w:sz w:val="16"/>
              </w:rPr>
              <w:t>AI-safe remediation</w:t>
            </w:r>
          </w:p>
        </w:tc>
        <w:tc>
          <w:tcPr>
            <w:tcW w:type="dxa" w:w="8208"/>
            <w:vAlign w:val="top"/>
          </w:tcPr>
          <w:p>
            <w:r/>
            <w:r>
              <w:rPr>
                <w:rFonts w:ascii="Arial" w:hAnsi="Arial" w:eastAsia="Arial"/>
                <w:b w:val="0"/>
                <w:sz w:val="16"/>
              </w:rPr>
              <w:t>Prevents Auto-Heal, Auto-Learn, and Auto-Improve from weakening architecture boundaries, security posture, tests, observability, rollbackability, or AVCI.</w:t>
            </w:r>
          </w:p>
        </w:tc>
      </w:tr>
      <w:tr>
        <w:tc>
          <w:tcPr>
            <w:tcW w:type="dxa" w:w="3168"/>
            <w:vAlign w:val="top"/>
          </w:tcPr>
          <w:p>
            <w:r/>
            <w:r>
              <w:rPr>
                <w:rFonts w:ascii="Arial" w:hAnsi="Arial" w:eastAsia="Arial"/>
                <w:b w:val="0"/>
                <w:sz w:val="16"/>
              </w:rPr>
              <w:t>Audit-ready evidence</w:t>
            </w:r>
          </w:p>
        </w:tc>
        <w:tc>
          <w:tcPr>
            <w:tcW w:type="dxa" w:w="8208"/>
            <w:vAlign w:val="top"/>
          </w:tcPr>
          <w:p>
            <w:r/>
            <w:r>
              <w:rPr>
                <w:rFonts w:ascii="Arial" w:hAnsi="Arial" w:eastAsia="Arial"/>
                <w:b w:val="0"/>
                <w:sz w:val="16"/>
              </w:rPr>
              <w:t>Produces a fitness evidence pack linked to ticket, commit, PR/MR, pipeline, policy version, reviewer, and waiver status.</w:t>
            </w:r>
          </w:p>
        </w:tc>
      </w:tr>
      <w:tr>
        <w:tc>
          <w:tcPr>
            <w:tcW w:type="dxa" w:w="3168"/>
            <w:vAlign w:val="top"/>
          </w:tcPr>
          <w:p>
            <w:r/>
            <w:r>
              <w:rPr>
                <w:rFonts w:ascii="Arial" w:hAnsi="Arial" w:eastAsia="Arial"/>
                <w:b w:val="0"/>
                <w:sz w:val="16"/>
              </w:rPr>
              <w:t>Continuous improvement</w:t>
            </w:r>
          </w:p>
        </w:tc>
        <w:tc>
          <w:tcPr>
            <w:tcW w:type="dxa" w:w="8208"/>
            <w:vAlign w:val="top"/>
          </w:tcPr>
          <w:p>
            <w:r/>
            <w:r>
              <w:rPr>
                <w:rFonts w:ascii="Arial" w:hAnsi="Arial" w:eastAsia="Arial"/>
                <w:b w:val="0"/>
                <w:sz w:val="16"/>
              </w:rPr>
              <w:t>Turns repeated fitness failures into backlog items, ADR/TDL updates, training needs, and updated repository rules.</w:t>
            </w:r>
          </w:p>
        </w:tc>
      </w:tr>
    </w:tbl>
    <w:p/>
    <w:p>
      <w:pPr>
        <w:pStyle w:val="Heading1"/>
      </w:pPr>
      <w:r>
        <w:rPr>
          <w:rFonts w:ascii="Arial" w:hAnsi="Arial" w:eastAsia="Arial"/>
          <w:b w:val="0"/>
        </w:rPr>
        <w:t>2. Purpose, Scope, and Authority</w:t>
      </w:r>
    </w:p>
    <w:p>
      <w:pPr>
        <w:pStyle w:val="Heading2"/>
      </w:pPr>
      <w:r>
        <w:rPr>
          <w:rFonts w:ascii="Arial" w:hAnsi="Arial" w:eastAsia="Arial"/>
          <w:b w:val="0"/>
        </w:rPr>
        <w:t>2.1 Purpose</w:t>
      </w:r>
    </w:p>
    <w:p>
      <w:r>
        <w:rPr>
          <w:rFonts w:ascii="Arial" w:hAnsi="Arial" w:eastAsia="Arial"/>
          <w:b w:val="0"/>
        </w:rPr>
        <w:t>This catalog defines the mandatory and recommended architecture fitness functions for AIRA. It identifies what each function checks, when it runs, who owns it, which tools enforce it, what causes rejection, and what evidence must be retained.</w:t>
      </w:r>
    </w:p>
    <w:p>
      <w:pPr>
        <w:pStyle w:val="Heading2"/>
      </w:pPr>
      <w:r>
        <w:rPr>
          <w:rFonts w:ascii="Arial" w:hAnsi="Arial" w:eastAsia="Arial"/>
          <w:b w:val="0"/>
        </w:rPr>
        <w:t>2.2 In Scope</w:t>
      </w:r>
    </w:p>
    <w:p>
      <w:pPr>
        <w:pStyle w:val="ListBullet"/>
      </w:pPr>
      <w:r>
        <w:rPr>
          <w:rFonts w:ascii="Arial" w:hAnsi="Arial" w:eastAsia="Arial"/>
          <w:sz w:val="19"/>
        </w:rPr>
        <w:t>Java, TypeScript, Python, SQL, YAML, Dockerfile, Helm, Kubernetes, GitHub/GitLab workflow, prompt, guardrail, model-alias, MicroFunction, and documentation changes that influence AIRA system behaviour.</w:t>
      </w:r>
    </w:p>
    <w:p>
      <w:pPr>
        <w:pStyle w:val="ListBullet"/>
      </w:pPr>
      <w:r>
        <w:rPr>
          <w:rFonts w:ascii="Arial" w:hAnsi="Arial" w:eastAsia="Arial"/>
          <w:sz w:val="19"/>
        </w:rPr>
        <w:t>Fitness functions executed locally, in CI/CD, during architecture review, in pre-release validation, and during Auto-Heal / Auto-Improve review.</w:t>
      </w:r>
    </w:p>
    <w:p>
      <w:pPr>
        <w:pStyle w:val="ListBullet"/>
      </w:pPr>
      <w:r>
        <w:rPr>
          <w:rFonts w:ascii="Arial" w:hAnsi="Arial" w:eastAsia="Arial"/>
          <w:sz w:val="19"/>
        </w:rPr>
        <w:t>Architecture, security, testability, resilience, observability, data, API, workflow, AI, and AVCI evidence controls.</w:t>
      </w:r>
    </w:p>
    <w:p>
      <w:pPr>
        <w:pStyle w:val="Heading2"/>
      </w:pPr>
      <w:r>
        <w:rPr>
          <w:rFonts w:ascii="Arial" w:hAnsi="Arial" w:eastAsia="Arial"/>
          <w:b w:val="0"/>
        </w:rPr>
        <w:t>2.3 Out of Scope</w:t>
      </w:r>
    </w:p>
    <w:p>
      <w:pPr>
        <w:pStyle w:val="ListBullet"/>
      </w:pPr>
      <w:r>
        <w:rPr>
          <w:rFonts w:ascii="Arial" w:hAnsi="Arial" w:eastAsia="Arial"/>
          <w:sz w:val="19"/>
        </w:rPr>
        <w:t>Business feature prioritization, except where a feature attempts to bypass architecture rules.</w:t>
      </w:r>
    </w:p>
    <w:p>
      <w:pPr>
        <w:pStyle w:val="ListBullet"/>
      </w:pPr>
      <w:r>
        <w:rPr>
          <w:rFonts w:ascii="Arial" w:hAnsi="Arial" w:eastAsia="Arial"/>
          <w:sz w:val="19"/>
        </w:rPr>
        <w:t>Manual UAT sign-off, except where UAT evidence feeds release readiness.</w:t>
      </w:r>
    </w:p>
    <w:p>
      <w:pPr>
        <w:pStyle w:val="ListBullet"/>
      </w:pPr>
      <w:r>
        <w:rPr>
          <w:rFonts w:ascii="Arial" w:hAnsi="Arial" w:eastAsia="Arial"/>
          <w:sz w:val="19"/>
        </w:rPr>
        <w:t>Physical data center controls, except where infrastructure fitness evidence is required for platform readiness.</w:t>
      </w:r>
    </w:p>
    <w:p>
      <w:pPr>
        <w:pStyle w:val="Heading2"/>
      </w:pPr>
      <w:r>
        <w:rPr>
          <w:rFonts w:ascii="Arial" w:hAnsi="Arial" w:eastAsia="Arial"/>
          <w:b w:val="0"/>
        </w:rPr>
        <w:t>2.4 Authority and Conflict Resolution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864"/>
            <w:shd w:fill="1F4E79"/>
            <w:vAlign w:val="top"/>
          </w:tcPr>
          <w:p>
            <w:r/>
            <w:r>
              <w:rPr>
                <w:rFonts w:ascii="Arial" w:hAnsi="Arial" w:eastAsia="Arial"/>
                <w:b/>
                <w:color w:val="FFFFFF"/>
                <w:sz w:val="16"/>
              </w:rPr>
              <w:t>Level</w:t>
            </w:r>
          </w:p>
        </w:tc>
        <w:tc>
          <w:tcPr>
            <w:tcW w:type="dxa" w:w="4608"/>
            <w:shd w:fill="1F4E79"/>
            <w:vAlign w:val="top"/>
          </w:tcPr>
          <w:p>
            <w:r/>
            <w:r>
              <w:rPr>
                <w:rFonts w:ascii="Arial" w:hAnsi="Arial" w:eastAsia="Arial"/>
                <w:b/>
                <w:color w:val="FFFFFF"/>
                <w:sz w:val="16"/>
              </w:rPr>
              <w:t>Authority</w:t>
            </w:r>
          </w:p>
        </w:tc>
        <w:tc>
          <w:tcPr>
            <w:tcW w:type="dxa" w:w="5904"/>
            <w:shd w:fill="1F4E79"/>
            <w:vAlign w:val="top"/>
          </w:tcPr>
          <w:p>
            <w:r/>
            <w:r>
              <w:rPr>
                <w:rFonts w:ascii="Arial" w:hAnsi="Arial" w:eastAsia="Arial"/>
                <w:b/>
                <w:color w:val="FFFFFF"/>
                <w:sz w:val="16"/>
              </w:rPr>
              <w:t>Role</w:t>
            </w:r>
          </w:p>
        </w:tc>
      </w:tr>
      <w:tr>
        <w:tc>
          <w:tcPr>
            <w:tcW w:type="dxa" w:w="864"/>
            <w:vAlign w:val="top"/>
          </w:tcPr>
          <w:p>
            <w:r/>
            <w:r>
              <w:rPr>
                <w:rFonts w:ascii="Arial" w:hAnsi="Arial" w:eastAsia="Arial"/>
                <w:b w:val="0"/>
                <w:sz w:val="16"/>
              </w:rPr>
              <w:t>L0</w:t>
            </w:r>
          </w:p>
        </w:tc>
        <w:tc>
          <w:tcPr>
            <w:tcW w:type="dxa" w:w="4608"/>
            <w:vAlign w:val="top"/>
          </w:tcPr>
          <w:p>
            <w:r/>
            <w:r>
              <w:rPr>
                <w:rFonts w:ascii="Arial" w:hAnsi="Arial" w:eastAsia="Arial"/>
                <w:b w:val="0"/>
                <w:sz w:val="16"/>
              </w:rPr>
              <w:t>Architecture Board / approved Blueprint</w:t>
            </w:r>
          </w:p>
        </w:tc>
        <w:tc>
          <w:tcPr>
            <w:tcW w:type="dxa" w:w="5904"/>
            <w:vAlign w:val="top"/>
          </w:tcPr>
          <w:p>
            <w:r/>
            <w:r>
              <w:rPr>
                <w:rFonts w:ascii="Arial" w:hAnsi="Arial" w:eastAsia="Arial"/>
                <w:b w:val="0"/>
                <w:sz w:val="16"/>
              </w:rPr>
              <w:t>Defines intended architecture and boundary decisions.</w:t>
            </w:r>
          </w:p>
        </w:tc>
      </w:tr>
      <w:tr>
        <w:tc>
          <w:tcPr>
            <w:tcW w:type="dxa" w:w="864"/>
            <w:vAlign w:val="top"/>
          </w:tcPr>
          <w:p>
            <w:r/>
            <w:r>
              <w:rPr>
                <w:rFonts w:ascii="Arial" w:hAnsi="Arial" w:eastAsia="Arial"/>
                <w:b w:val="0"/>
                <w:sz w:val="16"/>
              </w:rPr>
              <w:t>L1</w:t>
            </w:r>
          </w:p>
        </w:tc>
        <w:tc>
          <w:tcPr>
            <w:tcW w:type="dxa" w:w="4608"/>
            <w:vAlign w:val="top"/>
          </w:tcPr>
          <w:p>
            <w:r/>
            <w:r>
              <w:rPr>
                <w:rFonts w:ascii="Arial" w:hAnsi="Arial" w:eastAsia="Arial"/>
                <w:b w:val="0"/>
                <w:sz w:val="16"/>
              </w:rPr>
              <w:t>01A Enterprise Design Principles and SOLID Enforcement Layer</w:t>
            </w:r>
          </w:p>
        </w:tc>
        <w:tc>
          <w:tcPr>
            <w:tcW w:type="dxa" w:w="5904"/>
            <w:vAlign w:val="top"/>
          </w:tcPr>
          <w:p>
            <w:r/>
            <w:r>
              <w:rPr>
                <w:rFonts w:ascii="Arial" w:hAnsi="Arial" w:eastAsia="Arial"/>
                <w:b w:val="0"/>
                <w:sz w:val="16"/>
              </w:rPr>
              <w:t>Defines the mandatory principles this catalog enforces.</w:t>
            </w:r>
          </w:p>
        </w:tc>
      </w:tr>
      <w:tr>
        <w:tc>
          <w:tcPr>
            <w:tcW w:type="dxa" w:w="864"/>
            <w:vAlign w:val="top"/>
          </w:tcPr>
          <w:p>
            <w:r/>
            <w:r>
              <w:rPr>
                <w:rFonts w:ascii="Arial" w:hAnsi="Arial" w:eastAsia="Arial"/>
                <w:b w:val="0"/>
                <w:sz w:val="16"/>
              </w:rPr>
              <w:t>L2</w:t>
            </w:r>
          </w:p>
        </w:tc>
        <w:tc>
          <w:tcPr>
            <w:tcW w:type="dxa" w:w="4608"/>
            <w:vAlign w:val="top"/>
          </w:tcPr>
          <w:p>
            <w:r/>
            <w:r>
              <w:rPr>
                <w:rFonts w:ascii="Arial" w:hAnsi="Arial" w:eastAsia="Arial"/>
                <w:b w:val="0"/>
                <w:sz w:val="16"/>
              </w:rPr>
              <w:t>This Fitness Function Catalog</w:t>
            </w:r>
          </w:p>
        </w:tc>
        <w:tc>
          <w:tcPr>
            <w:tcW w:type="dxa" w:w="5904"/>
            <w:vAlign w:val="top"/>
          </w:tcPr>
          <w:p>
            <w:r/>
            <w:r>
              <w:rPr>
                <w:rFonts w:ascii="Arial" w:hAnsi="Arial" w:eastAsia="Arial"/>
                <w:b w:val="0"/>
                <w:sz w:val="16"/>
              </w:rPr>
              <w:t>Defines executable checks and acceptance criteria.</w:t>
            </w:r>
          </w:p>
        </w:tc>
      </w:tr>
      <w:tr>
        <w:tc>
          <w:tcPr>
            <w:tcW w:type="dxa" w:w="864"/>
            <w:vAlign w:val="top"/>
          </w:tcPr>
          <w:p>
            <w:r/>
            <w:r>
              <w:rPr>
                <w:rFonts w:ascii="Arial" w:hAnsi="Arial" w:eastAsia="Arial"/>
                <w:b w:val="0"/>
                <w:sz w:val="16"/>
              </w:rPr>
              <w:t>L3</w:t>
            </w:r>
          </w:p>
        </w:tc>
        <w:tc>
          <w:tcPr>
            <w:tcW w:type="dxa" w:w="4608"/>
            <w:vAlign w:val="top"/>
          </w:tcPr>
          <w:p>
            <w:r/>
            <w:r>
              <w:rPr>
                <w:rFonts w:ascii="Arial" w:hAnsi="Arial" w:eastAsia="Arial"/>
                <w:b w:val="0"/>
                <w:sz w:val="16"/>
              </w:rPr>
              <w:t>Repository CLAUDE.md, CI pipelines, OPA policies, ArchUnit/Semgrep rules</w:t>
            </w:r>
          </w:p>
        </w:tc>
        <w:tc>
          <w:tcPr>
            <w:tcW w:type="dxa" w:w="5904"/>
            <w:vAlign w:val="top"/>
          </w:tcPr>
          <w:p>
            <w:r/>
            <w:r>
              <w:rPr>
                <w:rFonts w:ascii="Arial" w:hAnsi="Arial" w:eastAsia="Arial"/>
                <w:b w:val="0"/>
                <w:sz w:val="16"/>
              </w:rPr>
              <w:t>Implements the functions in code and automation.</w:t>
            </w:r>
          </w:p>
        </w:tc>
      </w:tr>
      <w:tr>
        <w:tc>
          <w:tcPr>
            <w:tcW w:type="dxa" w:w="864"/>
            <w:vAlign w:val="top"/>
          </w:tcPr>
          <w:p>
            <w:r/>
            <w:r>
              <w:rPr>
                <w:rFonts w:ascii="Arial" w:hAnsi="Arial" w:eastAsia="Arial"/>
                <w:b w:val="0"/>
                <w:sz w:val="16"/>
              </w:rPr>
              <w:t>L4</w:t>
            </w:r>
          </w:p>
        </w:tc>
        <w:tc>
          <w:tcPr>
            <w:tcW w:type="dxa" w:w="4608"/>
            <w:vAlign w:val="top"/>
          </w:tcPr>
          <w:p>
            <w:r/>
            <w:r>
              <w:rPr>
                <w:rFonts w:ascii="Arial" w:hAnsi="Arial" w:eastAsia="Arial"/>
                <w:b w:val="0"/>
                <w:sz w:val="16"/>
              </w:rPr>
              <w:t>Waiver / exception records</w:t>
            </w:r>
          </w:p>
        </w:tc>
        <w:tc>
          <w:tcPr>
            <w:tcW w:type="dxa" w:w="5904"/>
            <w:vAlign w:val="top"/>
          </w:tcPr>
          <w:p>
            <w:r/>
            <w:r>
              <w:rPr>
                <w:rFonts w:ascii="Arial" w:hAnsi="Arial" w:eastAsia="Arial"/>
                <w:b w:val="0"/>
                <w:sz w:val="16"/>
              </w:rPr>
              <w:t>May temporarily accept risk but cannot silently weaken the standard.</w:t>
            </w:r>
          </w:p>
        </w:tc>
      </w:tr>
    </w:tbl>
    <w:p/>
    <w:p>
      <w:pPr>
        <w:pStyle w:val="Heading1"/>
      </w:pPr>
      <w:r>
        <w:rPr>
          <w:rFonts w:ascii="Arial" w:hAnsi="Arial" w:eastAsia="Arial"/>
          <w:b w:val="0"/>
        </w:rPr>
        <w:t>3. Fitness Function Operating Model</w:t>
      </w:r>
    </w:p>
    <w:p>
      <w:r>
        <w:rPr>
          <w:rFonts w:ascii="Arial" w:hAnsi="Arial" w:eastAsia="Arial"/>
          <w:b w:val="0"/>
        </w:rPr>
        <w:t>A fitness function is an executable or reviewable assertion about the architecture. AIRA uses six control layers: repository rules, static analysis, policy-as-code, test evidence, runtime evidence, and knowledge feedback.</w:t>
      </w:r>
    </w:p>
    <w:p>
      <w:r>
        <w:rPr>
          <w:rFonts w:ascii="Arial" w:hAnsi="Arial" w:eastAsia="Arial"/>
        </w:rPr>
        <w:drawing>
          <wp:inline xmlns:a="http://schemas.openxmlformats.org/drawingml/2006/main" xmlns:pic="http://schemas.openxmlformats.org/drawingml/2006/picture">
            <wp:extent cx="6583680" cy="3950208"/>
            <wp:docPr id="1" name="Picture 1"/>
            <wp:cNvGraphicFramePr>
              <a:graphicFrameLocks noChangeAspect="1"/>
            </wp:cNvGraphicFramePr>
            <a:graphic>
              <a:graphicData uri="http://schemas.openxmlformats.org/drawingml/2006/picture">
                <pic:pic>
                  <pic:nvPicPr>
                    <pic:cNvPr id="0" name="control_layers.png"/>
                    <pic:cNvPicPr/>
                  </pic:nvPicPr>
                  <pic:blipFill>
                    <a:blip r:embed="rId11"/>
                    <a:stretch>
                      <a:fillRect/>
                    </a:stretch>
                  </pic:blipFill>
                  <pic:spPr>
                    <a:xfrm>
                      <a:off x="0" y="0"/>
                      <a:ext cx="6583680" cy="3950208"/>
                    </a:xfrm>
                    <a:prstGeom prst="rect"/>
                  </pic:spPr>
                </pic:pic>
              </a:graphicData>
            </a:graphic>
          </wp:inline>
        </w:drawing>
      </w:r>
    </w:p>
    <w:p>
      <w:pPr>
        <w:jc w:val="center"/>
      </w:pPr>
      <w:r>
        <w:rPr>
          <w:rFonts w:ascii="Arial" w:hAnsi="Arial" w:eastAsia="Arial"/>
        </w:rPr>
        <w:t>Figure 1. AIRA Fitness Function Control Layers</w:t>
      </w:r>
    </w:p>
    <w:p>
      <w:pPr>
        <w:pStyle w:val="Heading2"/>
      </w:pPr>
      <w:r>
        <w:rPr>
          <w:rFonts w:ascii="Arial" w:hAnsi="Arial" w:eastAsia="Arial"/>
          <w:b w:val="0"/>
        </w:rPr>
        <w:t>3.1 Fitness Function Types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F4E79"/>
            <w:vAlign w:val="top"/>
          </w:tcPr>
          <w:p>
            <w:r/>
            <w:r>
              <w:rPr>
                <w:rFonts w:ascii="Arial" w:hAnsi="Arial" w:eastAsia="Arial"/>
                <w:b/>
                <w:color w:val="FFFFFF"/>
                <w:sz w:val="16"/>
              </w:rPr>
              <w:t>Type</w:t>
            </w:r>
          </w:p>
        </w:tc>
        <w:tc>
          <w:tcPr>
            <w:tcW w:type="dxa" w:w="5760"/>
            <w:shd w:fill="1F4E79"/>
            <w:vAlign w:val="top"/>
          </w:tcPr>
          <w:p>
            <w:r/>
            <w:r>
              <w:rPr>
                <w:rFonts w:ascii="Arial" w:hAnsi="Arial" w:eastAsia="Arial"/>
                <w:b/>
                <w:color w:val="FFFFFF"/>
                <w:sz w:val="16"/>
              </w:rPr>
              <w:t>Purpose</w:t>
            </w:r>
          </w:p>
        </w:tc>
        <w:tc>
          <w:tcPr>
            <w:tcW w:type="dxa" w:w="3600"/>
            <w:shd w:fill="1F4E79"/>
            <w:vAlign w:val="top"/>
          </w:tcPr>
          <w:p>
            <w:r/>
            <w:r>
              <w:rPr>
                <w:rFonts w:ascii="Arial" w:hAnsi="Arial" w:eastAsia="Arial"/>
                <w:b/>
                <w:color w:val="FFFFFF"/>
                <w:sz w:val="16"/>
              </w:rPr>
              <w:t>Example Tools</w:t>
            </w:r>
          </w:p>
        </w:tc>
      </w:tr>
      <w:tr>
        <w:tc>
          <w:tcPr>
            <w:tcW w:type="dxa" w:w="2016"/>
            <w:vAlign w:val="top"/>
          </w:tcPr>
          <w:p>
            <w:r/>
            <w:r>
              <w:rPr>
                <w:rFonts w:ascii="Arial" w:hAnsi="Arial" w:eastAsia="Arial"/>
                <w:b w:val="0"/>
                <w:sz w:val="16"/>
              </w:rPr>
              <w:t>Static structure</w:t>
            </w:r>
          </w:p>
        </w:tc>
        <w:tc>
          <w:tcPr>
            <w:tcW w:type="dxa" w:w="5760"/>
            <w:vAlign w:val="top"/>
          </w:tcPr>
          <w:p>
            <w:r/>
            <w:r>
              <w:rPr>
                <w:rFonts w:ascii="Arial" w:hAnsi="Arial" w:eastAsia="Arial"/>
                <w:b w:val="0"/>
                <w:sz w:val="16"/>
              </w:rPr>
              <w:t>Checks dependencies, packages, imports, annotations, direct SDK usage, folder boundaries, naming, and forbidden APIs.</w:t>
            </w:r>
          </w:p>
        </w:tc>
        <w:tc>
          <w:tcPr>
            <w:tcW w:type="dxa" w:w="3600"/>
            <w:vAlign w:val="top"/>
          </w:tcPr>
          <w:p>
            <w:r/>
            <w:r>
              <w:rPr>
                <w:rFonts w:ascii="Arial" w:hAnsi="Arial" w:eastAsia="Arial"/>
                <w:b w:val="0"/>
                <w:sz w:val="16"/>
              </w:rPr>
              <w:t>ArchUnit, Semgrep, SonarQube, dependency graph</w:t>
            </w:r>
          </w:p>
        </w:tc>
      </w:tr>
      <w:tr>
        <w:tc>
          <w:tcPr>
            <w:tcW w:type="dxa" w:w="2016"/>
            <w:vAlign w:val="top"/>
          </w:tcPr>
          <w:p>
            <w:r/>
            <w:r>
              <w:rPr>
                <w:rFonts w:ascii="Arial" w:hAnsi="Arial" w:eastAsia="Arial"/>
                <w:b w:val="0"/>
                <w:sz w:val="16"/>
              </w:rPr>
              <w:t>Policy-as-code</w:t>
            </w:r>
          </w:p>
        </w:tc>
        <w:tc>
          <w:tcPr>
            <w:tcW w:type="dxa" w:w="5760"/>
            <w:vAlign w:val="top"/>
          </w:tcPr>
          <w:p>
            <w:r/>
            <w:r>
              <w:rPr>
                <w:rFonts w:ascii="Arial" w:hAnsi="Arial" w:eastAsia="Arial"/>
                <w:b w:val="0"/>
                <w:sz w:val="16"/>
              </w:rPr>
              <w:t>Checks authorization, admission, IaC, environment, model routing, and action permission rules.</w:t>
            </w:r>
          </w:p>
        </w:tc>
        <w:tc>
          <w:tcPr>
            <w:tcW w:type="dxa" w:w="3600"/>
            <w:vAlign w:val="top"/>
          </w:tcPr>
          <w:p>
            <w:r/>
            <w:r>
              <w:rPr>
                <w:rFonts w:ascii="Arial" w:hAnsi="Arial" w:eastAsia="Arial"/>
                <w:b w:val="0"/>
                <w:sz w:val="16"/>
              </w:rPr>
              <w:t>OPA/Rego, Conftest, Gatekeeper, Harness policy</w:t>
            </w:r>
          </w:p>
        </w:tc>
      </w:tr>
      <w:tr>
        <w:tc>
          <w:tcPr>
            <w:tcW w:type="dxa" w:w="2016"/>
            <w:vAlign w:val="top"/>
          </w:tcPr>
          <w:p>
            <w:r/>
            <w:r>
              <w:rPr>
                <w:rFonts w:ascii="Arial" w:hAnsi="Arial" w:eastAsia="Arial"/>
                <w:b w:val="0"/>
                <w:sz w:val="16"/>
              </w:rPr>
              <w:t>Behavioral tests</w:t>
            </w:r>
          </w:p>
        </w:tc>
        <w:tc>
          <w:tcPr>
            <w:tcW w:type="dxa" w:w="5760"/>
            <w:vAlign w:val="top"/>
          </w:tcPr>
          <w:p>
            <w:r/>
            <w:r>
              <w:rPr>
                <w:rFonts w:ascii="Arial" w:hAnsi="Arial" w:eastAsia="Arial"/>
                <w:b w:val="0"/>
                <w:sz w:val="16"/>
              </w:rPr>
              <w:t>Checks idempotency, determinism, error paths, compensation, retry, fallback, and rollback behaviour.</w:t>
            </w:r>
          </w:p>
        </w:tc>
        <w:tc>
          <w:tcPr>
            <w:tcW w:type="dxa" w:w="3600"/>
            <w:vAlign w:val="top"/>
          </w:tcPr>
          <w:p>
            <w:r/>
            <w:r>
              <w:rPr>
                <w:rFonts w:ascii="Arial" w:hAnsi="Arial" w:eastAsia="Arial"/>
                <w:b w:val="0"/>
                <w:sz w:val="16"/>
              </w:rPr>
              <w:t>JUnit, Vitest, Playwright, Testcontainers, mutation testing</w:t>
            </w:r>
          </w:p>
        </w:tc>
      </w:tr>
      <w:tr>
        <w:tc>
          <w:tcPr>
            <w:tcW w:type="dxa" w:w="2016"/>
            <w:vAlign w:val="top"/>
          </w:tcPr>
          <w:p>
            <w:r/>
            <w:r>
              <w:rPr>
                <w:rFonts w:ascii="Arial" w:hAnsi="Arial" w:eastAsia="Arial"/>
                <w:b w:val="0"/>
                <w:sz w:val="16"/>
              </w:rPr>
              <w:t>Contract tests</w:t>
            </w:r>
          </w:p>
        </w:tc>
        <w:tc>
          <w:tcPr>
            <w:tcW w:type="dxa" w:w="5760"/>
            <w:vAlign w:val="top"/>
          </w:tcPr>
          <w:p>
            <w:r/>
            <w:r>
              <w:rPr>
                <w:rFonts w:ascii="Arial" w:hAnsi="Arial" w:eastAsia="Arial"/>
                <w:b w:val="0"/>
                <w:sz w:val="16"/>
              </w:rPr>
              <w:t>Checks APIs, events, schemas, error contracts, backward compatibility, and consumer expectations.</w:t>
            </w:r>
          </w:p>
        </w:tc>
        <w:tc>
          <w:tcPr>
            <w:tcW w:type="dxa" w:w="3600"/>
            <w:vAlign w:val="top"/>
          </w:tcPr>
          <w:p>
            <w:r/>
            <w:r>
              <w:rPr>
                <w:rFonts w:ascii="Arial" w:hAnsi="Arial" w:eastAsia="Arial"/>
                <w:b w:val="0"/>
                <w:sz w:val="16"/>
              </w:rPr>
              <w:t>OpenAPI/AsyncAPI linters, Pact, Spring Cloud Contract</w:t>
            </w:r>
          </w:p>
        </w:tc>
      </w:tr>
      <w:tr>
        <w:tc>
          <w:tcPr>
            <w:tcW w:type="dxa" w:w="2016"/>
            <w:vAlign w:val="top"/>
          </w:tcPr>
          <w:p>
            <w:r/>
            <w:r>
              <w:rPr>
                <w:rFonts w:ascii="Arial" w:hAnsi="Arial" w:eastAsia="Arial"/>
                <w:b w:val="0"/>
                <w:sz w:val="16"/>
              </w:rPr>
              <w:t>Evidence checks</w:t>
            </w:r>
          </w:p>
        </w:tc>
        <w:tc>
          <w:tcPr>
            <w:tcW w:type="dxa" w:w="5760"/>
            <w:vAlign w:val="top"/>
          </w:tcPr>
          <w:p>
            <w:r/>
            <w:r>
              <w:rPr>
                <w:rFonts w:ascii="Arial" w:hAnsi="Arial" w:eastAsia="Arial"/>
                <w:b w:val="0"/>
                <w:sz w:val="16"/>
              </w:rPr>
              <w:t>Checks that evidence exists, is linked, complete, classified, retained, and reviewable.</w:t>
            </w:r>
          </w:p>
        </w:tc>
        <w:tc>
          <w:tcPr>
            <w:tcW w:type="dxa" w:w="3600"/>
            <w:vAlign w:val="top"/>
          </w:tcPr>
          <w:p>
            <w:r/>
            <w:r>
              <w:rPr>
                <w:rFonts w:ascii="Arial" w:hAnsi="Arial" w:eastAsia="Arial"/>
                <w:b w:val="0"/>
                <w:sz w:val="16"/>
              </w:rPr>
              <w:t>CI evidence manifest, PR template validation, audit store</w:t>
            </w:r>
          </w:p>
        </w:tc>
      </w:tr>
      <w:tr>
        <w:tc>
          <w:tcPr>
            <w:tcW w:type="dxa" w:w="2016"/>
            <w:vAlign w:val="top"/>
          </w:tcPr>
          <w:p>
            <w:r/>
            <w:r>
              <w:rPr>
                <w:rFonts w:ascii="Arial" w:hAnsi="Arial" w:eastAsia="Arial"/>
                <w:b w:val="0"/>
                <w:sz w:val="16"/>
              </w:rPr>
              <w:t>Runtime fitness</w:t>
            </w:r>
          </w:p>
        </w:tc>
        <w:tc>
          <w:tcPr>
            <w:tcW w:type="dxa" w:w="5760"/>
            <w:vAlign w:val="top"/>
          </w:tcPr>
          <w:p>
            <w:r/>
            <w:r>
              <w:rPr>
                <w:rFonts w:ascii="Arial" w:hAnsi="Arial" w:eastAsia="Arial"/>
                <w:b w:val="0"/>
                <w:sz w:val="16"/>
              </w:rPr>
              <w:t>Checks production signals, SLOs, policy decisions, logs, traces, audit, and drift indicators.</w:t>
            </w:r>
          </w:p>
        </w:tc>
        <w:tc>
          <w:tcPr>
            <w:tcW w:type="dxa" w:w="3600"/>
            <w:vAlign w:val="top"/>
          </w:tcPr>
          <w:p>
            <w:r/>
            <w:r>
              <w:rPr>
                <w:rFonts w:ascii="Arial" w:hAnsi="Arial" w:eastAsia="Arial"/>
                <w:b w:val="0"/>
                <w:sz w:val="16"/>
              </w:rPr>
              <w:t>OpenTelemetry, Prometheus, Loki, Tempo, Sentry, Grafana</w:t>
            </w:r>
          </w:p>
        </w:tc>
      </w:tr>
    </w:tbl>
    <w:p/>
    <w:p>
      <w:pPr>
        <w:pStyle w:val="Heading2"/>
      </w:pPr>
      <w:r>
        <w:rPr>
          <w:rFonts w:ascii="Arial" w:hAnsi="Arial" w:eastAsia="Arial"/>
          <w:b w:val="0"/>
        </w:rPr>
        <w:t>3.2 Mandatory Rejection Rule</w:t>
      </w:r>
    </w:p>
    <w:p>
      <w:r>
        <w:rPr>
          <w:rFonts w:ascii="Arial" w:hAnsi="Arial" w:eastAsia="Arial"/>
          <w:b w:val="0"/>
        </w:rPr>
        <w:t>A critical or high-severity fitness failure blocks merge or promotion. The only exception is a formal waiver that states owner, reason, risk, expiry date, compensating control, remediation ticket, and approval authority. Waivers must be visible in the PR/MR evidence pack and must not permit direct production bypass of identity, guardrail, audit, or policy controls.</w:t>
      </w:r>
    </w:p>
    <w:p>
      <w:pPr>
        <w:pStyle w:val="Heading1"/>
      </w:pPr>
      <w:r>
        <w:rPr>
          <w:rFonts w:ascii="Arial" w:hAnsi="Arial" w:eastAsia="Arial"/>
          <w:b w:val="0"/>
        </w:rPr>
        <w:t>4. Enforcement Levels and Toolchain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1F4E79"/>
            <w:vAlign w:val="top"/>
          </w:tcPr>
          <w:p>
            <w:r/>
            <w:r>
              <w:rPr>
                <w:rFonts w:ascii="Arial" w:hAnsi="Arial" w:eastAsia="Arial"/>
                <w:b/>
                <w:color w:val="FFFFFF"/>
                <w:sz w:val="16"/>
              </w:rPr>
              <w:t>Level</w:t>
            </w:r>
          </w:p>
        </w:tc>
        <w:tc>
          <w:tcPr>
            <w:tcW w:type="dxa" w:w="6048"/>
            <w:shd w:fill="1F4E79"/>
            <w:vAlign w:val="top"/>
          </w:tcPr>
          <w:p>
            <w:r/>
            <w:r>
              <w:rPr>
                <w:rFonts w:ascii="Arial" w:hAnsi="Arial" w:eastAsia="Arial"/>
                <w:b/>
                <w:color w:val="FFFFFF"/>
                <w:sz w:val="16"/>
              </w:rPr>
              <w:t>Meaning</w:t>
            </w:r>
          </w:p>
        </w:tc>
        <w:tc>
          <w:tcPr>
            <w:tcW w:type="dxa" w:w="3456"/>
            <w:shd w:fill="1F4E79"/>
            <w:vAlign w:val="top"/>
          </w:tcPr>
          <w:p>
            <w:r/>
            <w:r>
              <w:rPr>
                <w:rFonts w:ascii="Arial" w:hAnsi="Arial" w:eastAsia="Arial"/>
                <w:b/>
                <w:color w:val="FFFFFF"/>
                <w:sz w:val="16"/>
              </w:rPr>
              <w:t>Required Action</w:t>
            </w:r>
          </w:p>
        </w:tc>
      </w:tr>
      <w:tr>
        <w:tc>
          <w:tcPr>
            <w:tcW w:type="dxa" w:w="1872"/>
            <w:vAlign w:val="top"/>
          </w:tcPr>
          <w:p>
            <w:r/>
            <w:r>
              <w:rPr>
                <w:rFonts w:ascii="Arial" w:hAnsi="Arial" w:eastAsia="Arial"/>
                <w:b w:val="0"/>
                <w:sz w:val="16"/>
              </w:rPr>
              <w:t>Advisory</w:t>
            </w:r>
          </w:p>
        </w:tc>
        <w:tc>
          <w:tcPr>
            <w:tcW w:type="dxa" w:w="6048"/>
            <w:vAlign w:val="top"/>
          </w:tcPr>
          <w:p>
            <w:r/>
            <w:r>
              <w:rPr>
                <w:rFonts w:ascii="Arial" w:hAnsi="Arial" w:eastAsia="Arial"/>
                <w:b w:val="0"/>
                <w:sz w:val="16"/>
              </w:rPr>
              <w:t>Reports issue but does not block. Used for early adoption and low-risk maintainability signals.</w:t>
            </w:r>
          </w:p>
        </w:tc>
        <w:tc>
          <w:tcPr>
            <w:tcW w:type="dxa" w:w="3456"/>
            <w:vAlign w:val="top"/>
          </w:tcPr>
          <w:p>
            <w:r/>
            <w:r>
              <w:rPr>
                <w:rFonts w:ascii="Arial" w:hAnsi="Arial" w:eastAsia="Arial"/>
                <w:b w:val="0"/>
                <w:sz w:val="16"/>
              </w:rPr>
              <w:t>Backlog item or refactor recommendation.</w:t>
            </w:r>
          </w:p>
        </w:tc>
      </w:tr>
      <w:tr>
        <w:tc>
          <w:tcPr>
            <w:tcW w:type="dxa" w:w="1872"/>
            <w:vAlign w:val="top"/>
          </w:tcPr>
          <w:p>
            <w:r/>
            <w:r>
              <w:rPr>
                <w:rFonts w:ascii="Arial" w:hAnsi="Arial" w:eastAsia="Arial"/>
                <w:b w:val="0"/>
                <w:sz w:val="16"/>
              </w:rPr>
              <w:t>Warning</w:t>
            </w:r>
          </w:p>
        </w:tc>
        <w:tc>
          <w:tcPr>
            <w:tcW w:type="dxa" w:w="6048"/>
            <w:vAlign w:val="top"/>
          </w:tcPr>
          <w:p>
            <w:r/>
            <w:r>
              <w:rPr>
                <w:rFonts w:ascii="Arial" w:hAnsi="Arial" w:eastAsia="Arial"/>
                <w:b w:val="0"/>
                <w:sz w:val="16"/>
              </w:rPr>
              <w:t>Allows merge only with reviewer acknowledgement. Used for medium-risk drift where compensating evidence exists.</w:t>
            </w:r>
          </w:p>
        </w:tc>
        <w:tc>
          <w:tcPr>
            <w:tcW w:type="dxa" w:w="3456"/>
            <w:vAlign w:val="top"/>
          </w:tcPr>
          <w:p>
            <w:r/>
            <w:r>
              <w:rPr>
                <w:rFonts w:ascii="Arial" w:hAnsi="Arial" w:eastAsia="Arial"/>
                <w:b w:val="0"/>
                <w:sz w:val="16"/>
              </w:rPr>
              <w:t>Reviewer records disposition in PR/MR.</w:t>
            </w:r>
          </w:p>
        </w:tc>
      </w:tr>
      <w:tr>
        <w:tc>
          <w:tcPr>
            <w:tcW w:type="dxa" w:w="1872"/>
            <w:vAlign w:val="top"/>
          </w:tcPr>
          <w:p>
            <w:r/>
            <w:r>
              <w:rPr>
                <w:rFonts w:ascii="Arial" w:hAnsi="Arial" w:eastAsia="Arial"/>
                <w:b w:val="0"/>
                <w:sz w:val="16"/>
              </w:rPr>
              <w:t>Blocking</w:t>
            </w:r>
          </w:p>
        </w:tc>
        <w:tc>
          <w:tcPr>
            <w:tcW w:type="dxa" w:w="6048"/>
            <w:vAlign w:val="top"/>
          </w:tcPr>
          <w:p>
            <w:r/>
            <w:r>
              <w:rPr>
                <w:rFonts w:ascii="Arial" w:hAnsi="Arial" w:eastAsia="Arial"/>
                <w:b w:val="0"/>
                <w:sz w:val="16"/>
              </w:rPr>
              <w:t>Fails pre-commit or CI. Used for architecture, security, data, AI, tests, and evidence violations.</w:t>
            </w:r>
          </w:p>
        </w:tc>
        <w:tc>
          <w:tcPr>
            <w:tcW w:type="dxa" w:w="3456"/>
            <w:vAlign w:val="top"/>
          </w:tcPr>
          <w:p>
            <w:r/>
            <w:r>
              <w:rPr>
                <w:rFonts w:ascii="Arial" w:hAnsi="Arial" w:eastAsia="Arial"/>
                <w:b w:val="0"/>
                <w:sz w:val="16"/>
              </w:rPr>
              <w:t>Fix required before merge or formal waiver.</w:t>
            </w:r>
          </w:p>
        </w:tc>
      </w:tr>
      <w:tr>
        <w:tc>
          <w:tcPr>
            <w:tcW w:type="dxa" w:w="1872"/>
            <w:vAlign w:val="top"/>
          </w:tcPr>
          <w:p>
            <w:r/>
            <w:r>
              <w:rPr>
                <w:rFonts w:ascii="Arial" w:hAnsi="Arial" w:eastAsia="Arial"/>
                <w:b w:val="0"/>
                <w:sz w:val="16"/>
              </w:rPr>
              <w:t>Quarantine</w:t>
            </w:r>
          </w:p>
        </w:tc>
        <w:tc>
          <w:tcPr>
            <w:tcW w:type="dxa" w:w="6048"/>
            <w:vAlign w:val="top"/>
          </w:tcPr>
          <w:p>
            <w:r/>
            <w:r>
              <w:rPr>
                <w:rFonts w:ascii="Arial" w:hAnsi="Arial" w:eastAsia="Arial"/>
                <w:b w:val="0"/>
                <w:sz w:val="16"/>
              </w:rPr>
              <w:t>Stops deployment or disables artifact from promotion. Used for secrets, direct provider calls, Restricted data leaks, policy bypass, or broken guardrails.</w:t>
            </w:r>
          </w:p>
        </w:tc>
        <w:tc>
          <w:tcPr>
            <w:tcW w:type="dxa" w:w="3456"/>
            <w:vAlign w:val="top"/>
          </w:tcPr>
          <w:p>
            <w:r/>
            <w:r>
              <w:rPr>
                <w:rFonts w:ascii="Arial" w:hAnsi="Arial" w:eastAsia="Arial"/>
                <w:b w:val="0"/>
                <w:sz w:val="16"/>
              </w:rPr>
              <w:t>Security/Architecture escalation required.</w:t>
            </w:r>
          </w:p>
        </w:tc>
      </w:tr>
    </w:tbl>
    <w:p/>
    <w:p>
      <w:pPr>
        <w:pStyle w:val="Heading2"/>
      </w:pPr>
      <w:r>
        <w:rPr>
          <w:rFonts w:ascii="Arial" w:hAnsi="Arial" w:eastAsia="Arial"/>
          <w:b w:val="0"/>
        </w:rPr>
        <w:t>4.1 Recommended Toolchain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456"/>
            <w:shd w:fill="1F4E79"/>
            <w:vAlign w:val="top"/>
          </w:tcPr>
          <w:p>
            <w:r/>
            <w:r>
              <w:rPr>
                <w:rFonts w:ascii="Arial" w:hAnsi="Arial" w:eastAsia="Arial"/>
                <w:b/>
                <w:color w:val="FFFFFF"/>
                <w:sz w:val="16"/>
              </w:rPr>
              <w:t>Tool / Control</w:t>
            </w:r>
          </w:p>
        </w:tc>
        <w:tc>
          <w:tcPr>
            <w:tcW w:type="dxa" w:w="7920"/>
            <w:shd w:fill="1F4E79"/>
            <w:vAlign w:val="top"/>
          </w:tcPr>
          <w:p>
            <w:r/>
            <w:r>
              <w:rPr>
                <w:rFonts w:ascii="Arial" w:hAnsi="Arial" w:eastAsia="Arial"/>
                <w:b/>
                <w:color w:val="FFFFFF"/>
                <w:sz w:val="16"/>
              </w:rPr>
              <w:t>Primary Fitness Role</w:t>
            </w:r>
          </w:p>
        </w:tc>
      </w:tr>
      <w:tr>
        <w:tc>
          <w:tcPr>
            <w:tcW w:type="dxa" w:w="3456"/>
            <w:vAlign w:val="top"/>
          </w:tcPr>
          <w:p>
            <w:r/>
            <w:r>
              <w:rPr>
                <w:rFonts w:ascii="Arial" w:hAnsi="Arial" w:eastAsia="Arial"/>
                <w:b w:val="0"/>
                <w:sz w:val="16"/>
              </w:rPr>
              <w:t>ArchUnit</w:t>
            </w:r>
          </w:p>
        </w:tc>
        <w:tc>
          <w:tcPr>
            <w:tcW w:type="dxa" w:w="7920"/>
            <w:vAlign w:val="top"/>
          </w:tcPr>
          <w:p>
            <w:r/>
            <w:r>
              <w:rPr>
                <w:rFonts w:ascii="Arial" w:hAnsi="Arial" w:eastAsia="Arial"/>
                <w:b w:val="0"/>
                <w:sz w:val="16"/>
              </w:rPr>
              <w:t>Java architecture boundaries, dependency direction, annotation rules, package rules.</w:t>
            </w:r>
          </w:p>
        </w:tc>
      </w:tr>
      <w:tr>
        <w:tc>
          <w:tcPr>
            <w:tcW w:type="dxa" w:w="3456"/>
            <w:vAlign w:val="top"/>
          </w:tcPr>
          <w:p>
            <w:r/>
            <w:r>
              <w:rPr>
                <w:rFonts w:ascii="Arial" w:hAnsi="Arial" w:eastAsia="Arial"/>
                <w:b w:val="0"/>
                <w:sz w:val="16"/>
              </w:rPr>
              <w:t>SonarQube / SonarCloud</w:t>
            </w:r>
          </w:p>
        </w:tc>
        <w:tc>
          <w:tcPr>
            <w:tcW w:type="dxa" w:w="7920"/>
            <w:vAlign w:val="top"/>
          </w:tcPr>
          <w:p>
            <w:r/>
            <w:r>
              <w:rPr>
                <w:rFonts w:ascii="Arial" w:hAnsi="Arial" w:eastAsia="Arial"/>
                <w:b w:val="0"/>
                <w:sz w:val="16"/>
              </w:rPr>
              <w:t>Maintainability, duplication, complexity, security hotspots, quality gate.</w:t>
            </w:r>
          </w:p>
        </w:tc>
      </w:tr>
      <w:tr>
        <w:tc>
          <w:tcPr>
            <w:tcW w:type="dxa" w:w="3456"/>
            <w:vAlign w:val="top"/>
          </w:tcPr>
          <w:p>
            <w:r/>
            <w:r>
              <w:rPr>
                <w:rFonts w:ascii="Arial" w:hAnsi="Arial" w:eastAsia="Arial"/>
                <w:b w:val="0"/>
                <w:sz w:val="16"/>
              </w:rPr>
              <w:t>Semgrep</w:t>
            </w:r>
          </w:p>
        </w:tc>
        <w:tc>
          <w:tcPr>
            <w:tcW w:type="dxa" w:w="7920"/>
            <w:vAlign w:val="top"/>
          </w:tcPr>
          <w:p>
            <w:r/>
            <w:r>
              <w:rPr>
                <w:rFonts w:ascii="Arial" w:hAnsi="Arial" w:eastAsia="Arial"/>
                <w:b w:val="0"/>
                <w:sz w:val="16"/>
              </w:rPr>
              <w:t>Forbidden imports, direct SDK calls, unsafe patterns, logging leaks, framework bypass.</w:t>
            </w:r>
          </w:p>
        </w:tc>
      </w:tr>
      <w:tr>
        <w:tc>
          <w:tcPr>
            <w:tcW w:type="dxa" w:w="3456"/>
            <w:vAlign w:val="top"/>
          </w:tcPr>
          <w:p>
            <w:r/>
            <w:r>
              <w:rPr>
                <w:rFonts w:ascii="Arial" w:hAnsi="Arial" w:eastAsia="Arial"/>
                <w:b w:val="0"/>
                <w:sz w:val="16"/>
              </w:rPr>
              <w:t>OPA / Conftest</w:t>
            </w:r>
          </w:p>
        </w:tc>
        <w:tc>
          <w:tcPr>
            <w:tcW w:type="dxa" w:w="7920"/>
            <w:vAlign w:val="top"/>
          </w:tcPr>
          <w:p>
            <w:r/>
            <w:r>
              <w:rPr>
                <w:rFonts w:ascii="Arial" w:hAnsi="Arial" w:eastAsia="Arial"/>
                <w:b w:val="0"/>
                <w:sz w:val="16"/>
              </w:rPr>
              <w:t>Policy-as-code checks for IaC, model routing, SBAC, waivers, deployment rules.</w:t>
            </w:r>
          </w:p>
        </w:tc>
      </w:tr>
      <w:tr>
        <w:tc>
          <w:tcPr>
            <w:tcW w:type="dxa" w:w="3456"/>
            <w:vAlign w:val="top"/>
          </w:tcPr>
          <w:p>
            <w:r/>
            <w:r>
              <w:rPr>
                <w:rFonts w:ascii="Arial" w:hAnsi="Arial" w:eastAsia="Arial"/>
                <w:b w:val="0"/>
                <w:sz w:val="16"/>
              </w:rPr>
              <w:t>OpenAPI / AsyncAPI Linters</w:t>
            </w:r>
          </w:p>
        </w:tc>
        <w:tc>
          <w:tcPr>
            <w:tcW w:type="dxa" w:w="7920"/>
            <w:vAlign w:val="top"/>
          </w:tcPr>
          <w:p>
            <w:r/>
            <w:r>
              <w:rPr>
                <w:rFonts w:ascii="Arial" w:hAnsi="Arial" w:eastAsia="Arial"/>
                <w:b w:val="0"/>
                <w:sz w:val="16"/>
              </w:rPr>
              <w:t>Contract completeness, versioning, error shape, security schemes, compatibility.</w:t>
            </w:r>
          </w:p>
        </w:tc>
      </w:tr>
      <w:tr>
        <w:tc>
          <w:tcPr>
            <w:tcW w:type="dxa" w:w="3456"/>
            <w:vAlign w:val="top"/>
          </w:tcPr>
          <w:p>
            <w:r/>
            <w:r>
              <w:rPr>
                <w:rFonts w:ascii="Arial" w:hAnsi="Arial" w:eastAsia="Arial"/>
                <w:b w:val="0"/>
                <w:sz w:val="16"/>
              </w:rPr>
              <w:t>JUnit / Vitest / Playwright</w:t>
            </w:r>
          </w:p>
        </w:tc>
        <w:tc>
          <w:tcPr>
            <w:tcW w:type="dxa" w:w="7920"/>
            <w:vAlign w:val="top"/>
          </w:tcPr>
          <w:p>
            <w:r/>
            <w:r>
              <w:rPr>
                <w:rFonts w:ascii="Arial" w:hAnsi="Arial" w:eastAsia="Arial"/>
                <w:b w:val="0"/>
                <w:sz w:val="16"/>
              </w:rPr>
              <w:t>Unit, component, frontend, workflow, idempotency, rollback, and regression tests.</w:t>
            </w:r>
          </w:p>
        </w:tc>
      </w:tr>
      <w:tr>
        <w:tc>
          <w:tcPr>
            <w:tcW w:type="dxa" w:w="3456"/>
            <w:vAlign w:val="top"/>
          </w:tcPr>
          <w:p>
            <w:r/>
            <w:r>
              <w:rPr>
                <w:rFonts w:ascii="Arial" w:hAnsi="Arial" w:eastAsia="Arial"/>
                <w:b w:val="0"/>
                <w:sz w:val="16"/>
              </w:rPr>
              <w:t>Mutation Testing</w:t>
            </w:r>
          </w:p>
        </w:tc>
        <w:tc>
          <w:tcPr>
            <w:tcW w:type="dxa" w:w="7920"/>
            <w:vAlign w:val="top"/>
          </w:tcPr>
          <w:p>
            <w:r/>
            <w:r>
              <w:rPr>
                <w:rFonts w:ascii="Arial" w:hAnsi="Arial" w:eastAsia="Arial"/>
                <w:b w:val="0"/>
                <w:sz w:val="16"/>
              </w:rPr>
              <w:t>Verifies that tests actually detect behavioural changes.</w:t>
            </w:r>
          </w:p>
        </w:tc>
      </w:tr>
      <w:tr>
        <w:tc>
          <w:tcPr>
            <w:tcW w:type="dxa" w:w="3456"/>
            <w:vAlign w:val="top"/>
          </w:tcPr>
          <w:p>
            <w:r/>
            <w:r>
              <w:rPr>
                <w:rFonts w:ascii="Arial" w:hAnsi="Arial" w:eastAsia="Arial"/>
                <w:b w:val="0"/>
                <w:sz w:val="16"/>
              </w:rPr>
              <w:t>OpenTelemetry / Observability Checks</w:t>
            </w:r>
          </w:p>
        </w:tc>
        <w:tc>
          <w:tcPr>
            <w:tcW w:type="dxa" w:w="7920"/>
            <w:vAlign w:val="top"/>
          </w:tcPr>
          <w:p>
            <w:r/>
            <w:r>
              <w:rPr>
                <w:rFonts w:ascii="Arial" w:hAnsi="Arial" w:eastAsia="Arial"/>
                <w:b w:val="0"/>
                <w:sz w:val="16"/>
              </w:rPr>
              <w:t>Verifies trace, metric, log, audit, and correlation requirements.</w:t>
            </w:r>
          </w:p>
        </w:tc>
      </w:tr>
      <w:tr>
        <w:tc>
          <w:tcPr>
            <w:tcW w:type="dxa" w:w="3456"/>
            <w:vAlign w:val="top"/>
          </w:tcPr>
          <w:p>
            <w:r/>
            <w:r>
              <w:rPr>
                <w:rFonts w:ascii="Arial" w:hAnsi="Arial" w:eastAsia="Arial"/>
                <w:b w:val="0"/>
                <w:sz w:val="16"/>
              </w:rPr>
              <w:t>Trivy / Gitleaks / Syft / Cosign</w:t>
            </w:r>
          </w:p>
        </w:tc>
        <w:tc>
          <w:tcPr>
            <w:tcW w:type="dxa" w:w="7920"/>
            <w:vAlign w:val="top"/>
          </w:tcPr>
          <w:p>
            <w:r/>
            <w:r>
              <w:rPr>
                <w:rFonts w:ascii="Arial" w:hAnsi="Arial" w:eastAsia="Arial"/>
                <w:b w:val="0"/>
                <w:sz w:val="16"/>
              </w:rPr>
              <w:t>Container, secret, dependency, SBOM, and provenance fitness.</w:t>
            </w:r>
          </w:p>
        </w:tc>
      </w:tr>
      <w:tr>
        <w:tc>
          <w:tcPr>
            <w:tcW w:type="dxa" w:w="3456"/>
            <w:vAlign w:val="top"/>
          </w:tcPr>
          <w:p>
            <w:r/>
            <w:r>
              <w:rPr>
                <w:rFonts w:ascii="Arial" w:hAnsi="Arial" w:eastAsia="Arial"/>
                <w:b w:val="0"/>
                <w:sz w:val="16"/>
              </w:rPr>
              <w:t>Custom AIRA Evidence Validator</w:t>
            </w:r>
          </w:p>
        </w:tc>
        <w:tc>
          <w:tcPr>
            <w:tcW w:type="dxa" w:w="7920"/>
            <w:vAlign w:val="top"/>
          </w:tcPr>
          <w:p>
            <w:r/>
            <w:r>
              <w:rPr>
                <w:rFonts w:ascii="Arial" w:hAnsi="Arial" w:eastAsia="Arial"/>
                <w:b w:val="0"/>
                <w:sz w:val="16"/>
              </w:rPr>
              <w:t>Validates PR/MR AVCI summary, evidence manifest, fitness function results, and waiver records.</w:t>
            </w:r>
          </w:p>
        </w:tc>
      </w:tr>
    </w:tbl>
    <w:p/>
    <w:p>
      <w:r>
        <w:rPr>
          <w:rFonts w:ascii="Arial" w:hAnsi="Arial" w:eastAsia="Arial"/>
        </w:rPr>
        <w:drawing>
          <wp:inline xmlns:a="http://schemas.openxmlformats.org/drawingml/2006/main" xmlns:pic="http://schemas.openxmlformats.org/drawingml/2006/picture">
            <wp:extent cx="6583680" cy="3209544"/>
            <wp:docPr id="2" name="Picture 2"/>
            <wp:cNvGraphicFramePr>
              <a:graphicFrameLocks noChangeAspect="1"/>
            </wp:cNvGraphicFramePr>
            <a:graphic>
              <a:graphicData uri="http://schemas.openxmlformats.org/drawingml/2006/picture">
                <pic:pic>
                  <pic:nvPicPr>
                    <pic:cNvPr id="0" name="fitness_pipeline.png"/>
                    <pic:cNvPicPr/>
                  </pic:nvPicPr>
                  <pic:blipFill>
                    <a:blip r:embed="rId12"/>
                    <a:stretch>
                      <a:fillRect/>
                    </a:stretch>
                  </pic:blipFill>
                  <pic:spPr>
                    <a:xfrm>
                      <a:off x="0" y="0"/>
                      <a:ext cx="6583680" cy="3209544"/>
                    </a:xfrm>
                    <a:prstGeom prst="rect"/>
                  </pic:spPr>
                </pic:pic>
              </a:graphicData>
            </a:graphic>
          </wp:inline>
        </w:drawing>
      </w:r>
    </w:p>
    <w:p>
      <w:pPr>
        <w:jc w:val="center"/>
      </w:pPr>
      <w:r>
        <w:rPr>
          <w:rFonts w:ascii="Arial" w:hAnsi="Arial" w:eastAsia="Arial"/>
        </w:rPr>
        <w:t>Figure 2. Architecture Fitness Function Enforcement Pipeline</w:t>
      </w:r>
    </w:p>
    <w:p>
      <w:pPr>
        <w:pStyle w:val="Heading1"/>
      </w:pPr>
      <w:r>
        <w:rPr>
          <w:rFonts w:ascii="Arial" w:hAnsi="Arial" w:eastAsia="Arial"/>
          <w:b w:val="0"/>
        </w:rPr>
        <w:t>5. Architecture Fitness Function Catalog</w:t>
      </w:r>
    </w:p>
    <w:p>
      <w:r>
        <w:rPr>
          <w:rFonts w:ascii="Arial" w:hAnsi="Arial" w:eastAsia="Arial"/>
          <w:b w:val="0"/>
        </w:rPr>
        <w:t>The catalog below defines the initial AIRA baseline. Project teams may add stricter service-specific fitness functions, but they may not remove or weaken mandatory functions without formal approval.</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936"/>
            <w:shd w:fill="1F4E79"/>
            <w:vAlign w:val="top"/>
          </w:tcPr>
          <w:p>
            <w:r/>
            <w:r>
              <w:rPr>
                <w:rFonts w:ascii="Arial" w:hAnsi="Arial" w:eastAsia="Arial"/>
                <w:b/>
                <w:color w:val="FFFFFF"/>
                <w:sz w:val="16"/>
              </w:rPr>
              <w:t>ID</w:t>
            </w:r>
          </w:p>
        </w:tc>
        <w:tc>
          <w:tcPr>
            <w:tcW w:type="dxa" w:w="3456"/>
            <w:shd w:fill="1F4E79"/>
            <w:vAlign w:val="top"/>
          </w:tcPr>
          <w:p>
            <w:r/>
            <w:r>
              <w:rPr>
                <w:rFonts w:ascii="Arial" w:hAnsi="Arial" w:eastAsia="Arial"/>
                <w:b/>
                <w:color w:val="FFFFFF"/>
                <w:sz w:val="16"/>
              </w:rPr>
              <w:t>Fitness Function</w:t>
            </w:r>
          </w:p>
        </w:tc>
        <w:tc>
          <w:tcPr>
            <w:tcW w:type="dxa" w:w="2016"/>
            <w:shd w:fill="1F4E79"/>
            <w:vAlign w:val="top"/>
          </w:tcPr>
          <w:p>
            <w:r/>
            <w:r>
              <w:rPr>
                <w:rFonts w:ascii="Arial" w:hAnsi="Arial" w:eastAsia="Arial"/>
                <w:b/>
                <w:color w:val="FFFFFF"/>
                <w:sz w:val="16"/>
              </w:rPr>
              <w:t>Primary Principle</w:t>
            </w:r>
          </w:p>
        </w:tc>
        <w:tc>
          <w:tcPr>
            <w:tcW w:type="dxa" w:w="2016"/>
            <w:shd w:fill="1F4E79"/>
            <w:vAlign w:val="top"/>
          </w:tcPr>
          <w:p>
            <w:r/>
            <w:r>
              <w:rPr>
                <w:rFonts w:ascii="Arial" w:hAnsi="Arial" w:eastAsia="Arial"/>
                <w:b/>
                <w:color w:val="FFFFFF"/>
                <w:sz w:val="16"/>
              </w:rPr>
              <w:t>Tool / Evidence</w:t>
            </w:r>
          </w:p>
        </w:tc>
        <w:tc>
          <w:tcPr>
            <w:tcW w:type="dxa" w:w="1584"/>
            <w:shd w:fill="1F4E79"/>
            <w:vAlign w:val="top"/>
          </w:tcPr>
          <w:p>
            <w:r/>
            <w:r>
              <w:rPr>
                <w:rFonts w:ascii="Arial" w:hAnsi="Arial" w:eastAsia="Arial"/>
                <w:b/>
                <w:color w:val="FFFFFF"/>
                <w:sz w:val="16"/>
              </w:rPr>
              <w:t>Trigger</w:t>
            </w:r>
          </w:p>
        </w:tc>
        <w:tc>
          <w:tcPr>
            <w:tcW w:type="dxa" w:w="2880"/>
            <w:shd w:fill="1F4E79"/>
            <w:vAlign w:val="top"/>
          </w:tcPr>
          <w:p>
            <w:r/>
            <w:r>
              <w:rPr>
                <w:rFonts w:ascii="Arial" w:hAnsi="Arial" w:eastAsia="Arial"/>
                <w:b/>
                <w:color w:val="FFFFFF"/>
                <w:sz w:val="16"/>
              </w:rPr>
              <w:t>Reject Condition</w:t>
            </w:r>
          </w:p>
        </w:tc>
      </w:tr>
      <w:tr>
        <w:tc>
          <w:tcPr>
            <w:tcW w:type="dxa" w:w="936"/>
            <w:vAlign w:val="top"/>
          </w:tcPr>
          <w:p>
            <w:r/>
            <w:r>
              <w:rPr>
                <w:rFonts w:ascii="Arial" w:hAnsi="Arial" w:eastAsia="Arial"/>
                <w:b w:val="0"/>
                <w:sz w:val="13"/>
              </w:rPr>
              <w:t>AFF-001</w:t>
            </w:r>
          </w:p>
        </w:tc>
        <w:tc>
          <w:tcPr>
            <w:tcW w:type="dxa" w:w="3456"/>
            <w:vAlign w:val="top"/>
          </w:tcPr>
          <w:p>
            <w:r/>
            <w:r>
              <w:rPr>
                <w:rFonts w:ascii="Arial" w:hAnsi="Arial" w:eastAsia="Arial"/>
                <w:b w:val="0"/>
                <w:sz w:val="13"/>
              </w:rPr>
              <w:t>Single Responsibility enforcement for services, MicroFunctions, adapters, policies, and prompts.</w:t>
            </w:r>
          </w:p>
        </w:tc>
        <w:tc>
          <w:tcPr>
            <w:tcW w:type="dxa" w:w="2016"/>
            <w:vAlign w:val="top"/>
          </w:tcPr>
          <w:p>
            <w:r/>
            <w:r>
              <w:rPr>
                <w:rFonts w:ascii="Arial" w:hAnsi="Arial" w:eastAsia="Arial"/>
                <w:b w:val="0"/>
                <w:sz w:val="13"/>
              </w:rPr>
              <w:t>SOLID / SRP</w:t>
            </w:r>
          </w:p>
        </w:tc>
        <w:tc>
          <w:tcPr>
            <w:tcW w:type="dxa" w:w="2016"/>
            <w:vAlign w:val="top"/>
          </w:tcPr>
          <w:p>
            <w:r/>
            <w:r>
              <w:rPr>
                <w:rFonts w:ascii="Arial" w:hAnsi="Arial" w:eastAsia="Arial"/>
                <w:b w:val="0"/>
                <w:sz w:val="13"/>
              </w:rPr>
              <w:t>ArchUnit, code review, Sonar complexity</w:t>
            </w:r>
          </w:p>
        </w:tc>
        <w:tc>
          <w:tcPr>
            <w:tcW w:type="dxa" w:w="1584"/>
            <w:vAlign w:val="top"/>
          </w:tcPr>
          <w:p>
            <w:r/>
            <w:r>
              <w:rPr>
                <w:rFonts w:ascii="Arial" w:hAnsi="Arial" w:eastAsia="Arial"/>
                <w:b w:val="0"/>
                <w:sz w:val="13"/>
              </w:rPr>
              <w:t>Every PR/MR</w:t>
            </w:r>
          </w:p>
        </w:tc>
        <w:tc>
          <w:tcPr>
            <w:tcW w:type="dxa" w:w="2880"/>
            <w:vAlign w:val="top"/>
          </w:tcPr>
          <w:p>
            <w:r/>
            <w:r>
              <w:rPr>
                <w:rFonts w:ascii="Arial" w:hAnsi="Arial" w:eastAsia="Arial"/>
                <w:b w:val="0"/>
                <w:sz w:val="13"/>
              </w:rPr>
              <w:t>Class mixes controller, domain, persistence, workflow, or AI routing concerns.</w:t>
            </w:r>
          </w:p>
        </w:tc>
      </w:tr>
      <w:tr>
        <w:tc>
          <w:tcPr>
            <w:tcW w:type="dxa" w:w="936"/>
            <w:vAlign w:val="top"/>
          </w:tcPr>
          <w:p>
            <w:r/>
            <w:r>
              <w:rPr>
                <w:rFonts w:ascii="Arial" w:hAnsi="Arial" w:eastAsia="Arial"/>
                <w:b w:val="0"/>
                <w:sz w:val="13"/>
              </w:rPr>
              <w:t>AFF-002</w:t>
            </w:r>
          </w:p>
        </w:tc>
        <w:tc>
          <w:tcPr>
            <w:tcW w:type="dxa" w:w="3456"/>
            <w:vAlign w:val="top"/>
          </w:tcPr>
          <w:p>
            <w:r/>
            <w:r>
              <w:rPr>
                <w:rFonts w:ascii="Arial" w:hAnsi="Arial" w:eastAsia="Arial"/>
                <w:b w:val="0"/>
                <w:sz w:val="13"/>
              </w:rPr>
              <w:t>Open/Closed and extension-by-configuration for MicroFunctions and policies.</w:t>
            </w:r>
          </w:p>
        </w:tc>
        <w:tc>
          <w:tcPr>
            <w:tcW w:type="dxa" w:w="2016"/>
            <w:vAlign w:val="top"/>
          </w:tcPr>
          <w:p>
            <w:r/>
            <w:r>
              <w:rPr>
                <w:rFonts w:ascii="Arial" w:hAnsi="Arial" w:eastAsia="Arial"/>
                <w:b w:val="0"/>
                <w:sz w:val="13"/>
              </w:rPr>
              <w:t>SOLID / OCP</w:t>
            </w:r>
          </w:p>
        </w:tc>
        <w:tc>
          <w:tcPr>
            <w:tcW w:type="dxa" w:w="2016"/>
            <w:vAlign w:val="top"/>
          </w:tcPr>
          <w:p>
            <w:r/>
            <w:r>
              <w:rPr>
                <w:rFonts w:ascii="Arial" w:hAnsi="Arial" w:eastAsia="Arial"/>
                <w:b w:val="0"/>
                <w:sz w:val="13"/>
              </w:rPr>
              <w:t>Catalog validator, tests</w:t>
            </w:r>
          </w:p>
        </w:tc>
        <w:tc>
          <w:tcPr>
            <w:tcW w:type="dxa" w:w="1584"/>
            <w:vAlign w:val="top"/>
          </w:tcPr>
          <w:p>
            <w:r/>
            <w:r>
              <w:rPr>
                <w:rFonts w:ascii="Arial" w:hAnsi="Arial" w:eastAsia="Arial"/>
                <w:b w:val="0"/>
                <w:sz w:val="13"/>
              </w:rPr>
              <w:t>MicroFunction/config change</w:t>
            </w:r>
          </w:p>
        </w:tc>
        <w:tc>
          <w:tcPr>
            <w:tcW w:type="dxa" w:w="2880"/>
            <w:vAlign w:val="top"/>
          </w:tcPr>
          <w:p>
            <w:r/>
            <w:r>
              <w:rPr>
                <w:rFonts w:ascii="Arial" w:hAnsi="Arial" w:eastAsia="Arial"/>
                <w:b w:val="0"/>
                <w:sz w:val="13"/>
              </w:rPr>
              <w:t>Change hardcodes process sequence instead of approved config/rule extension.</w:t>
            </w:r>
          </w:p>
        </w:tc>
      </w:tr>
      <w:tr>
        <w:tc>
          <w:tcPr>
            <w:tcW w:type="dxa" w:w="936"/>
            <w:vAlign w:val="top"/>
          </w:tcPr>
          <w:p>
            <w:r/>
            <w:r>
              <w:rPr>
                <w:rFonts w:ascii="Arial" w:hAnsi="Arial" w:eastAsia="Arial"/>
                <w:b w:val="0"/>
                <w:sz w:val="13"/>
              </w:rPr>
              <w:t>AFF-003</w:t>
            </w:r>
          </w:p>
        </w:tc>
        <w:tc>
          <w:tcPr>
            <w:tcW w:type="dxa" w:w="3456"/>
            <w:vAlign w:val="top"/>
          </w:tcPr>
          <w:p>
            <w:r/>
            <w:r>
              <w:rPr>
                <w:rFonts w:ascii="Arial" w:hAnsi="Arial" w:eastAsia="Arial"/>
                <w:b w:val="0"/>
                <w:sz w:val="13"/>
              </w:rPr>
              <w:t>Liskov-safe contracts and DTO compatibility.</w:t>
            </w:r>
          </w:p>
        </w:tc>
        <w:tc>
          <w:tcPr>
            <w:tcW w:type="dxa" w:w="2016"/>
            <w:vAlign w:val="top"/>
          </w:tcPr>
          <w:p>
            <w:r/>
            <w:r>
              <w:rPr>
                <w:rFonts w:ascii="Arial" w:hAnsi="Arial" w:eastAsia="Arial"/>
                <w:b w:val="0"/>
                <w:sz w:val="13"/>
              </w:rPr>
              <w:t>SOLID / LSP</w:t>
            </w:r>
          </w:p>
        </w:tc>
        <w:tc>
          <w:tcPr>
            <w:tcW w:type="dxa" w:w="2016"/>
            <w:vAlign w:val="top"/>
          </w:tcPr>
          <w:p>
            <w:r/>
            <w:r>
              <w:rPr>
                <w:rFonts w:ascii="Arial" w:hAnsi="Arial" w:eastAsia="Arial"/>
                <w:b w:val="0"/>
                <w:sz w:val="13"/>
              </w:rPr>
              <w:t>Contract tests, schema compatibility</w:t>
            </w:r>
          </w:p>
        </w:tc>
        <w:tc>
          <w:tcPr>
            <w:tcW w:type="dxa" w:w="1584"/>
            <w:vAlign w:val="top"/>
          </w:tcPr>
          <w:p>
            <w:r/>
            <w:r>
              <w:rPr>
                <w:rFonts w:ascii="Arial" w:hAnsi="Arial" w:eastAsia="Arial"/>
                <w:b w:val="0"/>
                <w:sz w:val="13"/>
              </w:rPr>
              <w:t>API/event change</w:t>
            </w:r>
          </w:p>
        </w:tc>
        <w:tc>
          <w:tcPr>
            <w:tcW w:type="dxa" w:w="2880"/>
            <w:vAlign w:val="top"/>
          </w:tcPr>
          <w:p>
            <w:r/>
            <w:r>
              <w:rPr>
                <w:rFonts w:ascii="Arial" w:hAnsi="Arial" w:eastAsia="Arial"/>
                <w:b w:val="0"/>
                <w:sz w:val="13"/>
              </w:rPr>
              <w:t>Subtype/implementation breaks declared contract or consumer expectations.</w:t>
            </w:r>
          </w:p>
        </w:tc>
      </w:tr>
      <w:tr>
        <w:tc>
          <w:tcPr>
            <w:tcW w:type="dxa" w:w="936"/>
            <w:vAlign w:val="top"/>
          </w:tcPr>
          <w:p>
            <w:r/>
            <w:r>
              <w:rPr>
                <w:rFonts w:ascii="Arial" w:hAnsi="Arial" w:eastAsia="Arial"/>
                <w:b w:val="0"/>
                <w:sz w:val="13"/>
              </w:rPr>
              <w:t>AFF-004</w:t>
            </w:r>
          </w:p>
        </w:tc>
        <w:tc>
          <w:tcPr>
            <w:tcW w:type="dxa" w:w="3456"/>
            <w:vAlign w:val="top"/>
          </w:tcPr>
          <w:p>
            <w:r/>
            <w:r>
              <w:rPr>
                <w:rFonts w:ascii="Arial" w:hAnsi="Arial" w:eastAsia="Arial"/>
                <w:b w:val="0"/>
                <w:sz w:val="13"/>
              </w:rPr>
              <w:t>Interface segregation for ports, adapters, and clients.</w:t>
            </w:r>
          </w:p>
        </w:tc>
        <w:tc>
          <w:tcPr>
            <w:tcW w:type="dxa" w:w="2016"/>
            <w:vAlign w:val="top"/>
          </w:tcPr>
          <w:p>
            <w:r/>
            <w:r>
              <w:rPr>
                <w:rFonts w:ascii="Arial" w:hAnsi="Arial" w:eastAsia="Arial"/>
                <w:b w:val="0"/>
                <w:sz w:val="13"/>
              </w:rPr>
              <w:t>SOLID / ISP</w:t>
            </w:r>
          </w:p>
        </w:tc>
        <w:tc>
          <w:tcPr>
            <w:tcW w:type="dxa" w:w="2016"/>
            <w:vAlign w:val="top"/>
          </w:tcPr>
          <w:p>
            <w:r/>
            <w:r>
              <w:rPr>
                <w:rFonts w:ascii="Arial" w:hAnsi="Arial" w:eastAsia="Arial"/>
                <w:b w:val="0"/>
                <w:sz w:val="13"/>
              </w:rPr>
              <w:t>ArchUnit, code review</w:t>
            </w:r>
          </w:p>
        </w:tc>
        <w:tc>
          <w:tcPr>
            <w:tcW w:type="dxa" w:w="1584"/>
            <w:vAlign w:val="top"/>
          </w:tcPr>
          <w:p>
            <w:r/>
            <w:r>
              <w:rPr>
                <w:rFonts w:ascii="Arial" w:hAnsi="Arial" w:eastAsia="Arial"/>
                <w:b w:val="0"/>
                <w:sz w:val="13"/>
              </w:rPr>
              <w:t>Service/client change</w:t>
            </w:r>
          </w:p>
        </w:tc>
        <w:tc>
          <w:tcPr>
            <w:tcW w:type="dxa" w:w="2880"/>
            <w:vAlign w:val="top"/>
          </w:tcPr>
          <w:p>
            <w:r/>
            <w:r>
              <w:rPr>
                <w:rFonts w:ascii="Arial" w:hAnsi="Arial" w:eastAsia="Arial"/>
                <w:b w:val="0"/>
                <w:sz w:val="13"/>
              </w:rPr>
              <w:t>Large generic interface forces unrelated dependencies or permissions.</w:t>
            </w:r>
          </w:p>
        </w:tc>
      </w:tr>
      <w:tr>
        <w:tc>
          <w:tcPr>
            <w:tcW w:type="dxa" w:w="936"/>
            <w:vAlign w:val="top"/>
          </w:tcPr>
          <w:p>
            <w:r/>
            <w:r>
              <w:rPr>
                <w:rFonts w:ascii="Arial" w:hAnsi="Arial" w:eastAsia="Arial"/>
                <w:b w:val="0"/>
                <w:sz w:val="13"/>
              </w:rPr>
              <w:t>AFF-005</w:t>
            </w:r>
          </w:p>
        </w:tc>
        <w:tc>
          <w:tcPr>
            <w:tcW w:type="dxa" w:w="3456"/>
            <w:vAlign w:val="top"/>
          </w:tcPr>
          <w:p>
            <w:r/>
            <w:r>
              <w:rPr>
                <w:rFonts w:ascii="Arial" w:hAnsi="Arial" w:eastAsia="Arial"/>
                <w:b w:val="0"/>
                <w:sz w:val="13"/>
              </w:rPr>
              <w:t>Dependency inversion: domain cannot depend on infrastructure frameworks.</w:t>
            </w:r>
          </w:p>
        </w:tc>
        <w:tc>
          <w:tcPr>
            <w:tcW w:type="dxa" w:w="2016"/>
            <w:vAlign w:val="top"/>
          </w:tcPr>
          <w:p>
            <w:r/>
            <w:r>
              <w:rPr>
                <w:rFonts w:ascii="Arial" w:hAnsi="Arial" w:eastAsia="Arial"/>
                <w:b w:val="0"/>
                <w:sz w:val="13"/>
              </w:rPr>
              <w:t>SOLID / DIP</w:t>
            </w:r>
          </w:p>
        </w:tc>
        <w:tc>
          <w:tcPr>
            <w:tcW w:type="dxa" w:w="2016"/>
            <w:vAlign w:val="top"/>
          </w:tcPr>
          <w:p>
            <w:r/>
            <w:r>
              <w:rPr>
                <w:rFonts w:ascii="Arial" w:hAnsi="Arial" w:eastAsia="Arial"/>
                <w:b w:val="0"/>
                <w:sz w:val="13"/>
              </w:rPr>
              <w:t>ArchUnit</w:t>
            </w:r>
          </w:p>
        </w:tc>
        <w:tc>
          <w:tcPr>
            <w:tcW w:type="dxa" w:w="1584"/>
            <w:vAlign w:val="top"/>
          </w:tcPr>
          <w:p>
            <w:r/>
            <w:r>
              <w:rPr>
                <w:rFonts w:ascii="Arial" w:hAnsi="Arial" w:eastAsia="Arial"/>
                <w:b w:val="0"/>
                <w:sz w:val="13"/>
              </w:rPr>
              <w:t>Every backend PR</w:t>
            </w:r>
          </w:p>
        </w:tc>
        <w:tc>
          <w:tcPr>
            <w:tcW w:type="dxa" w:w="2880"/>
            <w:vAlign w:val="top"/>
          </w:tcPr>
          <w:p>
            <w:r/>
            <w:r>
              <w:rPr>
                <w:rFonts w:ascii="Arial" w:hAnsi="Arial" w:eastAsia="Arial"/>
                <w:b w:val="0"/>
                <w:sz w:val="13"/>
              </w:rPr>
              <w:t>Domain package imports Spring Web, JPA repository, Kafka, Vault, LiteLLM, OpenKM, or provider SDK.</w:t>
            </w:r>
          </w:p>
        </w:tc>
      </w:tr>
      <w:tr>
        <w:tc>
          <w:tcPr>
            <w:tcW w:type="dxa" w:w="936"/>
            <w:vAlign w:val="top"/>
          </w:tcPr>
          <w:p>
            <w:r/>
            <w:r>
              <w:rPr>
                <w:rFonts w:ascii="Arial" w:hAnsi="Arial" w:eastAsia="Arial"/>
                <w:b w:val="0"/>
                <w:sz w:val="13"/>
              </w:rPr>
              <w:t>AFF-006</w:t>
            </w:r>
          </w:p>
        </w:tc>
        <w:tc>
          <w:tcPr>
            <w:tcW w:type="dxa" w:w="3456"/>
            <w:vAlign w:val="top"/>
          </w:tcPr>
          <w:p>
            <w:r/>
            <w:r>
              <w:rPr>
                <w:rFonts w:ascii="Arial" w:hAnsi="Arial" w:eastAsia="Arial"/>
                <w:b w:val="0"/>
                <w:sz w:val="13"/>
              </w:rPr>
              <w:t>Clean Architecture ring direction enforcement.</w:t>
            </w:r>
          </w:p>
        </w:tc>
        <w:tc>
          <w:tcPr>
            <w:tcW w:type="dxa" w:w="2016"/>
            <w:vAlign w:val="top"/>
          </w:tcPr>
          <w:p>
            <w:r/>
            <w:r>
              <w:rPr>
                <w:rFonts w:ascii="Arial" w:hAnsi="Arial" w:eastAsia="Arial"/>
                <w:b w:val="0"/>
                <w:sz w:val="13"/>
              </w:rPr>
              <w:t>Clean Architecture</w:t>
            </w:r>
          </w:p>
        </w:tc>
        <w:tc>
          <w:tcPr>
            <w:tcW w:type="dxa" w:w="2016"/>
            <w:vAlign w:val="top"/>
          </w:tcPr>
          <w:p>
            <w:r/>
            <w:r>
              <w:rPr>
                <w:rFonts w:ascii="Arial" w:hAnsi="Arial" w:eastAsia="Arial"/>
                <w:b w:val="0"/>
                <w:sz w:val="13"/>
              </w:rPr>
              <w:t>ArchUnit, dependency graph</w:t>
            </w:r>
          </w:p>
        </w:tc>
        <w:tc>
          <w:tcPr>
            <w:tcW w:type="dxa" w:w="1584"/>
            <w:vAlign w:val="top"/>
          </w:tcPr>
          <w:p>
            <w:r/>
            <w:r>
              <w:rPr>
                <w:rFonts w:ascii="Arial" w:hAnsi="Arial" w:eastAsia="Arial"/>
                <w:b w:val="0"/>
                <w:sz w:val="13"/>
              </w:rPr>
              <w:t>Every backend PR</w:t>
            </w:r>
          </w:p>
        </w:tc>
        <w:tc>
          <w:tcPr>
            <w:tcW w:type="dxa" w:w="2880"/>
            <w:vAlign w:val="top"/>
          </w:tcPr>
          <w:p>
            <w:r/>
            <w:r>
              <w:rPr>
                <w:rFonts w:ascii="Arial" w:hAnsi="Arial" w:eastAsia="Arial"/>
                <w:b w:val="0"/>
                <w:sz w:val="13"/>
              </w:rPr>
              <w:t>Outer layer is referenced by inner layer or business logic leaks to controller/adapters.</w:t>
            </w:r>
          </w:p>
        </w:tc>
      </w:tr>
      <w:tr>
        <w:tc>
          <w:tcPr>
            <w:tcW w:type="dxa" w:w="936"/>
            <w:vAlign w:val="top"/>
          </w:tcPr>
          <w:p>
            <w:r/>
            <w:r>
              <w:rPr>
                <w:rFonts w:ascii="Arial" w:hAnsi="Arial" w:eastAsia="Arial"/>
                <w:b w:val="0"/>
                <w:sz w:val="13"/>
              </w:rPr>
              <w:t>AFF-007</w:t>
            </w:r>
          </w:p>
        </w:tc>
        <w:tc>
          <w:tcPr>
            <w:tcW w:type="dxa" w:w="3456"/>
            <w:vAlign w:val="top"/>
          </w:tcPr>
          <w:p>
            <w:r/>
            <w:r>
              <w:rPr>
                <w:rFonts w:ascii="Arial" w:hAnsi="Arial" w:eastAsia="Arial"/>
                <w:b w:val="0"/>
                <w:sz w:val="13"/>
              </w:rPr>
              <w:t>Bounded context ownership and no cross-context writes.</w:t>
            </w:r>
          </w:p>
        </w:tc>
        <w:tc>
          <w:tcPr>
            <w:tcW w:type="dxa" w:w="2016"/>
            <w:vAlign w:val="top"/>
          </w:tcPr>
          <w:p>
            <w:r/>
            <w:r>
              <w:rPr>
                <w:rFonts w:ascii="Arial" w:hAnsi="Arial" w:eastAsia="Arial"/>
                <w:b w:val="0"/>
                <w:sz w:val="13"/>
              </w:rPr>
              <w:t>DDD / Bounded Contexts</w:t>
            </w:r>
          </w:p>
        </w:tc>
        <w:tc>
          <w:tcPr>
            <w:tcW w:type="dxa" w:w="2016"/>
            <w:vAlign w:val="top"/>
          </w:tcPr>
          <w:p>
            <w:r/>
            <w:r>
              <w:rPr>
                <w:rFonts w:ascii="Arial" w:hAnsi="Arial" w:eastAsia="Arial"/>
                <w:b w:val="0"/>
                <w:sz w:val="13"/>
              </w:rPr>
              <w:t>DB policy, API contract, ArchUnit</w:t>
            </w:r>
          </w:p>
        </w:tc>
        <w:tc>
          <w:tcPr>
            <w:tcW w:type="dxa" w:w="1584"/>
            <w:vAlign w:val="top"/>
          </w:tcPr>
          <w:p>
            <w:r/>
            <w:r>
              <w:rPr>
                <w:rFonts w:ascii="Arial" w:hAnsi="Arial" w:eastAsia="Arial"/>
                <w:b w:val="0"/>
                <w:sz w:val="13"/>
              </w:rPr>
              <w:t>DB/API PR</w:t>
            </w:r>
          </w:p>
        </w:tc>
        <w:tc>
          <w:tcPr>
            <w:tcW w:type="dxa" w:w="2880"/>
            <w:vAlign w:val="top"/>
          </w:tcPr>
          <w:p>
            <w:r/>
            <w:r>
              <w:rPr>
                <w:rFonts w:ascii="Arial" w:hAnsi="Arial" w:eastAsia="Arial"/>
                <w:b w:val="0"/>
                <w:sz w:val="13"/>
              </w:rPr>
              <w:t>Service writes another context schema or bypasses API/event boundary.</w:t>
            </w:r>
          </w:p>
        </w:tc>
      </w:tr>
      <w:tr>
        <w:tc>
          <w:tcPr>
            <w:tcW w:type="dxa" w:w="936"/>
            <w:vAlign w:val="top"/>
          </w:tcPr>
          <w:p>
            <w:r/>
            <w:r>
              <w:rPr>
                <w:rFonts w:ascii="Arial" w:hAnsi="Arial" w:eastAsia="Arial"/>
                <w:b w:val="0"/>
                <w:sz w:val="13"/>
              </w:rPr>
              <w:t>AFF-008</w:t>
            </w:r>
          </w:p>
        </w:tc>
        <w:tc>
          <w:tcPr>
            <w:tcW w:type="dxa" w:w="3456"/>
            <w:vAlign w:val="top"/>
          </w:tcPr>
          <w:p>
            <w:r/>
            <w:r>
              <w:rPr>
                <w:rFonts w:ascii="Arial" w:hAnsi="Arial" w:eastAsia="Arial"/>
                <w:b w:val="0"/>
                <w:sz w:val="13"/>
              </w:rPr>
              <w:t>Ports-and-adapters boundary for external systems.</w:t>
            </w:r>
          </w:p>
        </w:tc>
        <w:tc>
          <w:tcPr>
            <w:tcW w:type="dxa" w:w="2016"/>
            <w:vAlign w:val="top"/>
          </w:tcPr>
          <w:p>
            <w:r/>
            <w:r>
              <w:rPr>
                <w:rFonts w:ascii="Arial" w:hAnsi="Arial" w:eastAsia="Arial"/>
                <w:b w:val="0"/>
                <w:sz w:val="13"/>
              </w:rPr>
              <w:t>Ports and Adapters</w:t>
            </w:r>
          </w:p>
        </w:tc>
        <w:tc>
          <w:tcPr>
            <w:tcW w:type="dxa" w:w="2016"/>
            <w:vAlign w:val="top"/>
          </w:tcPr>
          <w:p>
            <w:r/>
            <w:r>
              <w:rPr>
                <w:rFonts w:ascii="Arial" w:hAnsi="Arial" w:eastAsia="Arial"/>
                <w:b w:val="0"/>
                <w:sz w:val="13"/>
              </w:rPr>
              <w:t>ArchUnit, Semgrep</w:t>
            </w:r>
          </w:p>
        </w:tc>
        <w:tc>
          <w:tcPr>
            <w:tcW w:type="dxa" w:w="1584"/>
            <w:vAlign w:val="top"/>
          </w:tcPr>
          <w:p>
            <w:r/>
            <w:r>
              <w:rPr>
                <w:rFonts w:ascii="Arial" w:hAnsi="Arial" w:eastAsia="Arial"/>
                <w:b w:val="0"/>
                <w:sz w:val="13"/>
              </w:rPr>
              <w:t>Integration change</w:t>
            </w:r>
          </w:p>
        </w:tc>
        <w:tc>
          <w:tcPr>
            <w:tcW w:type="dxa" w:w="2880"/>
            <w:vAlign w:val="top"/>
          </w:tcPr>
          <w:p>
            <w:r/>
            <w:r>
              <w:rPr>
                <w:rFonts w:ascii="Arial" w:hAnsi="Arial" w:eastAsia="Arial"/>
                <w:b w:val="0"/>
                <w:sz w:val="13"/>
              </w:rPr>
              <w:t>External HTTP, DB, OpenKM, model, Kafka, Vault call appears inside domain logic.</w:t>
            </w:r>
          </w:p>
        </w:tc>
      </w:tr>
      <w:tr>
        <w:tc>
          <w:tcPr>
            <w:tcW w:type="dxa" w:w="936"/>
            <w:vAlign w:val="top"/>
          </w:tcPr>
          <w:p>
            <w:r/>
            <w:r>
              <w:rPr>
                <w:rFonts w:ascii="Arial" w:hAnsi="Arial" w:eastAsia="Arial"/>
                <w:b w:val="0"/>
                <w:sz w:val="13"/>
              </w:rPr>
              <w:t>AFF-009</w:t>
            </w:r>
          </w:p>
        </w:tc>
        <w:tc>
          <w:tcPr>
            <w:tcW w:type="dxa" w:w="3456"/>
            <w:vAlign w:val="top"/>
          </w:tcPr>
          <w:p>
            <w:r/>
            <w:r>
              <w:rPr>
                <w:rFonts w:ascii="Arial" w:hAnsi="Arial" w:eastAsia="Arial"/>
                <w:b w:val="0"/>
                <w:sz w:val="13"/>
              </w:rPr>
              <w:t>DRY/KISS/YAGNI complexity and duplication gate.</w:t>
            </w:r>
          </w:p>
        </w:tc>
        <w:tc>
          <w:tcPr>
            <w:tcW w:type="dxa" w:w="2016"/>
            <w:vAlign w:val="top"/>
          </w:tcPr>
          <w:p>
            <w:r/>
            <w:r>
              <w:rPr>
                <w:rFonts w:ascii="Arial" w:hAnsi="Arial" w:eastAsia="Arial"/>
                <w:b w:val="0"/>
                <w:sz w:val="13"/>
              </w:rPr>
              <w:t>DRY/KISS/YAGNI</w:t>
            </w:r>
          </w:p>
        </w:tc>
        <w:tc>
          <w:tcPr>
            <w:tcW w:type="dxa" w:w="2016"/>
            <w:vAlign w:val="top"/>
          </w:tcPr>
          <w:p>
            <w:r/>
            <w:r>
              <w:rPr>
                <w:rFonts w:ascii="Arial" w:hAnsi="Arial" w:eastAsia="Arial"/>
                <w:b w:val="0"/>
                <w:sz w:val="13"/>
              </w:rPr>
              <w:t>SonarQube, review</w:t>
            </w:r>
          </w:p>
        </w:tc>
        <w:tc>
          <w:tcPr>
            <w:tcW w:type="dxa" w:w="1584"/>
            <w:vAlign w:val="top"/>
          </w:tcPr>
          <w:p>
            <w:r/>
            <w:r>
              <w:rPr>
                <w:rFonts w:ascii="Arial" w:hAnsi="Arial" w:eastAsia="Arial"/>
                <w:b w:val="0"/>
                <w:sz w:val="13"/>
              </w:rPr>
              <w:t>Every PR/MR</w:t>
            </w:r>
          </w:p>
        </w:tc>
        <w:tc>
          <w:tcPr>
            <w:tcW w:type="dxa" w:w="2880"/>
            <w:vAlign w:val="top"/>
          </w:tcPr>
          <w:p>
            <w:r/>
            <w:r>
              <w:rPr>
                <w:rFonts w:ascii="Arial" w:hAnsi="Arial" w:eastAsia="Arial"/>
                <w:b w:val="0"/>
                <w:sz w:val="13"/>
              </w:rPr>
              <w:t>Duplicate standard concern, speculative abstraction, or unnecessary framework added.</w:t>
            </w:r>
          </w:p>
        </w:tc>
      </w:tr>
      <w:tr>
        <w:tc>
          <w:tcPr>
            <w:tcW w:type="dxa" w:w="936"/>
            <w:vAlign w:val="top"/>
          </w:tcPr>
          <w:p>
            <w:r/>
            <w:r>
              <w:rPr>
                <w:rFonts w:ascii="Arial" w:hAnsi="Arial" w:eastAsia="Arial"/>
                <w:b w:val="0"/>
                <w:sz w:val="13"/>
              </w:rPr>
              <w:t>AFF-010</w:t>
            </w:r>
          </w:p>
        </w:tc>
        <w:tc>
          <w:tcPr>
            <w:tcW w:type="dxa" w:w="3456"/>
            <w:vAlign w:val="top"/>
          </w:tcPr>
          <w:p>
            <w:r/>
            <w:r>
              <w:rPr>
                <w:rFonts w:ascii="Arial" w:hAnsi="Arial" w:eastAsia="Arial"/>
                <w:b w:val="0"/>
                <w:sz w:val="13"/>
              </w:rPr>
              <w:t>Idempotency for mutations, workflows, consumers, and external calls.</w:t>
            </w:r>
          </w:p>
        </w:tc>
        <w:tc>
          <w:tcPr>
            <w:tcW w:type="dxa" w:w="2016"/>
            <w:vAlign w:val="top"/>
          </w:tcPr>
          <w:p>
            <w:r/>
            <w:r>
              <w:rPr>
                <w:rFonts w:ascii="Arial" w:hAnsi="Arial" w:eastAsia="Arial"/>
                <w:b w:val="0"/>
                <w:sz w:val="13"/>
              </w:rPr>
              <w:t>Idempotency by Design</w:t>
            </w:r>
          </w:p>
        </w:tc>
        <w:tc>
          <w:tcPr>
            <w:tcW w:type="dxa" w:w="2016"/>
            <w:vAlign w:val="top"/>
          </w:tcPr>
          <w:p>
            <w:r/>
            <w:r>
              <w:rPr>
                <w:rFonts w:ascii="Arial" w:hAnsi="Arial" w:eastAsia="Arial"/>
                <w:b w:val="0"/>
                <w:sz w:val="13"/>
              </w:rPr>
              <w:t>Tests, DB constraints, outbox evidence</w:t>
            </w:r>
          </w:p>
        </w:tc>
        <w:tc>
          <w:tcPr>
            <w:tcW w:type="dxa" w:w="1584"/>
            <w:vAlign w:val="top"/>
          </w:tcPr>
          <w:p>
            <w:r/>
            <w:r>
              <w:rPr>
                <w:rFonts w:ascii="Arial" w:hAnsi="Arial" w:eastAsia="Arial"/>
                <w:b w:val="0"/>
                <w:sz w:val="13"/>
              </w:rPr>
              <w:t>Mutation path</w:t>
            </w:r>
          </w:p>
        </w:tc>
        <w:tc>
          <w:tcPr>
            <w:tcW w:type="dxa" w:w="2880"/>
            <w:vAlign w:val="top"/>
          </w:tcPr>
          <w:p>
            <w:r/>
            <w:r>
              <w:rPr>
                <w:rFonts w:ascii="Arial" w:hAnsi="Arial" w:eastAsia="Arial"/>
                <w:b w:val="0"/>
                <w:sz w:val="13"/>
              </w:rPr>
              <w:t>No idempotency key, processed-event registry, natural key, or compensation path.</w:t>
            </w:r>
          </w:p>
        </w:tc>
      </w:tr>
      <w:tr>
        <w:tc>
          <w:tcPr>
            <w:tcW w:type="dxa" w:w="936"/>
            <w:vAlign w:val="top"/>
          </w:tcPr>
          <w:p>
            <w:r/>
            <w:r>
              <w:rPr>
                <w:rFonts w:ascii="Arial" w:hAnsi="Arial" w:eastAsia="Arial"/>
                <w:b w:val="0"/>
                <w:sz w:val="13"/>
              </w:rPr>
              <w:t>AFF-011</w:t>
            </w:r>
          </w:p>
        </w:tc>
        <w:tc>
          <w:tcPr>
            <w:tcW w:type="dxa" w:w="3456"/>
            <w:vAlign w:val="top"/>
          </w:tcPr>
          <w:p>
            <w:r/>
            <w:r>
              <w:rPr>
                <w:rFonts w:ascii="Arial" w:hAnsi="Arial" w:eastAsia="Arial"/>
                <w:b w:val="0"/>
                <w:sz w:val="13"/>
              </w:rPr>
              <w:t>Deterministic build, test, migration, and AI evaluation.</w:t>
            </w:r>
          </w:p>
        </w:tc>
        <w:tc>
          <w:tcPr>
            <w:tcW w:type="dxa" w:w="2016"/>
            <w:vAlign w:val="top"/>
          </w:tcPr>
          <w:p>
            <w:r/>
            <w:r>
              <w:rPr>
                <w:rFonts w:ascii="Arial" w:hAnsi="Arial" w:eastAsia="Arial"/>
                <w:b w:val="0"/>
                <w:sz w:val="13"/>
              </w:rPr>
              <w:t>Determinism/Reproducibility</w:t>
            </w:r>
          </w:p>
        </w:tc>
        <w:tc>
          <w:tcPr>
            <w:tcW w:type="dxa" w:w="2016"/>
            <w:vAlign w:val="top"/>
          </w:tcPr>
          <w:p>
            <w:r/>
            <w:r>
              <w:rPr>
                <w:rFonts w:ascii="Arial" w:hAnsi="Arial" w:eastAsia="Arial"/>
                <w:b w:val="0"/>
                <w:sz w:val="13"/>
              </w:rPr>
              <w:t>CI logs, pinned versions, test controls</w:t>
            </w:r>
          </w:p>
        </w:tc>
        <w:tc>
          <w:tcPr>
            <w:tcW w:type="dxa" w:w="1584"/>
            <w:vAlign w:val="top"/>
          </w:tcPr>
          <w:p>
            <w:r/>
            <w:r>
              <w:rPr>
                <w:rFonts w:ascii="Arial" w:hAnsi="Arial" w:eastAsia="Arial"/>
                <w:b w:val="0"/>
                <w:sz w:val="13"/>
              </w:rPr>
              <w:t>Every pipeline</w:t>
            </w:r>
          </w:p>
        </w:tc>
        <w:tc>
          <w:tcPr>
            <w:tcW w:type="dxa" w:w="2880"/>
            <w:vAlign w:val="top"/>
          </w:tcPr>
          <w:p>
            <w:r/>
            <w:r>
              <w:rPr>
                <w:rFonts w:ascii="Arial" w:hAnsi="Arial" w:eastAsia="Arial"/>
                <w:b w:val="0"/>
                <w:sz w:val="13"/>
              </w:rPr>
              <w:t>Unpinned dependency, real clock/random/network in unit tests, non-repeatable eval.</w:t>
            </w:r>
          </w:p>
        </w:tc>
      </w:tr>
      <w:tr>
        <w:tc>
          <w:tcPr>
            <w:tcW w:type="dxa" w:w="936"/>
            <w:vAlign w:val="top"/>
          </w:tcPr>
          <w:p>
            <w:r/>
            <w:r>
              <w:rPr>
                <w:rFonts w:ascii="Arial" w:hAnsi="Arial" w:eastAsia="Arial"/>
                <w:b w:val="0"/>
                <w:sz w:val="13"/>
              </w:rPr>
              <w:t>AFF-012</w:t>
            </w:r>
          </w:p>
        </w:tc>
        <w:tc>
          <w:tcPr>
            <w:tcW w:type="dxa" w:w="3456"/>
            <w:vAlign w:val="top"/>
          </w:tcPr>
          <w:p>
            <w:r/>
            <w:r>
              <w:rPr>
                <w:rFonts w:ascii="Arial" w:hAnsi="Arial" w:eastAsia="Arial"/>
                <w:b w:val="0"/>
                <w:sz w:val="13"/>
              </w:rPr>
              <w:t>Fail-safe not fail-open for critical dependencies.</w:t>
            </w:r>
          </w:p>
        </w:tc>
        <w:tc>
          <w:tcPr>
            <w:tcW w:type="dxa" w:w="2016"/>
            <w:vAlign w:val="top"/>
          </w:tcPr>
          <w:p>
            <w:r/>
            <w:r>
              <w:rPr>
                <w:rFonts w:ascii="Arial" w:hAnsi="Arial" w:eastAsia="Arial"/>
                <w:b w:val="0"/>
                <w:sz w:val="13"/>
              </w:rPr>
              <w:t>Fail-Safe</w:t>
            </w:r>
          </w:p>
        </w:tc>
        <w:tc>
          <w:tcPr>
            <w:tcW w:type="dxa" w:w="2016"/>
            <w:vAlign w:val="top"/>
          </w:tcPr>
          <w:p>
            <w:r/>
            <w:r>
              <w:rPr>
                <w:rFonts w:ascii="Arial" w:hAnsi="Arial" w:eastAsia="Arial"/>
                <w:b w:val="0"/>
                <w:sz w:val="13"/>
              </w:rPr>
              <w:t>Resilience tests, OPA checks</w:t>
            </w:r>
          </w:p>
        </w:tc>
        <w:tc>
          <w:tcPr>
            <w:tcW w:type="dxa" w:w="1584"/>
            <w:vAlign w:val="top"/>
          </w:tcPr>
          <w:p>
            <w:r/>
            <w:r>
              <w:rPr>
                <w:rFonts w:ascii="Arial" w:hAnsi="Arial" w:eastAsia="Arial"/>
                <w:b w:val="0"/>
                <w:sz w:val="13"/>
              </w:rPr>
              <w:t>Security/AI path</w:t>
            </w:r>
          </w:p>
        </w:tc>
        <w:tc>
          <w:tcPr>
            <w:tcW w:type="dxa" w:w="2880"/>
            <w:vAlign w:val="top"/>
          </w:tcPr>
          <w:p>
            <w:r/>
            <w:r>
              <w:rPr>
                <w:rFonts w:ascii="Arial" w:hAnsi="Arial" w:eastAsia="Arial"/>
                <w:b w:val="0"/>
                <w:sz w:val="13"/>
              </w:rPr>
              <w:t>OPA, Vault, LiteLLM, Guardrails, Harness, identity, or audit failure allows protected action.</w:t>
            </w:r>
          </w:p>
        </w:tc>
      </w:tr>
      <w:tr>
        <w:tc>
          <w:tcPr>
            <w:tcW w:type="dxa" w:w="936"/>
            <w:vAlign w:val="top"/>
          </w:tcPr>
          <w:p>
            <w:r/>
            <w:r>
              <w:rPr>
                <w:rFonts w:ascii="Arial" w:hAnsi="Arial" w:eastAsia="Arial"/>
                <w:b w:val="0"/>
                <w:sz w:val="13"/>
              </w:rPr>
              <w:t>AFF-013</w:t>
            </w:r>
          </w:p>
        </w:tc>
        <w:tc>
          <w:tcPr>
            <w:tcW w:type="dxa" w:w="3456"/>
            <w:vAlign w:val="top"/>
          </w:tcPr>
          <w:p>
            <w:r/>
            <w:r>
              <w:rPr>
                <w:rFonts w:ascii="Arial" w:hAnsi="Arial" w:eastAsia="Arial"/>
                <w:b w:val="0"/>
                <w:sz w:val="13"/>
              </w:rPr>
              <w:t>Human-in-the-loop for high-risk or low-confidence actions.</w:t>
            </w:r>
          </w:p>
        </w:tc>
        <w:tc>
          <w:tcPr>
            <w:tcW w:type="dxa" w:w="2016"/>
            <w:vAlign w:val="top"/>
          </w:tcPr>
          <w:p>
            <w:r/>
            <w:r>
              <w:rPr>
                <w:rFonts w:ascii="Arial" w:hAnsi="Arial" w:eastAsia="Arial"/>
                <w:b w:val="0"/>
                <w:sz w:val="13"/>
              </w:rPr>
              <w:t>Human-in-the-Loop</w:t>
            </w:r>
          </w:p>
        </w:tc>
        <w:tc>
          <w:tcPr>
            <w:tcW w:type="dxa" w:w="2016"/>
            <w:vAlign w:val="top"/>
          </w:tcPr>
          <w:p>
            <w:r/>
            <w:r>
              <w:rPr>
                <w:rFonts w:ascii="Arial" w:hAnsi="Arial" w:eastAsia="Arial"/>
                <w:b w:val="0"/>
                <w:sz w:val="13"/>
              </w:rPr>
              <w:t>Flowable evidence, Harness log</w:t>
            </w:r>
          </w:p>
        </w:tc>
        <w:tc>
          <w:tcPr>
            <w:tcW w:type="dxa" w:w="1584"/>
            <w:vAlign w:val="top"/>
          </w:tcPr>
          <w:p>
            <w:r/>
            <w:r>
              <w:rPr>
                <w:rFonts w:ascii="Arial" w:hAnsi="Arial" w:eastAsia="Arial"/>
                <w:b w:val="0"/>
                <w:sz w:val="13"/>
              </w:rPr>
              <w:t>AI/tool action</w:t>
            </w:r>
          </w:p>
        </w:tc>
        <w:tc>
          <w:tcPr>
            <w:tcW w:type="dxa" w:w="2880"/>
            <w:vAlign w:val="top"/>
          </w:tcPr>
          <w:p>
            <w:r/>
            <w:r>
              <w:rPr>
                <w:rFonts w:ascii="Arial" w:hAnsi="Arial" w:eastAsia="Arial"/>
                <w:b w:val="0"/>
                <w:sz w:val="13"/>
              </w:rPr>
              <w:t>High-risk change proceeds without named human approval.</w:t>
            </w:r>
          </w:p>
        </w:tc>
      </w:tr>
      <w:tr>
        <w:tc>
          <w:tcPr>
            <w:tcW w:type="dxa" w:w="936"/>
            <w:vAlign w:val="top"/>
          </w:tcPr>
          <w:p>
            <w:r/>
            <w:r>
              <w:rPr>
                <w:rFonts w:ascii="Arial" w:hAnsi="Arial" w:eastAsia="Arial"/>
                <w:b w:val="0"/>
                <w:sz w:val="13"/>
              </w:rPr>
              <w:t>AFF-014</w:t>
            </w:r>
          </w:p>
        </w:tc>
        <w:tc>
          <w:tcPr>
            <w:tcW w:type="dxa" w:w="3456"/>
            <w:vAlign w:val="top"/>
          </w:tcPr>
          <w:p>
            <w:r/>
            <w:r>
              <w:rPr>
                <w:rFonts w:ascii="Arial" w:hAnsi="Arial" w:eastAsia="Arial"/>
                <w:b w:val="0"/>
                <w:sz w:val="13"/>
              </w:rPr>
              <w:t>Least privilege and SBAC action eligibility.</w:t>
            </w:r>
          </w:p>
        </w:tc>
        <w:tc>
          <w:tcPr>
            <w:tcW w:type="dxa" w:w="2016"/>
            <w:vAlign w:val="top"/>
          </w:tcPr>
          <w:p>
            <w:r/>
            <w:r>
              <w:rPr>
                <w:rFonts w:ascii="Arial" w:hAnsi="Arial" w:eastAsia="Arial"/>
                <w:b w:val="0"/>
                <w:sz w:val="13"/>
              </w:rPr>
              <w:t>Least Privilege / SBAC</w:t>
            </w:r>
          </w:p>
        </w:tc>
        <w:tc>
          <w:tcPr>
            <w:tcW w:type="dxa" w:w="2016"/>
            <w:vAlign w:val="top"/>
          </w:tcPr>
          <w:p>
            <w:r/>
            <w:r>
              <w:rPr>
                <w:rFonts w:ascii="Arial" w:hAnsi="Arial" w:eastAsia="Arial"/>
                <w:b w:val="0"/>
                <w:sz w:val="13"/>
              </w:rPr>
              <w:t>OPA, SBAC registry, audit</w:t>
            </w:r>
          </w:p>
        </w:tc>
        <w:tc>
          <w:tcPr>
            <w:tcW w:type="dxa" w:w="1584"/>
            <w:vAlign w:val="top"/>
          </w:tcPr>
          <w:p>
            <w:r/>
            <w:r>
              <w:rPr>
                <w:rFonts w:ascii="Arial" w:hAnsi="Arial" w:eastAsia="Arial"/>
                <w:b w:val="0"/>
                <w:sz w:val="13"/>
              </w:rPr>
              <w:t>Tool/action PR</w:t>
            </w:r>
          </w:p>
        </w:tc>
        <w:tc>
          <w:tcPr>
            <w:tcW w:type="dxa" w:w="2880"/>
            <w:vAlign w:val="top"/>
          </w:tcPr>
          <w:p>
            <w:r/>
            <w:r>
              <w:rPr>
                <w:rFonts w:ascii="Arial" w:hAnsi="Arial" w:eastAsia="Arial"/>
                <w:b w:val="0"/>
                <w:sz w:val="13"/>
              </w:rPr>
              <w:t>Role, service, or agent can perform action beyond approved skill/scope.</w:t>
            </w:r>
          </w:p>
        </w:tc>
      </w:tr>
      <w:tr>
        <w:tc>
          <w:tcPr>
            <w:tcW w:type="dxa" w:w="936"/>
            <w:vAlign w:val="top"/>
          </w:tcPr>
          <w:p>
            <w:r/>
            <w:r>
              <w:rPr>
                <w:rFonts w:ascii="Arial" w:hAnsi="Arial" w:eastAsia="Arial"/>
                <w:b w:val="0"/>
                <w:sz w:val="13"/>
              </w:rPr>
              <w:t>AFF-015</w:t>
            </w:r>
          </w:p>
        </w:tc>
        <w:tc>
          <w:tcPr>
            <w:tcW w:type="dxa" w:w="3456"/>
            <w:vAlign w:val="top"/>
          </w:tcPr>
          <w:p>
            <w:r/>
            <w:r>
              <w:rPr>
                <w:rFonts w:ascii="Arial" w:hAnsi="Arial" w:eastAsia="Arial"/>
                <w:b w:val="0"/>
                <w:sz w:val="13"/>
              </w:rPr>
              <w:t>Separation of duties through CODEOWNERS and review gates.</w:t>
            </w:r>
          </w:p>
        </w:tc>
        <w:tc>
          <w:tcPr>
            <w:tcW w:type="dxa" w:w="2016"/>
            <w:vAlign w:val="top"/>
          </w:tcPr>
          <w:p>
            <w:r/>
            <w:r>
              <w:rPr>
                <w:rFonts w:ascii="Arial" w:hAnsi="Arial" w:eastAsia="Arial"/>
                <w:b w:val="0"/>
                <w:sz w:val="13"/>
              </w:rPr>
              <w:t>Separation of Duties</w:t>
            </w:r>
          </w:p>
        </w:tc>
        <w:tc>
          <w:tcPr>
            <w:tcW w:type="dxa" w:w="2016"/>
            <w:vAlign w:val="top"/>
          </w:tcPr>
          <w:p>
            <w:r/>
            <w:r>
              <w:rPr>
                <w:rFonts w:ascii="Arial" w:hAnsi="Arial" w:eastAsia="Arial"/>
                <w:b w:val="0"/>
                <w:sz w:val="13"/>
              </w:rPr>
              <w:t>CODEOWNERS, branch protection</w:t>
            </w:r>
          </w:p>
        </w:tc>
        <w:tc>
          <w:tcPr>
            <w:tcW w:type="dxa" w:w="1584"/>
            <w:vAlign w:val="top"/>
          </w:tcPr>
          <w:p>
            <w:r/>
            <w:r>
              <w:rPr>
                <w:rFonts w:ascii="Arial" w:hAnsi="Arial" w:eastAsia="Arial"/>
                <w:b w:val="0"/>
                <w:sz w:val="13"/>
              </w:rPr>
              <w:t>Protected path change</w:t>
            </w:r>
          </w:p>
        </w:tc>
        <w:tc>
          <w:tcPr>
            <w:tcW w:type="dxa" w:w="2880"/>
            <w:vAlign w:val="top"/>
          </w:tcPr>
          <w:p>
            <w:r/>
            <w:r>
              <w:rPr>
                <w:rFonts w:ascii="Arial" w:hAnsi="Arial" w:eastAsia="Arial"/>
                <w:b w:val="0"/>
                <w:sz w:val="13"/>
              </w:rPr>
              <w:t>Maker self-approves or required owner/security/DBA/QA review missing.</w:t>
            </w:r>
          </w:p>
        </w:tc>
      </w:tr>
      <w:tr>
        <w:tc>
          <w:tcPr>
            <w:tcW w:type="dxa" w:w="936"/>
            <w:vAlign w:val="top"/>
          </w:tcPr>
          <w:p>
            <w:r/>
            <w:r>
              <w:rPr>
                <w:rFonts w:ascii="Arial" w:hAnsi="Arial" w:eastAsia="Arial"/>
                <w:b w:val="0"/>
                <w:sz w:val="13"/>
              </w:rPr>
              <w:t>AFF-016</w:t>
            </w:r>
          </w:p>
        </w:tc>
        <w:tc>
          <w:tcPr>
            <w:tcW w:type="dxa" w:w="3456"/>
            <w:vAlign w:val="top"/>
          </w:tcPr>
          <w:p>
            <w:r/>
            <w:r>
              <w:rPr>
                <w:rFonts w:ascii="Arial" w:hAnsi="Arial" w:eastAsia="Arial"/>
                <w:b w:val="0"/>
                <w:sz w:val="13"/>
              </w:rPr>
              <w:t>Observability by design for every controlled path.</w:t>
            </w:r>
          </w:p>
        </w:tc>
        <w:tc>
          <w:tcPr>
            <w:tcW w:type="dxa" w:w="2016"/>
            <w:vAlign w:val="top"/>
          </w:tcPr>
          <w:p>
            <w:r/>
            <w:r>
              <w:rPr>
                <w:rFonts w:ascii="Arial" w:hAnsi="Arial" w:eastAsia="Arial"/>
                <w:b w:val="0"/>
                <w:sz w:val="13"/>
              </w:rPr>
              <w:t>Observability</w:t>
            </w:r>
          </w:p>
        </w:tc>
        <w:tc>
          <w:tcPr>
            <w:tcW w:type="dxa" w:w="2016"/>
            <w:vAlign w:val="top"/>
          </w:tcPr>
          <w:p>
            <w:r/>
            <w:r>
              <w:rPr>
                <w:rFonts w:ascii="Arial" w:hAnsi="Arial" w:eastAsia="Arial"/>
                <w:b w:val="0"/>
                <w:sz w:val="13"/>
              </w:rPr>
              <w:t>OTel checks, log schema tests</w:t>
            </w:r>
          </w:p>
        </w:tc>
        <w:tc>
          <w:tcPr>
            <w:tcW w:type="dxa" w:w="1584"/>
            <w:vAlign w:val="top"/>
          </w:tcPr>
          <w:p>
            <w:r/>
            <w:r>
              <w:rPr>
                <w:rFonts w:ascii="Arial" w:hAnsi="Arial" w:eastAsia="Arial"/>
                <w:b w:val="0"/>
                <w:sz w:val="13"/>
              </w:rPr>
              <w:t>Service/workflow change</w:t>
            </w:r>
          </w:p>
        </w:tc>
        <w:tc>
          <w:tcPr>
            <w:tcW w:type="dxa" w:w="2880"/>
            <w:vAlign w:val="top"/>
          </w:tcPr>
          <w:p>
            <w:r/>
            <w:r>
              <w:rPr>
                <w:rFonts w:ascii="Arial" w:hAnsi="Arial" w:eastAsia="Arial"/>
                <w:b w:val="0"/>
                <w:sz w:val="13"/>
              </w:rPr>
              <w:t>No trace_id, span, metric, audit event, error code, or SLO signal.</w:t>
            </w:r>
          </w:p>
        </w:tc>
      </w:tr>
      <w:tr>
        <w:tc>
          <w:tcPr>
            <w:tcW w:type="dxa" w:w="936"/>
            <w:vAlign w:val="top"/>
          </w:tcPr>
          <w:p>
            <w:r/>
            <w:r>
              <w:rPr>
                <w:rFonts w:ascii="Arial" w:hAnsi="Arial" w:eastAsia="Arial"/>
                <w:b w:val="0"/>
                <w:sz w:val="13"/>
              </w:rPr>
              <w:t>AFF-017</w:t>
            </w:r>
          </w:p>
        </w:tc>
        <w:tc>
          <w:tcPr>
            <w:tcW w:type="dxa" w:w="3456"/>
            <w:vAlign w:val="top"/>
          </w:tcPr>
          <w:p>
            <w:r/>
            <w:r>
              <w:rPr>
                <w:rFonts w:ascii="Arial" w:hAnsi="Arial" w:eastAsia="Arial"/>
                <w:b w:val="0"/>
                <w:sz w:val="13"/>
              </w:rPr>
              <w:t>Policy-as-code over hidden decision logic.</w:t>
            </w:r>
          </w:p>
        </w:tc>
        <w:tc>
          <w:tcPr>
            <w:tcW w:type="dxa" w:w="2016"/>
            <w:vAlign w:val="top"/>
          </w:tcPr>
          <w:p>
            <w:r/>
            <w:r>
              <w:rPr>
                <w:rFonts w:ascii="Arial" w:hAnsi="Arial" w:eastAsia="Arial"/>
                <w:b w:val="0"/>
                <w:sz w:val="13"/>
              </w:rPr>
              <w:t>Policy as Code</w:t>
            </w:r>
          </w:p>
        </w:tc>
        <w:tc>
          <w:tcPr>
            <w:tcW w:type="dxa" w:w="2016"/>
            <w:vAlign w:val="top"/>
          </w:tcPr>
          <w:p>
            <w:r/>
            <w:r>
              <w:rPr>
                <w:rFonts w:ascii="Arial" w:hAnsi="Arial" w:eastAsia="Arial"/>
                <w:b w:val="0"/>
                <w:sz w:val="13"/>
              </w:rPr>
              <w:t>OPA/Rego tests, review</w:t>
            </w:r>
          </w:p>
        </w:tc>
        <w:tc>
          <w:tcPr>
            <w:tcW w:type="dxa" w:w="1584"/>
            <w:vAlign w:val="top"/>
          </w:tcPr>
          <w:p>
            <w:r/>
            <w:r>
              <w:rPr>
                <w:rFonts w:ascii="Arial" w:hAnsi="Arial" w:eastAsia="Arial"/>
                <w:b w:val="0"/>
                <w:sz w:val="13"/>
              </w:rPr>
              <w:t>Authorization/policy change</w:t>
            </w:r>
          </w:p>
        </w:tc>
        <w:tc>
          <w:tcPr>
            <w:tcW w:type="dxa" w:w="2880"/>
            <w:vAlign w:val="top"/>
          </w:tcPr>
          <w:p>
            <w:r/>
            <w:r>
              <w:rPr>
                <w:rFonts w:ascii="Arial" w:hAnsi="Arial" w:eastAsia="Arial"/>
                <w:b w:val="0"/>
                <w:sz w:val="13"/>
              </w:rPr>
              <w:t>Business/security policy hardcoded where OPA/DMN/rule table is required.</w:t>
            </w:r>
          </w:p>
        </w:tc>
      </w:tr>
      <w:tr>
        <w:tc>
          <w:tcPr>
            <w:tcW w:type="dxa" w:w="936"/>
            <w:vAlign w:val="top"/>
          </w:tcPr>
          <w:p>
            <w:r/>
            <w:r>
              <w:rPr>
                <w:rFonts w:ascii="Arial" w:hAnsi="Arial" w:eastAsia="Arial"/>
                <w:b w:val="0"/>
                <w:sz w:val="13"/>
              </w:rPr>
              <w:t>AFF-018</w:t>
            </w:r>
          </w:p>
        </w:tc>
        <w:tc>
          <w:tcPr>
            <w:tcW w:type="dxa" w:w="3456"/>
            <w:vAlign w:val="top"/>
          </w:tcPr>
          <w:p>
            <w:r/>
            <w:r>
              <w:rPr>
                <w:rFonts w:ascii="Arial" w:hAnsi="Arial" w:eastAsia="Arial"/>
                <w:b w:val="0"/>
                <w:sz w:val="13"/>
              </w:rPr>
              <w:t>Testability by design and changed-line coverage.</w:t>
            </w:r>
          </w:p>
        </w:tc>
        <w:tc>
          <w:tcPr>
            <w:tcW w:type="dxa" w:w="2016"/>
            <w:vAlign w:val="top"/>
          </w:tcPr>
          <w:p>
            <w:r/>
            <w:r>
              <w:rPr>
                <w:rFonts w:ascii="Arial" w:hAnsi="Arial" w:eastAsia="Arial"/>
                <w:b w:val="0"/>
                <w:sz w:val="13"/>
              </w:rPr>
              <w:t>Testability</w:t>
            </w:r>
          </w:p>
        </w:tc>
        <w:tc>
          <w:tcPr>
            <w:tcW w:type="dxa" w:w="2016"/>
            <w:vAlign w:val="top"/>
          </w:tcPr>
          <w:p>
            <w:r/>
            <w:r>
              <w:rPr>
                <w:rFonts w:ascii="Arial" w:hAnsi="Arial" w:eastAsia="Arial"/>
                <w:b w:val="0"/>
                <w:sz w:val="13"/>
              </w:rPr>
              <w:t>Unit/contract/mutation coverage</w:t>
            </w:r>
          </w:p>
        </w:tc>
        <w:tc>
          <w:tcPr>
            <w:tcW w:type="dxa" w:w="1584"/>
            <w:vAlign w:val="top"/>
          </w:tcPr>
          <w:p>
            <w:r/>
            <w:r>
              <w:rPr>
                <w:rFonts w:ascii="Arial" w:hAnsi="Arial" w:eastAsia="Arial"/>
                <w:b w:val="0"/>
                <w:sz w:val="13"/>
              </w:rPr>
              <w:t>Every PR/MR</w:t>
            </w:r>
          </w:p>
        </w:tc>
        <w:tc>
          <w:tcPr>
            <w:tcW w:type="dxa" w:w="2880"/>
            <w:vAlign w:val="top"/>
          </w:tcPr>
          <w:p>
            <w:r/>
            <w:r>
              <w:rPr>
                <w:rFonts w:ascii="Arial" w:hAnsi="Arial" w:eastAsia="Arial"/>
                <w:b w:val="0"/>
                <w:sz w:val="13"/>
              </w:rPr>
              <w:t>Untestable design, no tests for changed behavior, or missing negative/error paths.</w:t>
            </w:r>
          </w:p>
        </w:tc>
      </w:tr>
      <w:tr>
        <w:tc>
          <w:tcPr>
            <w:tcW w:type="dxa" w:w="936"/>
            <w:vAlign w:val="top"/>
          </w:tcPr>
          <w:p>
            <w:r/>
            <w:r>
              <w:rPr>
                <w:rFonts w:ascii="Arial" w:hAnsi="Arial" w:eastAsia="Arial"/>
                <w:b w:val="0"/>
                <w:sz w:val="13"/>
              </w:rPr>
              <w:t>AFF-019</w:t>
            </w:r>
          </w:p>
        </w:tc>
        <w:tc>
          <w:tcPr>
            <w:tcW w:type="dxa" w:w="3456"/>
            <w:vAlign w:val="top"/>
          </w:tcPr>
          <w:p>
            <w:r/>
            <w:r>
              <w:rPr>
                <w:rFonts w:ascii="Arial" w:hAnsi="Arial" w:eastAsia="Arial"/>
                <w:b w:val="0"/>
                <w:sz w:val="13"/>
              </w:rPr>
              <w:t>Secure-by-design and no sensitive leakage.</w:t>
            </w:r>
          </w:p>
        </w:tc>
        <w:tc>
          <w:tcPr>
            <w:tcW w:type="dxa" w:w="2016"/>
            <w:vAlign w:val="top"/>
          </w:tcPr>
          <w:p>
            <w:r/>
            <w:r>
              <w:rPr>
                <w:rFonts w:ascii="Arial" w:hAnsi="Arial" w:eastAsia="Arial"/>
                <w:b w:val="0"/>
                <w:sz w:val="13"/>
              </w:rPr>
              <w:t>Secure by Design</w:t>
            </w:r>
          </w:p>
        </w:tc>
        <w:tc>
          <w:tcPr>
            <w:tcW w:type="dxa" w:w="2016"/>
            <w:vAlign w:val="top"/>
          </w:tcPr>
          <w:p>
            <w:r/>
            <w:r>
              <w:rPr>
                <w:rFonts w:ascii="Arial" w:hAnsi="Arial" w:eastAsia="Arial"/>
                <w:b w:val="0"/>
                <w:sz w:val="13"/>
              </w:rPr>
              <w:t>Semgrep, Gitleaks, SAST</w:t>
            </w:r>
          </w:p>
        </w:tc>
        <w:tc>
          <w:tcPr>
            <w:tcW w:type="dxa" w:w="1584"/>
            <w:vAlign w:val="top"/>
          </w:tcPr>
          <w:p>
            <w:r/>
            <w:r>
              <w:rPr>
                <w:rFonts w:ascii="Arial" w:hAnsi="Arial" w:eastAsia="Arial"/>
                <w:b w:val="0"/>
                <w:sz w:val="13"/>
              </w:rPr>
              <w:t>Every PR/MR</w:t>
            </w:r>
          </w:p>
        </w:tc>
        <w:tc>
          <w:tcPr>
            <w:tcW w:type="dxa" w:w="2880"/>
            <w:vAlign w:val="top"/>
          </w:tcPr>
          <w:p>
            <w:r/>
            <w:r>
              <w:rPr>
                <w:rFonts w:ascii="Arial" w:hAnsi="Arial" w:eastAsia="Arial"/>
                <w:b w:val="0"/>
                <w:sz w:val="13"/>
              </w:rPr>
              <w:t>Secret/PII in code, logs, tests, prompts, examples, cache keys, or telemetry.</w:t>
            </w:r>
          </w:p>
        </w:tc>
      </w:tr>
      <w:tr>
        <w:tc>
          <w:tcPr>
            <w:tcW w:type="dxa" w:w="936"/>
            <w:vAlign w:val="top"/>
          </w:tcPr>
          <w:p>
            <w:r/>
            <w:r>
              <w:rPr>
                <w:rFonts w:ascii="Arial" w:hAnsi="Arial" w:eastAsia="Arial"/>
                <w:b w:val="0"/>
                <w:sz w:val="13"/>
              </w:rPr>
              <w:t>AFF-020</w:t>
            </w:r>
          </w:p>
        </w:tc>
        <w:tc>
          <w:tcPr>
            <w:tcW w:type="dxa" w:w="3456"/>
            <w:vAlign w:val="top"/>
          </w:tcPr>
          <w:p>
            <w:r/>
            <w:r>
              <w:rPr>
                <w:rFonts w:ascii="Arial" w:hAnsi="Arial" w:eastAsia="Arial"/>
                <w:b w:val="0"/>
                <w:sz w:val="13"/>
              </w:rPr>
              <w:t>Resilience pattern coverage for external dependencies.</w:t>
            </w:r>
          </w:p>
        </w:tc>
        <w:tc>
          <w:tcPr>
            <w:tcW w:type="dxa" w:w="2016"/>
            <w:vAlign w:val="top"/>
          </w:tcPr>
          <w:p>
            <w:r/>
            <w:r>
              <w:rPr>
                <w:rFonts w:ascii="Arial" w:hAnsi="Arial" w:eastAsia="Arial"/>
                <w:b w:val="0"/>
                <w:sz w:val="13"/>
              </w:rPr>
              <w:t>Resilience Patterns</w:t>
            </w:r>
          </w:p>
        </w:tc>
        <w:tc>
          <w:tcPr>
            <w:tcW w:type="dxa" w:w="2016"/>
            <w:vAlign w:val="top"/>
          </w:tcPr>
          <w:p>
            <w:r/>
            <w:r>
              <w:rPr>
                <w:rFonts w:ascii="Arial" w:hAnsi="Arial" w:eastAsia="Arial"/>
                <w:b w:val="0"/>
                <w:sz w:val="13"/>
              </w:rPr>
              <w:t>Resilience4j tests, chaos subset</w:t>
            </w:r>
          </w:p>
        </w:tc>
        <w:tc>
          <w:tcPr>
            <w:tcW w:type="dxa" w:w="1584"/>
            <w:vAlign w:val="top"/>
          </w:tcPr>
          <w:p>
            <w:r/>
            <w:r>
              <w:rPr>
                <w:rFonts w:ascii="Arial" w:hAnsi="Arial" w:eastAsia="Arial"/>
                <w:b w:val="0"/>
                <w:sz w:val="13"/>
              </w:rPr>
              <w:t>External call change</w:t>
            </w:r>
          </w:p>
        </w:tc>
        <w:tc>
          <w:tcPr>
            <w:tcW w:type="dxa" w:w="2880"/>
            <w:vAlign w:val="top"/>
          </w:tcPr>
          <w:p>
            <w:r/>
            <w:r>
              <w:rPr>
                <w:rFonts w:ascii="Arial" w:hAnsi="Arial" w:eastAsia="Arial"/>
                <w:b w:val="0"/>
                <w:sz w:val="13"/>
              </w:rPr>
              <w:t>No timeout, retry, circuit breaker, fallback, bulkhead, or DLQ policy.</w:t>
            </w:r>
          </w:p>
        </w:tc>
      </w:tr>
      <w:tr>
        <w:tc>
          <w:tcPr>
            <w:tcW w:type="dxa" w:w="936"/>
            <w:vAlign w:val="top"/>
          </w:tcPr>
          <w:p>
            <w:r/>
            <w:r>
              <w:rPr>
                <w:rFonts w:ascii="Arial" w:hAnsi="Arial" w:eastAsia="Arial"/>
                <w:b w:val="0"/>
                <w:sz w:val="13"/>
              </w:rPr>
              <w:t>AFF-021</w:t>
            </w:r>
          </w:p>
        </w:tc>
        <w:tc>
          <w:tcPr>
            <w:tcW w:type="dxa" w:w="3456"/>
            <w:vAlign w:val="top"/>
          </w:tcPr>
          <w:p>
            <w:r/>
            <w:r>
              <w:rPr>
                <w:rFonts w:ascii="Arial" w:hAnsi="Arial" w:eastAsia="Arial"/>
                <w:b w:val="0"/>
                <w:sz w:val="13"/>
              </w:rPr>
              <w:t>Architecture fitness function evidence exists.</w:t>
            </w:r>
          </w:p>
        </w:tc>
        <w:tc>
          <w:tcPr>
            <w:tcW w:type="dxa" w:w="2016"/>
            <w:vAlign w:val="top"/>
          </w:tcPr>
          <w:p>
            <w:r/>
            <w:r>
              <w:rPr>
                <w:rFonts w:ascii="Arial" w:hAnsi="Arial" w:eastAsia="Arial"/>
                <w:b w:val="0"/>
                <w:sz w:val="13"/>
              </w:rPr>
              <w:t>Architectural Fitness Functions</w:t>
            </w:r>
          </w:p>
        </w:tc>
        <w:tc>
          <w:tcPr>
            <w:tcW w:type="dxa" w:w="2016"/>
            <w:vAlign w:val="top"/>
          </w:tcPr>
          <w:p>
            <w:r/>
            <w:r>
              <w:rPr>
                <w:rFonts w:ascii="Arial" w:hAnsi="Arial" w:eastAsia="Arial"/>
                <w:b w:val="0"/>
                <w:sz w:val="13"/>
              </w:rPr>
              <w:t>Evidence manifest validator</w:t>
            </w:r>
          </w:p>
        </w:tc>
        <w:tc>
          <w:tcPr>
            <w:tcW w:type="dxa" w:w="1584"/>
            <w:vAlign w:val="top"/>
          </w:tcPr>
          <w:p>
            <w:r/>
            <w:r>
              <w:rPr>
                <w:rFonts w:ascii="Arial" w:hAnsi="Arial" w:eastAsia="Arial"/>
                <w:b w:val="0"/>
                <w:sz w:val="13"/>
              </w:rPr>
              <w:t>Every PR/MR</w:t>
            </w:r>
          </w:p>
        </w:tc>
        <w:tc>
          <w:tcPr>
            <w:tcW w:type="dxa" w:w="2880"/>
            <w:vAlign w:val="top"/>
          </w:tcPr>
          <w:p>
            <w:r/>
            <w:r>
              <w:rPr>
                <w:rFonts w:ascii="Arial" w:hAnsi="Arial" w:eastAsia="Arial"/>
                <w:b w:val="0"/>
                <w:sz w:val="13"/>
              </w:rPr>
              <w:t>Required AFF results absent, stale, not linked, or unauditable.</w:t>
            </w:r>
          </w:p>
        </w:tc>
      </w:tr>
      <w:tr>
        <w:tc>
          <w:tcPr>
            <w:tcW w:type="dxa" w:w="936"/>
            <w:vAlign w:val="top"/>
          </w:tcPr>
          <w:p>
            <w:r/>
            <w:r>
              <w:rPr>
                <w:rFonts w:ascii="Arial" w:hAnsi="Arial" w:eastAsia="Arial"/>
                <w:b w:val="0"/>
                <w:sz w:val="13"/>
              </w:rPr>
              <w:t>AFF-022</w:t>
            </w:r>
          </w:p>
        </w:tc>
        <w:tc>
          <w:tcPr>
            <w:tcW w:type="dxa" w:w="3456"/>
            <w:vAlign w:val="top"/>
          </w:tcPr>
          <w:p>
            <w:r/>
            <w:r>
              <w:rPr>
                <w:rFonts w:ascii="Arial" w:hAnsi="Arial" w:eastAsia="Arial"/>
                <w:b w:val="0"/>
                <w:sz w:val="13"/>
              </w:rPr>
              <w:t>Progressive autonomy gate for agents.</w:t>
            </w:r>
          </w:p>
        </w:tc>
        <w:tc>
          <w:tcPr>
            <w:tcW w:type="dxa" w:w="2016"/>
            <w:vAlign w:val="top"/>
          </w:tcPr>
          <w:p>
            <w:r/>
            <w:r>
              <w:rPr>
                <w:rFonts w:ascii="Arial" w:hAnsi="Arial" w:eastAsia="Arial"/>
                <w:b w:val="0"/>
                <w:sz w:val="13"/>
              </w:rPr>
              <w:t>Progressive Autonomy</w:t>
            </w:r>
          </w:p>
        </w:tc>
        <w:tc>
          <w:tcPr>
            <w:tcW w:type="dxa" w:w="2016"/>
            <w:vAlign w:val="top"/>
          </w:tcPr>
          <w:p>
            <w:r/>
            <w:r>
              <w:rPr>
                <w:rFonts w:ascii="Arial" w:hAnsi="Arial" w:eastAsia="Arial"/>
                <w:b w:val="0"/>
                <w:sz w:val="13"/>
              </w:rPr>
              <w:t>Trust score, Harness audit</w:t>
            </w:r>
          </w:p>
        </w:tc>
        <w:tc>
          <w:tcPr>
            <w:tcW w:type="dxa" w:w="1584"/>
            <w:vAlign w:val="top"/>
          </w:tcPr>
          <w:p>
            <w:r/>
            <w:r>
              <w:rPr>
                <w:rFonts w:ascii="Arial" w:hAnsi="Arial" w:eastAsia="Arial"/>
                <w:b w:val="0"/>
                <w:sz w:val="13"/>
              </w:rPr>
              <w:t>AI action change</w:t>
            </w:r>
          </w:p>
        </w:tc>
        <w:tc>
          <w:tcPr>
            <w:tcW w:type="dxa" w:w="2880"/>
            <w:vAlign w:val="top"/>
          </w:tcPr>
          <w:p>
            <w:r/>
            <w:r>
              <w:rPr>
                <w:rFonts w:ascii="Arial" w:hAnsi="Arial" w:eastAsia="Arial"/>
                <w:b w:val="0"/>
                <w:sz w:val="13"/>
              </w:rPr>
              <w:t>Agent authority exceeds trust, skill, risk tier, or human-approval threshold.</w:t>
            </w:r>
          </w:p>
        </w:tc>
      </w:tr>
      <w:tr>
        <w:tc>
          <w:tcPr>
            <w:tcW w:type="dxa" w:w="936"/>
            <w:vAlign w:val="top"/>
          </w:tcPr>
          <w:p>
            <w:r/>
            <w:r>
              <w:rPr>
                <w:rFonts w:ascii="Arial" w:hAnsi="Arial" w:eastAsia="Arial"/>
                <w:b w:val="0"/>
                <w:sz w:val="13"/>
              </w:rPr>
              <w:t>AFF-023</w:t>
            </w:r>
          </w:p>
        </w:tc>
        <w:tc>
          <w:tcPr>
            <w:tcW w:type="dxa" w:w="3456"/>
            <w:vAlign w:val="top"/>
          </w:tcPr>
          <w:p>
            <w:r/>
            <w:r>
              <w:rPr>
                <w:rFonts w:ascii="Arial" w:hAnsi="Arial" w:eastAsia="Arial"/>
                <w:b w:val="0"/>
                <w:sz w:val="13"/>
              </w:rPr>
              <w:t>Rollbackability or forward-fix plan.</w:t>
            </w:r>
          </w:p>
        </w:tc>
        <w:tc>
          <w:tcPr>
            <w:tcW w:type="dxa" w:w="2016"/>
            <w:vAlign w:val="top"/>
          </w:tcPr>
          <w:p>
            <w:r/>
            <w:r>
              <w:rPr>
                <w:rFonts w:ascii="Arial" w:hAnsi="Arial" w:eastAsia="Arial"/>
                <w:b w:val="0"/>
                <w:sz w:val="13"/>
              </w:rPr>
              <w:t>Reversibility/Rollbackability</w:t>
            </w:r>
          </w:p>
        </w:tc>
        <w:tc>
          <w:tcPr>
            <w:tcW w:type="dxa" w:w="2016"/>
            <w:vAlign w:val="top"/>
          </w:tcPr>
          <w:p>
            <w:r/>
            <w:r>
              <w:rPr>
                <w:rFonts w:ascii="Arial" w:hAnsi="Arial" w:eastAsia="Arial"/>
                <w:b w:val="0"/>
                <w:sz w:val="13"/>
              </w:rPr>
              <w:t>Deployment plan, migration test</w:t>
            </w:r>
          </w:p>
        </w:tc>
        <w:tc>
          <w:tcPr>
            <w:tcW w:type="dxa" w:w="1584"/>
            <w:vAlign w:val="top"/>
          </w:tcPr>
          <w:p>
            <w:r/>
            <w:r>
              <w:rPr>
                <w:rFonts w:ascii="Arial" w:hAnsi="Arial" w:eastAsia="Arial"/>
                <w:b w:val="0"/>
                <w:sz w:val="13"/>
              </w:rPr>
              <w:t>Release/promotion</w:t>
            </w:r>
          </w:p>
        </w:tc>
        <w:tc>
          <w:tcPr>
            <w:tcW w:type="dxa" w:w="2880"/>
            <w:vAlign w:val="top"/>
          </w:tcPr>
          <w:p>
            <w:r/>
            <w:r>
              <w:rPr>
                <w:rFonts w:ascii="Arial" w:hAnsi="Arial" w:eastAsia="Arial"/>
                <w:b w:val="0"/>
                <w:sz w:val="13"/>
              </w:rPr>
              <w:t>No rollback, compensation, forward-fix, or recovery evidence.</w:t>
            </w:r>
          </w:p>
        </w:tc>
      </w:tr>
      <w:tr>
        <w:tc>
          <w:tcPr>
            <w:tcW w:type="dxa" w:w="936"/>
            <w:vAlign w:val="top"/>
          </w:tcPr>
          <w:p>
            <w:r/>
            <w:r>
              <w:rPr>
                <w:rFonts w:ascii="Arial" w:hAnsi="Arial" w:eastAsia="Arial"/>
                <w:b w:val="0"/>
                <w:sz w:val="13"/>
              </w:rPr>
              <w:t>AFF-024</w:t>
            </w:r>
          </w:p>
        </w:tc>
        <w:tc>
          <w:tcPr>
            <w:tcW w:type="dxa" w:w="3456"/>
            <w:vAlign w:val="top"/>
          </w:tcPr>
          <w:p>
            <w:r/>
            <w:r>
              <w:rPr>
                <w:rFonts w:ascii="Arial" w:hAnsi="Arial" w:eastAsia="Arial"/>
                <w:b w:val="0"/>
                <w:sz w:val="13"/>
              </w:rPr>
              <w:t>AVCI completeness for every material artifact.</w:t>
            </w:r>
          </w:p>
        </w:tc>
        <w:tc>
          <w:tcPr>
            <w:tcW w:type="dxa" w:w="2016"/>
            <w:vAlign w:val="top"/>
          </w:tcPr>
          <w:p>
            <w:r/>
            <w:r>
              <w:rPr>
                <w:rFonts w:ascii="Arial" w:hAnsi="Arial" w:eastAsia="Arial"/>
                <w:b w:val="0"/>
                <w:sz w:val="13"/>
              </w:rPr>
              <w:t>AVCI</w:t>
            </w:r>
          </w:p>
        </w:tc>
        <w:tc>
          <w:tcPr>
            <w:tcW w:type="dxa" w:w="2016"/>
            <w:vAlign w:val="top"/>
          </w:tcPr>
          <w:p>
            <w:r/>
            <w:r>
              <w:rPr>
                <w:rFonts w:ascii="Arial" w:hAnsi="Arial" w:eastAsia="Arial"/>
                <w:b w:val="0"/>
                <w:sz w:val="13"/>
              </w:rPr>
              <w:t>PR template, evidence schema</w:t>
            </w:r>
          </w:p>
        </w:tc>
        <w:tc>
          <w:tcPr>
            <w:tcW w:type="dxa" w:w="1584"/>
            <w:vAlign w:val="top"/>
          </w:tcPr>
          <w:p>
            <w:r/>
            <w:r>
              <w:rPr>
                <w:rFonts w:ascii="Arial" w:hAnsi="Arial" w:eastAsia="Arial"/>
                <w:b w:val="0"/>
                <w:sz w:val="13"/>
              </w:rPr>
              <w:t>Every PR/MR</w:t>
            </w:r>
          </w:p>
        </w:tc>
        <w:tc>
          <w:tcPr>
            <w:tcW w:type="dxa" w:w="2880"/>
            <w:vAlign w:val="top"/>
          </w:tcPr>
          <w:p>
            <w:r/>
            <w:r>
              <w:rPr>
                <w:rFonts w:ascii="Arial" w:hAnsi="Arial" w:eastAsia="Arial"/>
                <w:b w:val="0"/>
                <w:sz w:val="13"/>
              </w:rPr>
              <w:t>Owner, evidence, classification, or improvement path missing.</w:t>
            </w:r>
          </w:p>
        </w:tc>
      </w:tr>
      <w:tr>
        <w:tc>
          <w:tcPr>
            <w:tcW w:type="dxa" w:w="936"/>
            <w:vAlign w:val="top"/>
          </w:tcPr>
          <w:p>
            <w:r/>
            <w:r>
              <w:rPr>
                <w:rFonts w:ascii="Arial" w:hAnsi="Arial" w:eastAsia="Arial"/>
                <w:b w:val="0"/>
                <w:sz w:val="13"/>
              </w:rPr>
              <w:t>AFF-025</w:t>
            </w:r>
          </w:p>
        </w:tc>
        <w:tc>
          <w:tcPr>
            <w:tcW w:type="dxa" w:w="3456"/>
            <w:vAlign w:val="top"/>
          </w:tcPr>
          <w:p>
            <w:r/>
            <w:r>
              <w:rPr>
                <w:rFonts w:ascii="Arial" w:hAnsi="Arial" w:eastAsia="Arial"/>
                <w:b w:val="0"/>
                <w:sz w:val="13"/>
              </w:rPr>
              <w:t>No direct LLM provider SDK or uncontrolled model call.</w:t>
            </w:r>
          </w:p>
        </w:tc>
        <w:tc>
          <w:tcPr>
            <w:tcW w:type="dxa" w:w="2016"/>
            <w:vAlign w:val="top"/>
          </w:tcPr>
          <w:p>
            <w:r/>
            <w:r>
              <w:rPr>
                <w:rFonts w:ascii="Arial" w:hAnsi="Arial" w:eastAsia="Arial"/>
                <w:b w:val="0"/>
                <w:sz w:val="13"/>
              </w:rPr>
              <w:t>AI governance</w:t>
            </w:r>
          </w:p>
        </w:tc>
        <w:tc>
          <w:tcPr>
            <w:tcW w:type="dxa" w:w="2016"/>
            <w:vAlign w:val="top"/>
          </w:tcPr>
          <w:p>
            <w:r/>
            <w:r>
              <w:rPr>
                <w:rFonts w:ascii="Arial" w:hAnsi="Arial" w:eastAsia="Arial"/>
                <w:b w:val="0"/>
                <w:sz w:val="13"/>
              </w:rPr>
              <w:t>Semgrep, dependency scan</w:t>
            </w:r>
          </w:p>
        </w:tc>
        <w:tc>
          <w:tcPr>
            <w:tcW w:type="dxa" w:w="1584"/>
            <w:vAlign w:val="top"/>
          </w:tcPr>
          <w:p>
            <w:r/>
            <w:r>
              <w:rPr>
                <w:rFonts w:ascii="Arial" w:hAnsi="Arial" w:eastAsia="Arial"/>
                <w:b w:val="0"/>
                <w:sz w:val="13"/>
              </w:rPr>
              <w:t>AI/code PR</w:t>
            </w:r>
          </w:p>
        </w:tc>
        <w:tc>
          <w:tcPr>
            <w:tcW w:type="dxa" w:w="2880"/>
            <w:vAlign w:val="top"/>
          </w:tcPr>
          <w:p>
            <w:r/>
            <w:r>
              <w:rPr>
                <w:rFonts w:ascii="Arial" w:hAnsi="Arial" w:eastAsia="Arial"/>
                <w:b w:val="0"/>
                <w:sz w:val="13"/>
              </w:rPr>
              <w:t>Application imports provider SDK or bypasses LiteLLM/guardrails.</w:t>
            </w:r>
          </w:p>
        </w:tc>
      </w:tr>
      <w:tr>
        <w:tc>
          <w:tcPr>
            <w:tcW w:type="dxa" w:w="936"/>
            <w:vAlign w:val="top"/>
          </w:tcPr>
          <w:p>
            <w:r/>
            <w:r>
              <w:rPr>
                <w:rFonts w:ascii="Arial" w:hAnsi="Arial" w:eastAsia="Arial"/>
                <w:b w:val="0"/>
                <w:sz w:val="13"/>
              </w:rPr>
              <w:t>AFF-026</w:t>
            </w:r>
          </w:p>
        </w:tc>
        <w:tc>
          <w:tcPr>
            <w:tcW w:type="dxa" w:w="3456"/>
            <w:vAlign w:val="top"/>
          </w:tcPr>
          <w:p>
            <w:r/>
            <w:r>
              <w:rPr>
                <w:rFonts w:ascii="Arial" w:hAnsi="Arial" w:eastAsia="Arial"/>
                <w:b w:val="0"/>
                <w:sz w:val="13"/>
              </w:rPr>
              <w:t>Guardrails four-checkpoint enforcement.</w:t>
            </w:r>
          </w:p>
        </w:tc>
        <w:tc>
          <w:tcPr>
            <w:tcW w:type="dxa" w:w="2016"/>
            <w:vAlign w:val="top"/>
          </w:tcPr>
          <w:p>
            <w:r/>
            <w:r>
              <w:rPr>
                <w:rFonts w:ascii="Arial" w:hAnsi="Arial" w:eastAsia="Arial"/>
                <w:b w:val="0"/>
                <w:sz w:val="13"/>
              </w:rPr>
              <w:t>AI safety</w:t>
            </w:r>
          </w:p>
        </w:tc>
        <w:tc>
          <w:tcPr>
            <w:tcW w:type="dxa" w:w="2016"/>
            <w:vAlign w:val="top"/>
          </w:tcPr>
          <w:p>
            <w:r/>
            <w:r>
              <w:rPr>
                <w:rFonts w:ascii="Arial" w:hAnsi="Arial" w:eastAsia="Arial"/>
                <w:b w:val="0"/>
                <w:sz w:val="13"/>
              </w:rPr>
              <w:t>Guardrail tests, config validator</w:t>
            </w:r>
          </w:p>
        </w:tc>
        <w:tc>
          <w:tcPr>
            <w:tcW w:type="dxa" w:w="1584"/>
            <w:vAlign w:val="top"/>
          </w:tcPr>
          <w:p>
            <w:r/>
            <w:r>
              <w:rPr>
                <w:rFonts w:ascii="Arial" w:hAnsi="Arial" w:eastAsia="Arial"/>
                <w:b w:val="0"/>
                <w:sz w:val="13"/>
              </w:rPr>
              <w:t>AI prompt/model change</w:t>
            </w:r>
          </w:p>
        </w:tc>
        <w:tc>
          <w:tcPr>
            <w:tcW w:type="dxa" w:w="2880"/>
            <w:vAlign w:val="top"/>
          </w:tcPr>
          <w:p>
            <w:r/>
            <w:r>
              <w:rPr>
                <w:rFonts w:ascii="Arial" w:hAnsi="Arial" w:eastAsia="Arial"/>
                <w:b w:val="0"/>
                <w:sz w:val="13"/>
              </w:rPr>
              <w:t>Input, Retrieval, Execution, or Output checkpoint missing or bypassable.</w:t>
            </w:r>
          </w:p>
        </w:tc>
      </w:tr>
      <w:tr>
        <w:tc>
          <w:tcPr>
            <w:tcW w:type="dxa" w:w="936"/>
            <w:vAlign w:val="top"/>
          </w:tcPr>
          <w:p>
            <w:r/>
            <w:r>
              <w:rPr>
                <w:rFonts w:ascii="Arial" w:hAnsi="Arial" w:eastAsia="Arial"/>
                <w:b w:val="0"/>
                <w:sz w:val="13"/>
              </w:rPr>
              <w:t>AFF-027</w:t>
            </w:r>
          </w:p>
        </w:tc>
        <w:tc>
          <w:tcPr>
            <w:tcW w:type="dxa" w:w="3456"/>
            <w:vAlign w:val="top"/>
          </w:tcPr>
          <w:p>
            <w:r/>
            <w:r>
              <w:rPr>
                <w:rFonts w:ascii="Arial" w:hAnsi="Arial" w:eastAsia="Arial"/>
                <w:b w:val="0"/>
                <w:sz w:val="13"/>
              </w:rPr>
              <w:t>Contract-first API and event governance.</w:t>
            </w:r>
          </w:p>
        </w:tc>
        <w:tc>
          <w:tcPr>
            <w:tcW w:type="dxa" w:w="2016"/>
            <w:vAlign w:val="top"/>
          </w:tcPr>
          <w:p>
            <w:r/>
            <w:r>
              <w:rPr>
                <w:rFonts w:ascii="Arial" w:hAnsi="Arial" w:eastAsia="Arial"/>
                <w:b w:val="0"/>
                <w:sz w:val="13"/>
              </w:rPr>
              <w:t>API discipline</w:t>
            </w:r>
          </w:p>
        </w:tc>
        <w:tc>
          <w:tcPr>
            <w:tcW w:type="dxa" w:w="2016"/>
            <w:vAlign w:val="top"/>
          </w:tcPr>
          <w:p>
            <w:r/>
            <w:r>
              <w:rPr>
                <w:rFonts w:ascii="Arial" w:hAnsi="Arial" w:eastAsia="Arial"/>
                <w:b w:val="0"/>
                <w:sz w:val="13"/>
              </w:rPr>
              <w:t>OpenAPI/AsyncAPI linters</w:t>
            </w:r>
          </w:p>
        </w:tc>
        <w:tc>
          <w:tcPr>
            <w:tcW w:type="dxa" w:w="1584"/>
            <w:vAlign w:val="top"/>
          </w:tcPr>
          <w:p>
            <w:r/>
            <w:r>
              <w:rPr>
                <w:rFonts w:ascii="Arial" w:hAnsi="Arial" w:eastAsia="Arial"/>
                <w:b w:val="0"/>
                <w:sz w:val="13"/>
              </w:rPr>
              <w:t>API/event PR</w:t>
            </w:r>
          </w:p>
        </w:tc>
        <w:tc>
          <w:tcPr>
            <w:tcW w:type="dxa" w:w="2880"/>
            <w:vAlign w:val="top"/>
          </w:tcPr>
          <w:p>
            <w:r/>
            <w:r>
              <w:rPr>
                <w:rFonts w:ascii="Arial" w:hAnsi="Arial" w:eastAsia="Arial"/>
                <w:b w:val="0"/>
                <w:sz w:val="13"/>
              </w:rPr>
              <w:t>Endpoint/topic/schema added without approved contract and tests.</w:t>
            </w:r>
          </w:p>
        </w:tc>
      </w:tr>
      <w:tr>
        <w:tc>
          <w:tcPr>
            <w:tcW w:type="dxa" w:w="936"/>
            <w:vAlign w:val="top"/>
          </w:tcPr>
          <w:p>
            <w:r/>
            <w:r>
              <w:rPr>
                <w:rFonts w:ascii="Arial" w:hAnsi="Arial" w:eastAsia="Arial"/>
                <w:b w:val="0"/>
                <w:sz w:val="13"/>
              </w:rPr>
              <w:t>AFF-028</w:t>
            </w:r>
          </w:p>
        </w:tc>
        <w:tc>
          <w:tcPr>
            <w:tcW w:type="dxa" w:w="3456"/>
            <w:vAlign w:val="top"/>
          </w:tcPr>
          <w:p>
            <w:r/>
            <w:r>
              <w:rPr>
                <w:rFonts w:ascii="Arial" w:hAnsi="Arial" w:eastAsia="Arial"/>
                <w:b w:val="0"/>
                <w:sz w:val="13"/>
              </w:rPr>
              <w:t>Database migration governance and expand/contract safety.</w:t>
            </w:r>
          </w:p>
        </w:tc>
        <w:tc>
          <w:tcPr>
            <w:tcW w:type="dxa" w:w="2016"/>
            <w:vAlign w:val="top"/>
          </w:tcPr>
          <w:p>
            <w:r/>
            <w:r>
              <w:rPr>
                <w:rFonts w:ascii="Arial" w:hAnsi="Arial" w:eastAsia="Arial"/>
                <w:b w:val="0"/>
                <w:sz w:val="13"/>
              </w:rPr>
              <w:t>Database discipline</w:t>
            </w:r>
          </w:p>
        </w:tc>
        <w:tc>
          <w:tcPr>
            <w:tcW w:type="dxa" w:w="2016"/>
            <w:vAlign w:val="top"/>
          </w:tcPr>
          <w:p>
            <w:r/>
            <w:r>
              <w:rPr>
                <w:rFonts w:ascii="Arial" w:hAnsi="Arial" w:eastAsia="Arial"/>
                <w:b w:val="0"/>
                <w:sz w:val="13"/>
              </w:rPr>
              <w:t>Flyway validation, migration tests</w:t>
            </w:r>
          </w:p>
        </w:tc>
        <w:tc>
          <w:tcPr>
            <w:tcW w:type="dxa" w:w="1584"/>
            <w:vAlign w:val="top"/>
          </w:tcPr>
          <w:p>
            <w:r/>
            <w:r>
              <w:rPr>
                <w:rFonts w:ascii="Arial" w:hAnsi="Arial" w:eastAsia="Arial"/>
                <w:b w:val="0"/>
                <w:sz w:val="13"/>
              </w:rPr>
              <w:t>DB PR</w:t>
            </w:r>
          </w:p>
        </w:tc>
        <w:tc>
          <w:tcPr>
            <w:tcW w:type="dxa" w:w="2880"/>
            <w:vAlign w:val="top"/>
          </w:tcPr>
          <w:p>
            <w:r/>
            <w:r>
              <w:rPr>
                <w:rFonts w:ascii="Arial" w:hAnsi="Arial" w:eastAsia="Arial"/>
                <w:b w:val="0"/>
                <w:sz w:val="13"/>
              </w:rPr>
              <w:t>Manual DDL, destructive migration, no rollback/forward-fix, no owner/classification.</w:t>
            </w:r>
          </w:p>
        </w:tc>
      </w:tr>
      <w:tr>
        <w:tc>
          <w:tcPr>
            <w:tcW w:type="dxa" w:w="936"/>
            <w:vAlign w:val="top"/>
          </w:tcPr>
          <w:p>
            <w:r/>
            <w:r>
              <w:rPr>
                <w:rFonts w:ascii="Arial" w:hAnsi="Arial" w:eastAsia="Arial"/>
                <w:b w:val="0"/>
                <w:sz w:val="13"/>
              </w:rPr>
              <w:t>AFF-029</w:t>
            </w:r>
          </w:p>
        </w:tc>
        <w:tc>
          <w:tcPr>
            <w:tcW w:type="dxa" w:w="3456"/>
            <w:vAlign w:val="top"/>
          </w:tcPr>
          <w:p>
            <w:r/>
            <w:r>
              <w:rPr>
                <w:rFonts w:ascii="Arial" w:hAnsi="Arial" w:eastAsia="Arial"/>
                <w:b w:val="0"/>
                <w:sz w:val="13"/>
              </w:rPr>
              <w:t>MicroFunction mandatory standard-step validation.</w:t>
            </w:r>
          </w:p>
        </w:tc>
        <w:tc>
          <w:tcPr>
            <w:tcW w:type="dxa" w:w="2016"/>
            <w:vAlign w:val="top"/>
          </w:tcPr>
          <w:p>
            <w:r/>
            <w:r>
              <w:rPr>
                <w:rFonts w:ascii="Arial" w:hAnsi="Arial" w:eastAsia="Arial"/>
                <w:b w:val="0"/>
                <w:sz w:val="13"/>
              </w:rPr>
              <w:t>MicroFunction</w:t>
            </w:r>
          </w:p>
        </w:tc>
        <w:tc>
          <w:tcPr>
            <w:tcW w:type="dxa" w:w="2016"/>
            <w:vAlign w:val="top"/>
          </w:tcPr>
          <w:p>
            <w:r/>
            <w:r>
              <w:rPr>
                <w:rFonts w:ascii="Arial" w:hAnsi="Arial" w:eastAsia="Arial"/>
                <w:b w:val="0"/>
                <w:sz w:val="13"/>
              </w:rPr>
              <w:t>Publish validator, tests</w:t>
            </w:r>
          </w:p>
        </w:tc>
        <w:tc>
          <w:tcPr>
            <w:tcW w:type="dxa" w:w="1584"/>
            <w:vAlign w:val="top"/>
          </w:tcPr>
          <w:p>
            <w:r/>
            <w:r>
              <w:rPr>
                <w:rFonts w:ascii="Arial" w:hAnsi="Arial" w:eastAsia="Arial"/>
                <w:b w:val="0"/>
                <w:sz w:val="13"/>
              </w:rPr>
              <w:t>Process config change</w:t>
            </w:r>
          </w:p>
        </w:tc>
        <w:tc>
          <w:tcPr>
            <w:tcW w:type="dxa" w:w="2880"/>
            <w:vAlign w:val="top"/>
          </w:tcPr>
          <w:p>
            <w:r/>
            <w:r>
              <w:rPr>
                <w:rFonts w:ascii="Arial" w:hAnsi="Arial" w:eastAsia="Arial"/>
                <w:b w:val="0"/>
                <w:sz w:val="13"/>
              </w:rPr>
              <w:t>Sequence omits receive, correlate, session, security, validation, audit, error path, or response.</w:t>
            </w:r>
          </w:p>
        </w:tc>
      </w:tr>
      <w:tr>
        <w:tc>
          <w:tcPr>
            <w:tcW w:type="dxa" w:w="936"/>
            <w:vAlign w:val="top"/>
          </w:tcPr>
          <w:p>
            <w:r/>
            <w:r>
              <w:rPr>
                <w:rFonts w:ascii="Arial" w:hAnsi="Arial" w:eastAsia="Arial"/>
                <w:b w:val="0"/>
                <w:sz w:val="13"/>
              </w:rPr>
              <w:t>AFF-030</w:t>
            </w:r>
          </w:p>
        </w:tc>
        <w:tc>
          <w:tcPr>
            <w:tcW w:type="dxa" w:w="3456"/>
            <w:vAlign w:val="top"/>
          </w:tcPr>
          <w:p>
            <w:r/>
            <w:r>
              <w:rPr>
                <w:rFonts w:ascii="Arial" w:hAnsi="Arial" w:eastAsia="Arial"/>
                <w:b w:val="0"/>
                <w:sz w:val="13"/>
              </w:rPr>
              <w:t>Knowledge and retrieval provenance validation.</w:t>
            </w:r>
          </w:p>
        </w:tc>
        <w:tc>
          <w:tcPr>
            <w:tcW w:type="dxa" w:w="2016"/>
            <w:vAlign w:val="top"/>
          </w:tcPr>
          <w:p>
            <w:r/>
            <w:r>
              <w:rPr>
                <w:rFonts w:ascii="Arial" w:hAnsi="Arial" w:eastAsia="Arial"/>
                <w:b w:val="0"/>
                <w:sz w:val="13"/>
              </w:rPr>
              <w:t>Knowledge governance</w:t>
            </w:r>
          </w:p>
        </w:tc>
        <w:tc>
          <w:tcPr>
            <w:tcW w:type="dxa" w:w="2016"/>
            <w:vAlign w:val="top"/>
          </w:tcPr>
          <w:p>
            <w:r/>
            <w:r>
              <w:rPr>
                <w:rFonts w:ascii="Arial" w:hAnsi="Arial" w:eastAsia="Arial"/>
                <w:b w:val="0"/>
                <w:sz w:val="13"/>
              </w:rPr>
              <w:t>LLM Wiki metadata, retrieval tests</w:t>
            </w:r>
          </w:p>
        </w:tc>
        <w:tc>
          <w:tcPr>
            <w:tcW w:type="dxa" w:w="1584"/>
            <w:vAlign w:val="top"/>
          </w:tcPr>
          <w:p>
            <w:r/>
            <w:r>
              <w:rPr>
                <w:rFonts w:ascii="Arial" w:hAnsi="Arial" w:eastAsia="Arial"/>
                <w:b w:val="0"/>
                <w:sz w:val="13"/>
              </w:rPr>
              <w:t>Knowledge/AI change</w:t>
            </w:r>
          </w:p>
        </w:tc>
        <w:tc>
          <w:tcPr>
            <w:tcW w:type="dxa" w:w="2880"/>
            <w:vAlign w:val="top"/>
          </w:tcPr>
          <w:p>
            <w:r/>
            <w:r>
              <w:rPr>
                <w:rFonts w:ascii="Arial" w:hAnsi="Arial" w:eastAsia="Arial"/>
                <w:b w:val="0"/>
                <w:sz w:val="13"/>
              </w:rPr>
              <w:t>Output or curated knowledge lacks source, version, classification, citation, or review state.</w:t>
            </w:r>
          </w:p>
        </w:tc>
      </w:tr>
    </w:tbl>
    <w:p/>
    <w:p>
      <w:pPr>
        <w:pStyle w:val="Heading1"/>
      </w:pPr>
      <w:r>
        <w:rPr>
          <w:rFonts w:ascii="Arial" w:hAnsi="Arial" w:eastAsia="Arial"/>
          <w:b w:val="0"/>
        </w:rPr>
        <w:t>6. SOLID and Clean Architecture Fitness Functions</w:t>
      </w:r>
    </w:p>
    <w:p>
      <w:r>
        <w:rPr>
          <w:rFonts w:ascii="Arial" w:hAnsi="Arial" w:eastAsia="Arial"/>
          <w:b w:val="0"/>
        </w:rPr>
        <w:t>SOLID enforcement in AIRA is not a style preference. It is a maintainability and safety gate. Business logic must remain small, cohesive, testable, and isolated from infrastructure concerns. Clean Architecture dependency direction must be enforced automatically wherever possible.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top"/>
          </w:tcPr>
          <w:p>
            <w:r/>
            <w:r>
              <w:rPr>
                <w:rFonts w:ascii="Arial" w:hAnsi="Arial" w:eastAsia="Arial"/>
                <w:b/>
                <w:color w:val="FFFFFF"/>
                <w:sz w:val="16"/>
              </w:rPr>
              <w:t>Control Area</w:t>
            </w:r>
          </w:p>
        </w:tc>
        <w:tc>
          <w:tcPr>
            <w:tcW w:type="dxa" w:w="8208"/>
            <w:shd w:fill="1F4E79"/>
            <w:vAlign w:val="top"/>
          </w:tcPr>
          <w:p>
            <w:r/>
            <w:r>
              <w:rPr>
                <w:rFonts w:ascii="Arial" w:hAnsi="Arial" w:eastAsia="Arial"/>
                <w:b/>
                <w:color w:val="FFFFFF"/>
                <w:sz w:val="16"/>
              </w:rPr>
              <w:t>Requirement</w:t>
            </w:r>
          </w:p>
        </w:tc>
      </w:tr>
      <w:tr>
        <w:tc>
          <w:tcPr>
            <w:tcW w:type="dxa" w:w="3168"/>
            <w:vAlign w:val="top"/>
          </w:tcPr>
          <w:p>
            <w:r/>
            <w:r>
              <w:rPr>
                <w:rFonts w:ascii="Arial" w:hAnsi="Arial" w:eastAsia="Arial"/>
                <w:b w:val="0"/>
                <w:sz w:val="16"/>
              </w:rPr>
              <w:t>Mandatory Checks</w:t>
            </w:r>
          </w:p>
        </w:tc>
        <w:tc>
          <w:tcPr>
            <w:tcW w:type="dxa" w:w="8208"/>
            <w:vAlign w:val="top"/>
          </w:tcPr>
          <w:p>
            <w:r/>
            <w:r>
              <w:rPr>
                <w:rFonts w:ascii="Arial" w:hAnsi="Arial" w:eastAsia="Arial"/>
                <w:b w:val="0"/>
                <w:sz w:val="16"/>
              </w:rPr>
              <w:t>Run blocking checks for critical architecture, security, data, AI, and evidence violations.</w:t>
            </w:r>
          </w:p>
        </w:tc>
      </w:tr>
      <w:tr>
        <w:tc>
          <w:tcPr>
            <w:tcW w:type="dxa" w:w="3168"/>
            <w:vAlign w:val="top"/>
          </w:tcPr>
          <w:p>
            <w:r/>
            <w:r>
              <w:rPr>
                <w:rFonts w:ascii="Arial" w:hAnsi="Arial" w:eastAsia="Arial"/>
                <w:b w:val="0"/>
                <w:sz w:val="16"/>
              </w:rPr>
              <w:t>Recommended Checks</w:t>
            </w:r>
          </w:p>
        </w:tc>
        <w:tc>
          <w:tcPr>
            <w:tcW w:type="dxa" w:w="8208"/>
            <w:vAlign w:val="top"/>
          </w:tcPr>
          <w:p>
            <w:r/>
            <w:r>
              <w:rPr>
                <w:rFonts w:ascii="Arial" w:hAnsi="Arial" w:eastAsia="Arial"/>
                <w:b w:val="0"/>
                <w:sz w:val="16"/>
              </w:rPr>
              <w:t>Run warning/advisory checks for maintainability, duplication, complexity, and drift trends.</w:t>
            </w:r>
          </w:p>
        </w:tc>
      </w:tr>
      <w:tr>
        <w:tc>
          <w:tcPr>
            <w:tcW w:type="dxa" w:w="3168"/>
            <w:vAlign w:val="top"/>
          </w:tcPr>
          <w:p>
            <w:r/>
            <w:r>
              <w:rPr>
                <w:rFonts w:ascii="Arial" w:hAnsi="Arial" w:eastAsia="Arial"/>
                <w:b w:val="0"/>
                <w:sz w:val="16"/>
              </w:rPr>
              <w:t>Evidence Required</w:t>
            </w:r>
          </w:p>
        </w:tc>
        <w:tc>
          <w:tcPr>
            <w:tcW w:type="dxa" w:w="8208"/>
            <w:vAlign w:val="top"/>
          </w:tcPr>
          <w:p>
            <w:r/>
            <w:r>
              <w:rPr>
                <w:rFonts w:ascii="Arial" w:hAnsi="Arial" w:eastAsia="Arial"/>
                <w:b w:val="0"/>
                <w:sz w:val="16"/>
              </w:rPr>
              <w:t>Store result status, tool version, ruleset version, commit, PR/MR, owner, reviewer, timestamp, and waiver reference if any.</w:t>
            </w:r>
          </w:p>
        </w:tc>
      </w:tr>
    </w:tbl>
    <w:p/>
    <w:p>
      <w:pPr>
        <w:pStyle w:val="Heading1"/>
      </w:pPr>
      <w:r>
        <w:rPr>
          <w:rFonts w:ascii="Arial" w:hAnsi="Arial" w:eastAsia="Arial"/>
          <w:b w:val="0"/>
        </w:rPr>
        <w:t>7. DDD, Ports-and-Adapters, and Boundary Fitness Functions</w:t>
      </w:r>
    </w:p>
    <w:p>
      <w:r>
        <w:rPr>
          <w:rFonts w:ascii="Arial" w:hAnsi="Arial" w:eastAsia="Arial"/>
          <w:b w:val="0"/>
        </w:rPr>
        <w:t>A bounded context owns its language, data model, schema, APIs, events, and invariants. Cross-context access happens through approved contracts and events. Ports-and-adapters isolates external systems so domain rules are not coupled to transport, persistence, AI providers, or vendor APIs.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top"/>
          </w:tcPr>
          <w:p>
            <w:r/>
            <w:r>
              <w:rPr>
                <w:rFonts w:ascii="Arial" w:hAnsi="Arial" w:eastAsia="Arial"/>
                <w:b/>
                <w:color w:val="FFFFFF"/>
                <w:sz w:val="16"/>
              </w:rPr>
              <w:t>Control Area</w:t>
            </w:r>
          </w:p>
        </w:tc>
        <w:tc>
          <w:tcPr>
            <w:tcW w:type="dxa" w:w="8208"/>
            <w:shd w:fill="1F4E79"/>
            <w:vAlign w:val="top"/>
          </w:tcPr>
          <w:p>
            <w:r/>
            <w:r>
              <w:rPr>
                <w:rFonts w:ascii="Arial" w:hAnsi="Arial" w:eastAsia="Arial"/>
                <w:b/>
                <w:color w:val="FFFFFF"/>
                <w:sz w:val="16"/>
              </w:rPr>
              <w:t>Requirement</w:t>
            </w:r>
          </w:p>
        </w:tc>
      </w:tr>
      <w:tr>
        <w:tc>
          <w:tcPr>
            <w:tcW w:type="dxa" w:w="3168"/>
            <w:vAlign w:val="top"/>
          </w:tcPr>
          <w:p>
            <w:r/>
            <w:r>
              <w:rPr>
                <w:rFonts w:ascii="Arial" w:hAnsi="Arial" w:eastAsia="Arial"/>
                <w:b w:val="0"/>
                <w:sz w:val="16"/>
              </w:rPr>
              <w:t>Mandatory Checks</w:t>
            </w:r>
          </w:p>
        </w:tc>
        <w:tc>
          <w:tcPr>
            <w:tcW w:type="dxa" w:w="8208"/>
            <w:vAlign w:val="top"/>
          </w:tcPr>
          <w:p>
            <w:r/>
            <w:r>
              <w:rPr>
                <w:rFonts w:ascii="Arial" w:hAnsi="Arial" w:eastAsia="Arial"/>
                <w:b w:val="0"/>
                <w:sz w:val="16"/>
              </w:rPr>
              <w:t>Run blocking checks for critical architecture, security, data, AI, and evidence violations.</w:t>
            </w:r>
          </w:p>
        </w:tc>
      </w:tr>
      <w:tr>
        <w:tc>
          <w:tcPr>
            <w:tcW w:type="dxa" w:w="3168"/>
            <w:vAlign w:val="top"/>
          </w:tcPr>
          <w:p>
            <w:r/>
            <w:r>
              <w:rPr>
                <w:rFonts w:ascii="Arial" w:hAnsi="Arial" w:eastAsia="Arial"/>
                <w:b w:val="0"/>
                <w:sz w:val="16"/>
              </w:rPr>
              <w:t>Recommended Checks</w:t>
            </w:r>
          </w:p>
        </w:tc>
        <w:tc>
          <w:tcPr>
            <w:tcW w:type="dxa" w:w="8208"/>
            <w:vAlign w:val="top"/>
          </w:tcPr>
          <w:p>
            <w:r/>
            <w:r>
              <w:rPr>
                <w:rFonts w:ascii="Arial" w:hAnsi="Arial" w:eastAsia="Arial"/>
                <w:b w:val="0"/>
                <w:sz w:val="16"/>
              </w:rPr>
              <w:t>Run warning/advisory checks for maintainability, duplication, complexity, and drift trends.</w:t>
            </w:r>
          </w:p>
        </w:tc>
      </w:tr>
      <w:tr>
        <w:tc>
          <w:tcPr>
            <w:tcW w:type="dxa" w:w="3168"/>
            <w:vAlign w:val="top"/>
          </w:tcPr>
          <w:p>
            <w:r/>
            <w:r>
              <w:rPr>
                <w:rFonts w:ascii="Arial" w:hAnsi="Arial" w:eastAsia="Arial"/>
                <w:b w:val="0"/>
                <w:sz w:val="16"/>
              </w:rPr>
              <w:t>Evidence Required</w:t>
            </w:r>
          </w:p>
        </w:tc>
        <w:tc>
          <w:tcPr>
            <w:tcW w:type="dxa" w:w="8208"/>
            <w:vAlign w:val="top"/>
          </w:tcPr>
          <w:p>
            <w:r/>
            <w:r>
              <w:rPr>
                <w:rFonts w:ascii="Arial" w:hAnsi="Arial" w:eastAsia="Arial"/>
                <w:b w:val="0"/>
                <w:sz w:val="16"/>
              </w:rPr>
              <w:t>Store result status, tool version, ruleset version, commit, PR/MR, owner, reviewer, timestamp, and waiver reference if any.</w:t>
            </w:r>
          </w:p>
        </w:tc>
      </w:tr>
    </w:tbl>
    <w:p/>
    <w:p>
      <w:pPr>
        <w:pStyle w:val="Heading1"/>
      </w:pPr>
      <w:r>
        <w:rPr>
          <w:rFonts w:ascii="Arial" w:hAnsi="Arial" w:eastAsia="Arial"/>
          <w:b w:val="0"/>
        </w:rPr>
        <w:t>8. Security, AI, and Policy Fitness Functions</w:t>
      </w:r>
    </w:p>
    <w:p>
      <w:r>
        <w:rPr>
          <w:rFonts w:ascii="Arial" w:hAnsi="Arial" w:eastAsia="Arial"/>
          <w:b w:val="0"/>
        </w:rPr>
        <w:t>AI-native capability increases the need for strict boundaries. Fitness functions must detect direct provider SDK usage, guardrail bypass, missing SBAC, excessive agent authority, secrets leakage, direct production tooling, and policy-as-code gaps.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top"/>
          </w:tcPr>
          <w:p>
            <w:r/>
            <w:r>
              <w:rPr>
                <w:rFonts w:ascii="Arial" w:hAnsi="Arial" w:eastAsia="Arial"/>
                <w:b/>
                <w:color w:val="FFFFFF"/>
                <w:sz w:val="16"/>
              </w:rPr>
              <w:t>Control Area</w:t>
            </w:r>
          </w:p>
        </w:tc>
        <w:tc>
          <w:tcPr>
            <w:tcW w:type="dxa" w:w="8208"/>
            <w:shd w:fill="1F4E79"/>
            <w:vAlign w:val="top"/>
          </w:tcPr>
          <w:p>
            <w:r/>
            <w:r>
              <w:rPr>
                <w:rFonts w:ascii="Arial" w:hAnsi="Arial" w:eastAsia="Arial"/>
                <w:b/>
                <w:color w:val="FFFFFF"/>
                <w:sz w:val="16"/>
              </w:rPr>
              <w:t>Requirement</w:t>
            </w:r>
          </w:p>
        </w:tc>
      </w:tr>
      <w:tr>
        <w:tc>
          <w:tcPr>
            <w:tcW w:type="dxa" w:w="3168"/>
            <w:vAlign w:val="top"/>
          </w:tcPr>
          <w:p>
            <w:r/>
            <w:r>
              <w:rPr>
                <w:rFonts w:ascii="Arial" w:hAnsi="Arial" w:eastAsia="Arial"/>
                <w:b w:val="0"/>
                <w:sz w:val="16"/>
              </w:rPr>
              <w:t>Mandatory Checks</w:t>
            </w:r>
          </w:p>
        </w:tc>
        <w:tc>
          <w:tcPr>
            <w:tcW w:type="dxa" w:w="8208"/>
            <w:vAlign w:val="top"/>
          </w:tcPr>
          <w:p>
            <w:r/>
            <w:r>
              <w:rPr>
                <w:rFonts w:ascii="Arial" w:hAnsi="Arial" w:eastAsia="Arial"/>
                <w:b w:val="0"/>
                <w:sz w:val="16"/>
              </w:rPr>
              <w:t>Run blocking checks for critical architecture, security, data, AI, and evidence violations.</w:t>
            </w:r>
          </w:p>
        </w:tc>
      </w:tr>
      <w:tr>
        <w:tc>
          <w:tcPr>
            <w:tcW w:type="dxa" w:w="3168"/>
            <w:vAlign w:val="top"/>
          </w:tcPr>
          <w:p>
            <w:r/>
            <w:r>
              <w:rPr>
                <w:rFonts w:ascii="Arial" w:hAnsi="Arial" w:eastAsia="Arial"/>
                <w:b w:val="0"/>
                <w:sz w:val="16"/>
              </w:rPr>
              <w:t>Recommended Checks</w:t>
            </w:r>
          </w:p>
        </w:tc>
        <w:tc>
          <w:tcPr>
            <w:tcW w:type="dxa" w:w="8208"/>
            <w:vAlign w:val="top"/>
          </w:tcPr>
          <w:p>
            <w:r/>
            <w:r>
              <w:rPr>
                <w:rFonts w:ascii="Arial" w:hAnsi="Arial" w:eastAsia="Arial"/>
                <w:b w:val="0"/>
                <w:sz w:val="16"/>
              </w:rPr>
              <w:t>Run warning/advisory checks for maintainability, duplication, complexity, and drift trends.</w:t>
            </w:r>
          </w:p>
        </w:tc>
      </w:tr>
      <w:tr>
        <w:tc>
          <w:tcPr>
            <w:tcW w:type="dxa" w:w="3168"/>
            <w:vAlign w:val="top"/>
          </w:tcPr>
          <w:p>
            <w:r/>
            <w:r>
              <w:rPr>
                <w:rFonts w:ascii="Arial" w:hAnsi="Arial" w:eastAsia="Arial"/>
                <w:b w:val="0"/>
                <w:sz w:val="16"/>
              </w:rPr>
              <w:t>Evidence Required</w:t>
            </w:r>
          </w:p>
        </w:tc>
        <w:tc>
          <w:tcPr>
            <w:tcW w:type="dxa" w:w="8208"/>
            <w:vAlign w:val="top"/>
          </w:tcPr>
          <w:p>
            <w:r/>
            <w:r>
              <w:rPr>
                <w:rFonts w:ascii="Arial" w:hAnsi="Arial" w:eastAsia="Arial"/>
                <w:b w:val="0"/>
                <w:sz w:val="16"/>
              </w:rPr>
              <w:t>Store result status, tool version, ruleset version, commit, PR/MR, owner, reviewer, timestamp, and waiver reference if any.</w:t>
            </w:r>
          </w:p>
        </w:tc>
      </w:tr>
    </w:tbl>
    <w:p/>
    <w:p>
      <w:pPr>
        <w:pStyle w:val="Heading1"/>
      </w:pPr>
      <w:r>
        <w:rPr>
          <w:rFonts w:ascii="Arial" w:hAnsi="Arial" w:eastAsia="Arial"/>
          <w:b w:val="0"/>
        </w:rPr>
        <w:t>9. Data, API, Workflow, and MicroFunction Fitness Functions</w:t>
      </w:r>
    </w:p>
    <w:p>
      <w:r>
        <w:rPr>
          <w:rFonts w:ascii="Arial" w:hAnsi="Arial" w:eastAsia="Arial"/>
          <w:b w:val="0"/>
        </w:rPr>
        <w:t>Data, contract, workflow, and MicroFunction checks protect enterprise consistency. Mutations require idempotency, events require contracts, database changes require Flyway evidence, Temporal handles machine durability, Flowable handles human approvals, and MicroFunctions must use the standard execution envelope.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top"/>
          </w:tcPr>
          <w:p>
            <w:r/>
            <w:r>
              <w:rPr>
                <w:rFonts w:ascii="Arial" w:hAnsi="Arial" w:eastAsia="Arial"/>
                <w:b/>
                <w:color w:val="FFFFFF"/>
                <w:sz w:val="16"/>
              </w:rPr>
              <w:t>Control Area</w:t>
            </w:r>
          </w:p>
        </w:tc>
        <w:tc>
          <w:tcPr>
            <w:tcW w:type="dxa" w:w="8208"/>
            <w:shd w:fill="1F4E79"/>
            <w:vAlign w:val="top"/>
          </w:tcPr>
          <w:p>
            <w:r/>
            <w:r>
              <w:rPr>
                <w:rFonts w:ascii="Arial" w:hAnsi="Arial" w:eastAsia="Arial"/>
                <w:b/>
                <w:color w:val="FFFFFF"/>
                <w:sz w:val="16"/>
              </w:rPr>
              <w:t>Requirement</w:t>
            </w:r>
          </w:p>
        </w:tc>
      </w:tr>
      <w:tr>
        <w:tc>
          <w:tcPr>
            <w:tcW w:type="dxa" w:w="3168"/>
            <w:vAlign w:val="top"/>
          </w:tcPr>
          <w:p>
            <w:r/>
            <w:r>
              <w:rPr>
                <w:rFonts w:ascii="Arial" w:hAnsi="Arial" w:eastAsia="Arial"/>
                <w:b w:val="0"/>
                <w:sz w:val="16"/>
              </w:rPr>
              <w:t>Mandatory Checks</w:t>
            </w:r>
          </w:p>
        </w:tc>
        <w:tc>
          <w:tcPr>
            <w:tcW w:type="dxa" w:w="8208"/>
            <w:vAlign w:val="top"/>
          </w:tcPr>
          <w:p>
            <w:r/>
            <w:r>
              <w:rPr>
                <w:rFonts w:ascii="Arial" w:hAnsi="Arial" w:eastAsia="Arial"/>
                <w:b w:val="0"/>
                <w:sz w:val="16"/>
              </w:rPr>
              <w:t>Run blocking checks for critical architecture, security, data, AI, and evidence violations.</w:t>
            </w:r>
          </w:p>
        </w:tc>
      </w:tr>
      <w:tr>
        <w:tc>
          <w:tcPr>
            <w:tcW w:type="dxa" w:w="3168"/>
            <w:vAlign w:val="top"/>
          </w:tcPr>
          <w:p>
            <w:r/>
            <w:r>
              <w:rPr>
                <w:rFonts w:ascii="Arial" w:hAnsi="Arial" w:eastAsia="Arial"/>
                <w:b w:val="0"/>
                <w:sz w:val="16"/>
              </w:rPr>
              <w:t>Recommended Checks</w:t>
            </w:r>
          </w:p>
        </w:tc>
        <w:tc>
          <w:tcPr>
            <w:tcW w:type="dxa" w:w="8208"/>
            <w:vAlign w:val="top"/>
          </w:tcPr>
          <w:p>
            <w:r/>
            <w:r>
              <w:rPr>
                <w:rFonts w:ascii="Arial" w:hAnsi="Arial" w:eastAsia="Arial"/>
                <w:b w:val="0"/>
                <w:sz w:val="16"/>
              </w:rPr>
              <w:t>Run warning/advisory checks for maintainability, duplication, complexity, and drift trends.</w:t>
            </w:r>
          </w:p>
        </w:tc>
      </w:tr>
      <w:tr>
        <w:tc>
          <w:tcPr>
            <w:tcW w:type="dxa" w:w="3168"/>
            <w:vAlign w:val="top"/>
          </w:tcPr>
          <w:p>
            <w:r/>
            <w:r>
              <w:rPr>
                <w:rFonts w:ascii="Arial" w:hAnsi="Arial" w:eastAsia="Arial"/>
                <w:b w:val="0"/>
                <w:sz w:val="16"/>
              </w:rPr>
              <w:t>Evidence Required</w:t>
            </w:r>
          </w:p>
        </w:tc>
        <w:tc>
          <w:tcPr>
            <w:tcW w:type="dxa" w:w="8208"/>
            <w:vAlign w:val="top"/>
          </w:tcPr>
          <w:p>
            <w:r/>
            <w:r>
              <w:rPr>
                <w:rFonts w:ascii="Arial" w:hAnsi="Arial" w:eastAsia="Arial"/>
                <w:b w:val="0"/>
                <w:sz w:val="16"/>
              </w:rPr>
              <w:t>Store result status, tool version, ruleset version, commit, PR/MR, owner, reviewer, timestamp, and waiver reference if any.</w:t>
            </w:r>
          </w:p>
        </w:tc>
      </w:tr>
    </w:tbl>
    <w:p/>
    <w:p>
      <w:pPr>
        <w:pStyle w:val="Heading1"/>
      </w:pPr>
      <w:r>
        <w:rPr>
          <w:rFonts w:ascii="Arial" w:hAnsi="Arial" w:eastAsia="Arial"/>
          <w:b w:val="0"/>
        </w:rPr>
        <w:t>10. Testing, Determinism, Idempotency, and Resilience Fitness Functions</w:t>
      </w:r>
    </w:p>
    <w:p>
      <w:r>
        <w:rPr>
          <w:rFonts w:ascii="Arial" w:hAnsi="Arial" w:eastAsia="Arial"/>
          <w:b w:val="0"/>
        </w:rPr>
        <w:t>AIRA tests must be deterministic and evidence-producing. Fitness functions reject uncontrolled clocks, random values, real network calls in unit tests, incomplete error paths, missing retry/fallback tests, and insufficient changed-line coverage for high-risk changes.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top"/>
          </w:tcPr>
          <w:p>
            <w:r/>
            <w:r>
              <w:rPr>
                <w:rFonts w:ascii="Arial" w:hAnsi="Arial" w:eastAsia="Arial"/>
                <w:b/>
                <w:color w:val="FFFFFF"/>
                <w:sz w:val="16"/>
              </w:rPr>
              <w:t>Control Area</w:t>
            </w:r>
          </w:p>
        </w:tc>
        <w:tc>
          <w:tcPr>
            <w:tcW w:type="dxa" w:w="8208"/>
            <w:shd w:fill="1F4E79"/>
            <w:vAlign w:val="top"/>
          </w:tcPr>
          <w:p>
            <w:r/>
            <w:r>
              <w:rPr>
                <w:rFonts w:ascii="Arial" w:hAnsi="Arial" w:eastAsia="Arial"/>
                <w:b/>
                <w:color w:val="FFFFFF"/>
                <w:sz w:val="16"/>
              </w:rPr>
              <w:t>Requirement</w:t>
            </w:r>
          </w:p>
        </w:tc>
      </w:tr>
      <w:tr>
        <w:tc>
          <w:tcPr>
            <w:tcW w:type="dxa" w:w="3168"/>
            <w:vAlign w:val="top"/>
          </w:tcPr>
          <w:p>
            <w:r/>
            <w:r>
              <w:rPr>
                <w:rFonts w:ascii="Arial" w:hAnsi="Arial" w:eastAsia="Arial"/>
                <w:b w:val="0"/>
                <w:sz w:val="16"/>
              </w:rPr>
              <w:t>Mandatory Checks</w:t>
            </w:r>
          </w:p>
        </w:tc>
        <w:tc>
          <w:tcPr>
            <w:tcW w:type="dxa" w:w="8208"/>
            <w:vAlign w:val="top"/>
          </w:tcPr>
          <w:p>
            <w:r/>
            <w:r>
              <w:rPr>
                <w:rFonts w:ascii="Arial" w:hAnsi="Arial" w:eastAsia="Arial"/>
                <w:b w:val="0"/>
                <w:sz w:val="16"/>
              </w:rPr>
              <w:t>Run blocking checks for critical architecture, security, data, AI, and evidence violations.</w:t>
            </w:r>
          </w:p>
        </w:tc>
      </w:tr>
      <w:tr>
        <w:tc>
          <w:tcPr>
            <w:tcW w:type="dxa" w:w="3168"/>
            <w:vAlign w:val="top"/>
          </w:tcPr>
          <w:p>
            <w:r/>
            <w:r>
              <w:rPr>
                <w:rFonts w:ascii="Arial" w:hAnsi="Arial" w:eastAsia="Arial"/>
                <w:b w:val="0"/>
                <w:sz w:val="16"/>
              </w:rPr>
              <w:t>Recommended Checks</w:t>
            </w:r>
          </w:p>
        </w:tc>
        <w:tc>
          <w:tcPr>
            <w:tcW w:type="dxa" w:w="8208"/>
            <w:vAlign w:val="top"/>
          </w:tcPr>
          <w:p>
            <w:r/>
            <w:r>
              <w:rPr>
                <w:rFonts w:ascii="Arial" w:hAnsi="Arial" w:eastAsia="Arial"/>
                <w:b w:val="0"/>
                <w:sz w:val="16"/>
              </w:rPr>
              <w:t>Run warning/advisory checks for maintainability, duplication, complexity, and drift trends.</w:t>
            </w:r>
          </w:p>
        </w:tc>
      </w:tr>
      <w:tr>
        <w:tc>
          <w:tcPr>
            <w:tcW w:type="dxa" w:w="3168"/>
            <w:vAlign w:val="top"/>
          </w:tcPr>
          <w:p>
            <w:r/>
            <w:r>
              <w:rPr>
                <w:rFonts w:ascii="Arial" w:hAnsi="Arial" w:eastAsia="Arial"/>
                <w:b w:val="0"/>
                <w:sz w:val="16"/>
              </w:rPr>
              <w:t>Evidence Required</w:t>
            </w:r>
          </w:p>
        </w:tc>
        <w:tc>
          <w:tcPr>
            <w:tcW w:type="dxa" w:w="8208"/>
            <w:vAlign w:val="top"/>
          </w:tcPr>
          <w:p>
            <w:r/>
            <w:r>
              <w:rPr>
                <w:rFonts w:ascii="Arial" w:hAnsi="Arial" w:eastAsia="Arial"/>
                <w:b w:val="0"/>
                <w:sz w:val="16"/>
              </w:rPr>
              <w:t>Store result status, tool version, ruleset version, commit, PR/MR, owner, reviewer, timestamp, and waiver reference if any.</w:t>
            </w:r>
          </w:p>
        </w:tc>
      </w:tr>
    </w:tbl>
    <w:p/>
    <w:p>
      <w:pPr>
        <w:pStyle w:val="Heading1"/>
      </w:pPr>
      <w:r>
        <w:rPr>
          <w:rFonts w:ascii="Arial" w:hAnsi="Arial" w:eastAsia="Arial"/>
          <w:b w:val="0"/>
        </w:rPr>
        <w:t>11. Observability, Reversibility, and AVCI Evidence Fitness Functions</w:t>
      </w:r>
    </w:p>
    <w:p>
      <w:r>
        <w:rPr>
          <w:rFonts w:ascii="Arial" w:hAnsi="Arial" w:eastAsia="Arial"/>
          <w:b w:val="0"/>
        </w:rPr>
        <w:t>Every material change must be observable, recoverable, and evidentiary. The absence of trace IDs, audit records, error codes, rollback plans, compensation paths, or AVCI evidence is a production-readiness defect.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top"/>
          </w:tcPr>
          <w:p>
            <w:r/>
            <w:r>
              <w:rPr>
                <w:rFonts w:ascii="Arial" w:hAnsi="Arial" w:eastAsia="Arial"/>
                <w:b/>
                <w:color w:val="FFFFFF"/>
                <w:sz w:val="16"/>
              </w:rPr>
              <w:t>Control Area</w:t>
            </w:r>
          </w:p>
        </w:tc>
        <w:tc>
          <w:tcPr>
            <w:tcW w:type="dxa" w:w="8208"/>
            <w:shd w:fill="1F4E79"/>
            <w:vAlign w:val="top"/>
          </w:tcPr>
          <w:p>
            <w:r/>
            <w:r>
              <w:rPr>
                <w:rFonts w:ascii="Arial" w:hAnsi="Arial" w:eastAsia="Arial"/>
                <w:b/>
                <w:color w:val="FFFFFF"/>
                <w:sz w:val="16"/>
              </w:rPr>
              <w:t>Requirement</w:t>
            </w:r>
          </w:p>
        </w:tc>
      </w:tr>
      <w:tr>
        <w:tc>
          <w:tcPr>
            <w:tcW w:type="dxa" w:w="3168"/>
            <w:vAlign w:val="top"/>
          </w:tcPr>
          <w:p>
            <w:r/>
            <w:r>
              <w:rPr>
                <w:rFonts w:ascii="Arial" w:hAnsi="Arial" w:eastAsia="Arial"/>
                <w:b w:val="0"/>
                <w:sz w:val="16"/>
              </w:rPr>
              <w:t>Mandatory Checks</w:t>
            </w:r>
          </w:p>
        </w:tc>
        <w:tc>
          <w:tcPr>
            <w:tcW w:type="dxa" w:w="8208"/>
            <w:vAlign w:val="top"/>
          </w:tcPr>
          <w:p>
            <w:r/>
            <w:r>
              <w:rPr>
                <w:rFonts w:ascii="Arial" w:hAnsi="Arial" w:eastAsia="Arial"/>
                <w:b w:val="0"/>
                <w:sz w:val="16"/>
              </w:rPr>
              <w:t>Run blocking checks for critical architecture, security, data, AI, and evidence violations.</w:t>
            </w:r>
          </w:p>
        </w:tc>
      </w:tr>
      <w:tr>
        <w:tc>
          <w:tcPr>
            <w:tcW w:type="dxa" w:w="3168"/>
            <w:vAlign w:val="top"/>
          </w:tcPr>
          <w:p>
            <w:r/>
            <w:r>
              <w:rPr>
                <w:rFonts w:ascii="Arial" w:hAnsi="Arial" w:eastAsia="Arial"/>
                <w:b w:val="0"/>
                <w:sz w:val="16"/>
              </w:rPr>
              <w:t>Recommended Checks</w:t>
            </w:r>
          </w:p>
        </w:tc>
        <w:tc>
          <w:tcPr>
            <w:tcW w:type="dxa" w:w="8208"/>
            <w:vAlign w:val="top"/>
          </w:tcPr>
          <w:p>
            <w:r/>
            <w:r>
              <w:rPr>
                <w:rFonts w:ascii="Arial" w:hAnsi="Arial" w:eastAsia="Arial"/>
                <w:b w:val="0"/>
                <w:sz w:val="16"/>
              </w:rPr>
              <w:t>Run warning/advisory checks for maintainability, duplication, complexity, and drift trends.</w:t>
            </w:r>
          </w:p>
        </w:tc>
      </w:tr>
      <w:tr>
        <w:tc>
          <w:tcPr>
            <w:tcW w:type="dxa" w:w="3168"/>
            <w:vAlign w:val="top"/>
          </w:tcPr>
          <w:p>
            <w:r/>
            <w:r>
              <w:rPr>
                <w:rFonts w:ascii="Arial" w:hAnsi="Arial" w:eastAsia="Arial"/>
                <w:b w:val="0"/>
                <w:sz w:val="16"/>
              </w:rPr>
              <w:t>Evidence Required</w:t>
            </w:r>
          </w:p>
        </w:tc>
        <w:tc>
          <w:tcPr>
            <w:tcW w:type="dxa" w:w="8208"/>
            <w:vAlign w:val="top"/>
          </w:tcPr>
          <w:p>
            <w:r/>
            <w:r>
              <w:rPr>
                <w:rFonts w:ascii="Arial" w:hAnsi="Arial" w:eastAsia="Arial"/>
                <w:b w:val="0"/>
                <w:sz w:val="16"/>
              </w:rPr>
              <w:t>Store result status, tool version, ruleset version, commit, PR/MR, owner, reviewer, timestamp, and waiver reference if any.</w:t>
            </w:r>
          </w:p>
        </w:tc>
      </w:tr>
    </w:tbl>
    <w:p/>
    <w:p>
      <w:pPr>
        <w:pStyle w:val="Heading1"/>
      </w:pPr>
      <w:r>
        <w:rPr>
          <w:rFonts w:ascii="Arial" w:hAnsi="Arial" w:eastAsia="Arial"/>
          <w:b w:val="0"/>
        </w:rPr>
        <w:t>12. Auto-Heal, Auto-Learn, and Auto-Improve Fitness Gates</w:t>
      </w:r>
    </w:p>
    <w:p>
      <w:r>
        <w:rPr>
          <w:rFonts w:ascii="Arial" w:hAnsi="Arial" w:eastAsia="Arial"/>
          <w:b w:val="0"/>
        </w:rPr>
        <w:t>Auto-Heal, Auto-Learn, and Auto-Improve must preserve or improve SOLID compliance, architecture boundaries, testability, security posture, observability, reversibility, and AVCI evidence. AIRA rejects improvements that make the system harder to understand, test, audit, secure, or roll back.</w:t>
      </w:r>
    </w:p>
    <w:p>
      <w:r>
        <w:rPr>
          <w:rFonts w:ascii="Arial" w:hAnsi="Arial" w:eastAsia="Arial"/>
        </w:rPr>
        <w:drawing>
          <wp:inline xmlns:a="http://schemas.openxmlformats.org/drawingml/2006/main" xmlns:pic="http://schemas.openxmlformats.org/drawingml/2006/picture">
            <wp:extent cx="6583680" cy="3686861"/>
            <wp:docPr id="3" name="Picture 3"/>
            <wp:cNvGraphicFramePr>
              <a:graphicFrameLocks noChangeAspect="1"/>
            </wp:cNvGraphicFramePr>
            <a:graphic>
              <a:graphicData uri="http://schemas.openxmlformats.org/drawingml/2006/picture">
                <pic:pic>
                  <pic:nvPicPr>
                    <pic:cNvPr id="0" name="autoheal_gate.png"/>
                    <pic:cNvPicPr/>
                  </pic:nvPicPr>
                  <pic:blipFill>
                    <a:blip r:embed="rId13"/>
                    <a:stretch>
                      <a:fillRect/>
                    </a:stretch>
                  </pic:blipFill>
                  <pic:spPr>
                    <a:xfrm>
                      <a:off x="0" y="0"/>
                      <a:ext cx="6583680" cy="3686861"/>
                    </a:xfrm>
                    <a:prstGeom prst="rect"/>
                  </pic:spPr>
                </pic:pic>
              </a:graphicData>
            </a:graphic>
          </wp:inline>
        </w:drawing>
      </w:r>
    </w:p>
    <w:p>
      <w:pPr>
        <w:jc w:val="center"/>
      </w:pPr>
      <w:r>
        <w:rPr>
          <w:rFonts w:ascii="Arial" w:hAnsi="Arial" w:eastAsia="Arial"/>
        </w:rPr>
        <w:t>Figure 3. Auto-Heal / Auto-Improve Fitness Gate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1F4E79"/>
            <w:vAlign w:val="top"/>
          </w:tcPr>
          <w:p>
            <w:r/>
            <w:r>
              <w:rPr>
                <w:rFonts w:ascii="Arial" w:hAnsi="Arial" w:eastAsia="Arial"/>
                <w:b/>
                <w:color w:val="FFFFFF"/>
                <w:sz w:val="16"/>
              </w:rPr>
              <w:t>Capability</w:t>
            </w:r>
          </w:p>
        </w:tc>
        <w:tc>
          <w:tcPr>
            <w:tcW w:type="dxa" w:w="5328"/>
            <w:shd w:fill="1F4E79"/>
            <w:vAlign w:val="top"/>
          </w:tcPr>
          <w:p>
            <w:r/>
            <w:r>
              <w:rPr>
                <w:rFonts w:ascii="Arial" w:hAnsi="Arial" w:eastAsia="Arial"/>
                <w:b/>
                <w:color w:val="FFFFFF"/>
                <w:sz w:val="16"/>
              </w:rPr>
              <w:t>Required Fitness Proof</w:t>
            </w:r>
          </w:p>
        </w:tc>
        <w:tc>
          <w:tcPr>
            <w:tcW w:type="dxa" w:w="4176"/>
            <w:shd w:fill="1F4E79"/>
            <w:vAlign w:val="top"/>
          </w:tcPr>
          <w:p>
            <w:r/>
            <w:r>
              <w:rPr>
                <w:rFonts w:ascii="Arial" w:hAnsi="Arial" w:eastAsia="Arial"/>
                <w:b/>
                <w:color w:val="FFFFFF"/>
                <w:sz w:val="16"/>
              </w:rPr>
              <w:t>Reject If</w:t>
            </w:r>
          </w:p>
        </w:tc>
      </w:tr>
      <w:tr>
        <w:tc>
          <w:tcPr>
            <w:tcW w:type="dxa" w:w="1872"/>
            <w:vAlign w:val="top"/>
          </w:tcPr>
          <w:p>
            <w:r/>
            <w:r>
              <w:rPr>
                <w:rFonts w:ascii="Arial" w:hAnsi="Arial" w:eastAsia="Arial"/>
                <w:b w:val="0"/>
                <w:sz w:val="16"/>
              </w:rPr>
              <w:t>Auto-Heal</w:t>
            </w:r>
          </w:p>
        </w:tc>
        <w:tc>
          <w:tcPr>
            <w:tcW w:type="dxa" w:w="5328"/>
            <w:vAlign w:val="top"/>
          </w:tcPr>
          <w:p>
            <w:r/>
            <w:r>
              <w:rPr>
                <w:rFonts w:ascii="Arial" w:hAnsi="Arial" w:eastAsia="Arial"/>
                <w:b w:val="0"/>
                <w:sz w:val="16"/>
              </w:rPr>
              <w:t>Fix must be minimal, evidence-based, tested, idempotent, secure, observable, reversible, and reviewed.</w:t>
            </w:r>
          </w:p>
        </w:tc>
        <w:tc>
          <w:tcPr>
            <w:tcW w:type="dxa" w:w="4176"/>
            <w:vAlign w:val="top"/>
          </w:tcPr>
          <w:p>
            <w:r/>
            <w:r>
              <w:rPr>
                <w:rFonts w:ascii="Arial" w:hAnsi="Arial" w:eastAsia="Arial"/>
                <w:b w:val="0"/>
                <w:sz w:val="16"/>
              </w:rPr>
              <w:t>Block if it hides root cause, bypasses policy, weakens tests, or changes production without approved path.</w:t>
            </w:r>
          </w:p>
        </w:tc>
      </w:tr>
      <w:tr>
        <w:tc>
          <w:tcPr>
            <w:tcW w:type="dxa" w:w="1872"/>
            <w:vAlign w:val="top"/>
          </w:tcPr>
          <w:p>
            <w:r/>
            <w:r>
              <w:rPr>
                <w:rFonts w:ascii="Arial" w:hAnsi="Arial" w:eastAsia="Arial"/>
                <w:b w:val="0"/>
                <w:sz w:val="16"/>
              </w:rPr>
              <w:t>Auto-Learn</w:t>
            </w:r>
          </w:p>
        </w:tc>
        <w:tc>
          <w:tcPr>
            <w:tcW w:type="dxa" w:w="5328"/>
            <w:vAlign w:val="top"/>
          </w:tcPr>
          <w:p>
            <w:r/>
            <w:r>
              <w:rPr>
                <w:rFonts w:ascii="Arial" w:hAnsi="Arial" w:eastAsia="Arial"/>
                <w:b w:val="0"/>
                <w:sz w:val="16"/>
              </w:rPr>
              <w:t>Learning output must be sourced, cited, classified, reviewed, non-conflicting, and linked to an approved knowledge artifact.</w:t>
            </w:r>
          </w:p>
        </w:tc>
        <w:tc>
          <w:tcPr>
            <w:tcW w:type="dxa" w:w="4176"/>
            <w:vAlign w:val="top"/>
          </w:tcPr>
          <w:p>
            <w:r/>
            <w:r>
              <w:rPr>
                <w:rFonts w:ascii="Arial" w:hAnsi="Arial" w:eastAsia="Arial"/>
                <w:b w:val="0"/>
                <w:sz w:val="16"/>
              </w:rPr>
              <w:t>Block if it promotes stale, unverified, unclassified, or contradictory knowledge.</w:t>
            </w:r>
          </w:p>
        </w:tc>
      </w:tr>
      <w:tr>
        <w:tc>
          <w:tcPr>
            <w:tcW w:type="dxa" w:w="1872"/>
            <w:vAlign w:val="top"/>
          </w:tcPr>
          <w:p>
            <w:r/>
            <w:r>
              <w:rPr>
                <w:rFonts w:ascii="Arial" w:hAnsi="Arial" w:eastAsia="Arial"/>
                <w:b w:val="0"/>
                <w:sz w:val="16"/>
              </w:rPr>
              <w:t>Auto-Improve</w:t>
            </w:r>
          </w:p>
        </w:tc>
        <w:tc>
          <w:tcPr>
            <w:tcW w:type="dxa" w:w="5328"/>
            <w:vAlign w:val="top"/>
          </w:tcPr>
          <w:p>
            <w:r/>
            <w:r>
              <w:rPr>
                <w:rFonts w:ascii="Arial" w:hAnsi="Arial" w:eastAsia="Arial"/>
                <w:b w:val="0"/>
                <w:sz w:val="16"/>
              </w:rPr>
              <w:t>Improvement must reduce measurable risk, defect rate, complexity, latency, cost, or maintainability debt without weakening controls.</w:t>
            </w:r>
          </w:p>
        </w:tc>
        <w:tc>
          <w:tcPr>
            <w:tcW w:type="dxa" w:w="4176"/>
            <w:vAlign w:val="top"/>
          </w:tcPr>
          <w:p>
            <w:r/>
            <w:r>
              <w:rPr>
                <w:rFonts w:ascii="Arial" w:hAnsi="Arial" w:eastAsia="Arial"/>
                <w:b w:val="0"/>
                <w:sz w:val="16"/>
              </w:rPr>
              <w:t>Block if it adds speculative abstraction, expands privilege, reduces observability, or lacks rollback evidence.</w:t>
            </w:r>
          </w:p>
        </w:tc>
      </w:tr>
    </w:tbl>
    <w:p/>
    <w:p>
      <w:pPr>
        <w:pStyle w:val="Heading1"/>
      </w:pPr>
      <w:r>
        <w:rPr>
          <w:rFonts w:ascii="Arial" w:hAnsi="Arial" w:eastAsia="Arial"/>
          <w:b w:val="0"/>
        </w:rPr>
        <w:t>13. CI/CD Integration and Evidence Manifest</w:t>
      </w:r>
    </w:p>
    <w:p>
      <w:r>
        <w:rPr>
          <w:rFonts w:ascii="Arial" w:hAnsi="Arial" w:eastAsia="Arial"/>
          <w:b w:val="0"/>
        </w:rPr>
        <w:t>The CI/CD pipeline must publish a fitness evidence manifest for every protected merge and promotion. The manifest is stored with the build evidence pack and referenced by the PR/MR AVCI Compliance Summary.</w:t>
      </w:r>
    </w:p>
    <w:p>
      <w:pPr>
        <w:pStyle w:val="CodeBlock"/>
      </w:pPr>
      <w:r>
        <w:rPr>
          <w:rFonts w:ascii="Courier New" w:hAnsi="Courier New" w:eastAsia="Courier New"/>
          <w:sz w:val="15"/>
        </w:rPr>
        <w:t>fitness_evidence:</w:t>
      </w:r>
    </w:p>
    <w:p>
      <w:pPr>
        <w:pStyle w:val="CodeBlock"/>
      </w:pPr>
      <w:r>
        <w:rPr>
          <w:rFonts w:ascii="Courier New" w:hAnsi="Courier New" w:eastAsia="Courier New"/>
          <w:sz w:val="15"/>
        </w:rPr>
        <w:t xml:space="preserve">  artifact_id: AFF-EVID-2026-0001</w:t>
      </w:r>
    </w:p>
    <w:p>
      <w:pPr>
        <w:pStyle w:val="CodeBlock"/>
      </w:pPr>
      <w:r>
        <w:rPr>
          <w:rFonts w:ascii="Courier New" w:hAnsi="Courier New" w:eastAsia="Courier New"/>
          <w:sz w:val="15"/>
        </w:rPr>
        <w:t xml:space="preserve">  repository: aira-platform</w:t>
      </w:r>
    </w:p>
    <w:p>
      <w:pPr>
        <w:pStyle w:val="CodeBlock"/>
      </w:pPr>
      <w:r>
        <w:rPr>
          <w:rFonts w:ascii="Courier New" w:hAnsi="Courier New" w:eastAsia="Courier New"/>
          <w:sz w:val="15"/>
        </w:rPr>
        <w:t xml:space="preserve">  commit_sha: &lt;sha&gt;</w:t>
      </w:r>
    </w:p>
    <w:p>
      <w:pPr>
        <w:pStyle w:val="CodeBlock"/>
      </w:pPr>
      <w:r>
        <w:rPr>
          <w:rFonts w:ascii="Courier New" w:hAnsi="Courier New" w:eastAsia="Courier New"/>
          <w:sz w:val="15"/>
        </w:rPr>
        <w:t xml:space="preserve">  pull_request: &lt;url-or-id&gt;</w:t>
      </w:r>
    </w:p>
    <w:p>
      <w:pPr>
        <w:pStyle w:val="CodeBlock"/>
      </w:pPr>
      <w:r>
        <w:rPr>
          <w:rFonts w:ascii="Courier New" w:hAnsi="Courier New" w:eastAsia="Courier New"/>
          <w:sz w:val="15"/>
        </w:rPr>
        <w:t xml:space="preserve">  pipeline_run: &lt;run-id&gt;</w:t>
      </w:r>
    </w:p>
    <w:p>
      <w:pPr>
        <w:pStyle w:val="CodeBlock"/>
      </w:pPr>
      <w:r>
        <w:rPr>
          <w:rFonts w:ascii="Courier New" w:hAnsi="Courier New" w:eastAsia="Courier New"/>
          <w:sz w:val="15"/>
        </w:rPr>
        <w:t xml:space="preserve">  ruleset_version: aira-aff-v1.0</w:t>
      </w:r>
    </w:p>
    <w:p>
      <w:pPr>
        <w:pStyle w:val="CodeBlock"/>
      </w:pPr>
      <w:r>
        <w:rPr>
          <w:rFonts w:ascii="Courier New" w:hAnsi="Courier New" w:eastAsia="Courier New"/>
          <w:sz w:val="15"/>
        </w:rPr>
        <w:t xml:space="preserve">  classification: INTERNAL</w:t>
      </w:r>
    </w:p>
    <w:p>
      <w:pPr>
        <w:pStyle w:val="CodeBlock"/>
      </w:pPr>
      <w:r>
        <w:rPr>
          <w:rFonts w:ascii="Courier New" w:hAnsi="Courier New" w:eastAsia="Courier New"/>
          <w:sz w:val="15"/>
        </w:rPr>
        <w:t xml:space="preserve">  required_functions:</w:t>
      </w:r>
    </w:p>
    <w:p>
      <w:pPr>
        <w:pStyle w:val="CodeBlock"/>
      </w:pPr>
      <w:r>
        <w:rPr>
          <w:rFonts w:ascii="Courier New" w:hAnsi="Courier New" w:eastAsia="Courier New"/>
          <w:sz w:val="15"/>
        </w:rPr>
        <w:t xml:space="preserve">    - id: AFF-001</w:t>
      </w:r>
    </w:p>
    <w:p>
      <w:pPr>
        <w:pStyle w:val="CodeBlock"/>
      </w:pPr>
      <w:r>
        <w:rPr>
          <w:rFonts w:ascii="Courier New" w:hAnsi="Courier New" w:eastAsia="Courier New"/>
          <w:sz w:val="15"/>
        </w:rPr>
        <w:t xml:space="preserve">      status: PASS</w:t>
      </w:r>
    </w:p>
    <w:p>
      <w:pPr>
        <w:pStyle w:val="CodeBlock"/>
      </w:pPr>
      <w:r>
        <w:rPr>
          <w:rFonts w:ascii="Courier New" w:hAnsi="Courier New" w:eastAsia="Courier New"/>
          <w:sz w:val="15"/>
        </w:rPr>
        <w:t xml:space="preserve">      tool: archunit</w:t>
      </w:r>
    </w:p>
    <w:p>
      <w:pPr>
        <w:pStyle w:val="CodeBlock"/>
      </w:pPr>
      <w:r>
        <w:rPr>
          <w:rFonts w:ascii="Courier New" w:hAnsi="Courier New" w:eastAsia="Courier New"/>
          <w:sz w:val="15"/>
        </w:rPr>
        <w:t xml:space="preserve">      evidence_ref: evidence/archunit-results.xml</w:t>
      </w:r>
    </w:p>
    <w:p>
      <w:pPr>
        <w:pStyle w:val="CodeBlock"/>
      </w:pPr>
      <w:r>
        <w:rPr>
          <w:rFonts w:ascii="Courier New" w:hAnsi="Courier New" w:eastAsia="Courier New"/>
          <w:sz w:val="15"/>
        </w:rPr>
        <w:t xml:space="preserve">    - id: AFF-025</w:t>
      </w:r>
    </w:p>
    <w:p>
      <w:pPr>
        <w:pStyle w:val="CodeBlock"/>
      </w:pPr>
      <w:r>
        <w:rPr>
          <w:rFonts w:ascii="Courier New" w:hAnsi="Courier New" w:eastAsia="Courier New"/>
          <w:sz w:val="15"/>
        </w:rPr>
        <w:t xml:space="preserve">      status: PASS</w:t>
      </w:r>
    </w:p>
    <w:p>
      <w:pPr>
        <w:pStyle w:val="CodeBlock"/>
      </w:pPr>
      <w:r>
        <w:rPr>
          <w:rFonts w:ascii="Courier New" w:hAnsi="Courier New" w:eastAsia="Courier New"/>
          <w:sz w:val="15"/>
        </w:rPr>
        <w:t xml:space="preserve">      tool: semgrep</w:t>
      </w:r>
    </w:p>
    <w:p>
      <w:pPr>
        <w:pStyle w:val="CodeBlock"/>
      </w:pPr>
      <w:r>
        <w:rPr>
          <w:rFonts w:ascii="Courier New" w:hAnsi="Courier New" w:eastAsia="Courier New"/>
          <w:sz w:val="15"/>
        </w:rPr>
        <w:t xml:space="preserve">      evidence_ref: evidence/semgrep.json</w:t>
      </w:r>
    </w:p>
    <w:p>
      <w:pPr>
        <w:pStyle w:val="CodeBlock"/>
      </w:pPr>
      <w:r>
        <w:rPr>
          <w:rFonts w:ascii="Courier New" w:hAnsi="Courier New" w:eastAsia="Courier New"/>
          <w:sz w:val="15"/>
        </w:rPr>
        <w:t xml:space="preserve">  waivers: []</w:t>
      </w:r>
    </w:p>
    <w:p>
      <w:pPr>
        <w:pStyle w:val="CodeBlock"/>
      </w:pPr>
      <w:r>
        <w:rPr>
          <w:rFonts w:ascii="Courier New" w:hAnsi="Courier New" w:eastAsia="Courier New"/>
          <w:sz w:val="15"/>
        </w:rPr>
        <w:t xml:space="preserve">  reviewer:</w:t>
      </w:r>
    </w:p>
    <w:p>
      <w:pPr>
        <w:pStyle w:val="CodeBlock"/>
      </w:pPr>
      <w:r>
        <w:rPr>
          <w:rFonts w:ascii="Courier New" w:hAnsi="Courier New" w:eastAsia="Courier New"/>
          <w:sz w:val="15"/>
        </w:rPr>
        <w:t xml:space="preserve">    architecture: &lt;name&gt;</w:t>
      </w:r>
    </w:p>
    <w:p>
      <w:pPr>
        <w:pStyle w:val="CodeBlock"/>
      </w:pPr>
      <w:r>
        <w:rPr>
          <w:rFonts w:ascii="Courier New" w:hAnsi="Courier New" w:eastAsia="Courier New"/>
          <w:sz w:val="15"/>
        </w:rPr>
        <w:t xml:space="preserve">    security: &lt;name-if-required&gt;</w:t>
      </w:r>
    </w:p>
    <w:p>
      <w:pPr>
        <w:pStyle w:val="CodeBlock"/>
      </w:pPr>
      <w:r>
        <w:rPr>
          <w:rFonts w:ascii="Courier New" w:hAnsi="Courier New" w:eastAsia="Courier New"/>
          <w:sz w:val="15"/>
        </w:rPr>
        <w:t xml:space="preserve">    qa: &lt;name&gt;</w:t>
      </w:r>
    </w:p>
    <w:p>
      <w:pPr>
        <w:pStyle w:val="CodeBlock"/>
      </w:pPr>
      <w:r>
        <w:rPr>
          <w:rFonts w:ascii="Courier New" w:hAnsi="Courier New" w:eastAsia="Courier New"/>
          <w:sz w:val="15"/>
        </w:rPr>
        <w:t xml:space="preserve">  decision: APPROVED_FOR_MERGE</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9"/>
            <w:vAlign w:val="top"/>
          </w:tcPr>
          <w:p>
            <w:r/>
            <w:r>
              <w:rPr>
                <w:rFonts w:ascii="Arial" w:hAnsi="Arial" w:eastAsia="Arial"/>
                <w:b/>
                <w:color w:val="FFFFFF"/>
                <w:sz w:val="16"/>
              </w:rPr>
              <w:t>Pipeline Stage</w:t>
            </w:r>
          </w:p>
        </w:tc>
        <w:tc>
          <w:tcPr>
            <w:tcW w:type="dxa" w:w="8928"/>
            <w:shd w:fill="1F4E79"/>
            <w:vAlign w:val="top"/>
          </w:tcPr>
          <w:p>
            <w:r/>
            <w:r>
              <w:rPr>
                <w:rFonts w:ascii="Arial" w:hAnsi="Arial" w:eastAsia="Arial"/>
                <w:b/>
                <w:color w:val="FFFFFF"/>
                <w:sz w:val="16"/>
              </w:rPr>
              <w:t>Fitness Evidence Requirement</w:t>
            </w:r>
          </w:p>
        </w:tc>
      </w:tr>
      <w:tr>
        <w:tc>
          <w:tcPr>
            <w:tcW w:type="dxa" w:w="2448"/>
            <w:vAlign w:val="top"/>
          </w:tcPr>
          <w:p>
            <w:r/>
            <w:r>
              <w:rPr>
                <w:rFonts w:ascii="Arial" w:hAnsi="Arial" w:eastAsia="Arial"/>
                <w:b w:val="0"/>
                <w:sz w:val="16"/>
              </w:rPr>
              <w:t>Pre-commit</w:t>
            </w:r>
          </w:p>
        </w:tc>
        <w:tc>
          <w:tcPr>
            <w:tcW w:type="dxa" w:w="8928"/>
            <w:vAlign w:val="top"/>
          </w:tcPr>
          <w:p>
            <w:r/>
            <w:r>
              <w:rPr>
                <w:rFonts w:ascii="Arial" w:hAnsi="Arial" w:eastAsia="Arial"/>
                <w:b w:val="0"/>
                <w:sz w:val="16"/>
              </w:rPr>
              <w:t>Run fast checks: formatting, forbidden patterns, secrets, direct provider SDK imports, basic evidence template.</w:t>
            </w:r>
          </w:p>
        </w:tc>
      </w:tr>
      <w:tr>
        <w:tc>
          <w:tcPr>
            <w:tcW w:type="dxa" w:w="2448"/>
            <w:vAlign w:val="top"/>
          </w:tcPr>
          <w:p>
            <w:r/>
            <w:r>
              <w:rPr>
                <w:rFonts w:ascii="Arial" w:hAnsi="Arial" w:eastAsia="Arial"/>
                <w:b w:val="0"/>
                <w:sz w:val="16"/>
              </w:rPr>
              <w:t>Pull Request</w:t>
            </w:r>
          </w:p>
        </w:tc>
        <w:tc>
          <w:tcPr>
            <w:tcW w:type="dxa" w:w="8928"/>
            <w:vAlign w:val="top"/>
          </w:tcPr>
          <w:p>
            <w:r/>
            <w:r>
              <w:rPr>
                <w:rFonts w:ascii="Arial" w:hAnsi="Arial" w:eastAsia="Arial"/>
                <w:b w:val="0"/>
                <w:sz w:val="16"/>
              </w:rPr>
              <w:t>Run full static, policy, test, contract, and architecture fitness set. Require CODEOWNERS approval.</w:t>
            </w:r>
          </w:p>
        </w:tc>
      </w:tr>
      <w:tr>
        <w:tc>
          <w:tcPr>
            <w:tcW w:type="dxa" w:w="2448"/>
            <w:vAlign w:val="top"/>
          </w:tcPr>
          <w:p>
            <w:r/>
            <w:r>
              <w:rPr>
                <w:rFonts w:ascii="Arial" w:hAnsi="Arial" w:eastAsia="Arial"/>
                <w:b w:val="0"/>
                <w:sz w:val="16"/>
              </w:rPr>
              <w:t>Merge to main</w:t>
            </w:r>
          </w:p>
        </w:tc>
        <w:tc>
          <w:tcPr>
            <w:tcW w:type="dxa" w:w="8928"/>
            <w:vAlign w:val="top"/>
          </w:tcPr>
          <w:p>
            <w:r/>
            <w:r>
              <w:rPr>
                <w:rFonts w:ascii="Arial" w:hAnsi="Arial" w:eastAsia="Arial"/>
                <w:b w:val="0"/>
                <w:sz w:val="16"/>
              </w:rPr>
              <w:t>Generate signed evidence manifest, SBOM, provenance, and immutable audit reference.</w:t>
            </w:r>
          </w:p>
        </w:tc>
      </w:tr>
      <w:tr>
        <w:tc>
          <w:tcPr>
            <w:tcW w:type="dxa" w:w="2448"/>
            <w:vAlign w:val="top"/>
          </w:tcPr>
          <w:p>
            <w:r/>
            <w:r>
              <w:rPr>
                <w:rFonts w:ascii="Arial" w:hAnsi="Arial" w:eastAsia="Arial"/>
                <w:b w:val="0"/>
                <w:sz w:val="16"/>
              </w:rPr>
              <w:t>Release candidate</w:t>
            </w:r>
          </w:p>
        </w:tc>
        <w:tc>
          <w:tcPr>
            <w:tcW w:type="dxa" w:w="8928"/>
            <w:vAlign w:val="top"/>
          </w:tcPr>
          <w:p>
            <w:r/>
            <w:r>
              <w:rPr>
                <w:rFonts w:ascii="Arial" w:hAnsi="Arial" w:eastAsia="Arial"/>
                <w:b w:val="0"/>
                <w:sz w:val="16"/>
              </w:rPr>
              <w:t>Run promotion checks, rollback readiness, environment policy, migration compatibility, and smoke tests.</w:t>
            </w:r>
          </w:p>
        </w:tc>
      </w:tr>
      <w:tr>
        <w:tc>
          <w:tcPr>
            <w:tcW w:type="dxa" w:w="2448"/>
            <w:vAlign w:val="top"/>
          </w:tcPr>
          <w:p>
            <w:r/>
            <w:r>
              <w:rPr>
                <w:rFonts w:ascii="Arial" w:hAnsi="Arial" w:eastAsia="Arial"/>
                <w:b w:val="0"/>
                <w:sz w:val="16"/>
              </w:rPr>
              <w:t>Production promotion</w:t>
            </w:r>
          </w:p>
        </w:tc>
        <w:tc>
          <w:tcPr>
            <w:tcW w:type="dxa" w:w="8928"/>
            <w:vAlign w:val="top"/>
          </w:tcPr>
          <w:p>
            <w:r/>
            <w:r>
              <w:rPr>
                <w:rFonts w:ascii="Arial" w:hAnsi="Arial" w:eastAsia="Arial"/>
                <w:b w:val="0"/>
                <w:sz w:val="16"/>
              </w:rPr>
              <w:t>Require CAB/approval evidence, deployment plan, observability readiness, and post-deploy verification.</w:t>
            </w:r>
          </w:p>
        </w:tc>
      </w:tr>
    </w:tbl>
    <w:p/>
    <w:p>
      <w:pPr>
        <w:pStyle w:val="Heading1"/>
      </w:pPr>
      <w:r>
        <w:rPr>
          <w:rFonts w:ascii="Arial" w:hAnsi="Arial" w:eastAsia="Arial"/>
          <w:b w:val="0"/>
        </w:rPr>
        <w:t>14. Waivers, Exceptions, and Non-Conformance</w:t>
      </w:r>
    </w:p>
    <w:p>
      <w:r>
        <w:rPr>
          <w:rFonts w:ascii="Arial" w:hAnsi="Arial" w:eastAsia="Arial"/>
          <w:b w:val="0"/>
        </w:rPr>
        <w:t>Waivers are controlled exceptions, not informal permissions. A waiver must never permit direct production bypass of identity, guardrails, audit, secrets, policy, or classification controls. Waivers expire and must carry remediation evidence.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312"/>
            <w:shd w:fill="1F4E79"/>
            <w:vAlign w:val="top"/>
          </w:tcPr>
          <w:p>
            <w:r/>
            <w:r>
              <w:rPr>
                <w:rFonts w:ascii="Arial" w:hAnsi="Arial" w:eastAsia="Arial"/>
                <w:b/>
                <w:color w:val="FFFFFF"/>
                <w:sz w:val="16"/>
              </w:rPr>
              <w:t>Required Field</w:t>
            </w:r>
          </w:p>
        </w:tc>
        <w:tc>
          <w:tcPr>
            <w:tcW w:type="dxa" w:w="8064"/>
            <w:shd w:fill="1F4E79"/>
            <w:vAlign w:val="top"/>
          </w:tcPr>
          <w:p>
            <w:r/>
            <w:r>
              <w:rPr>
                <w:rFonts w:ascii="Arial" w:hAnsi="Arial" w:eastAsia="Arial"/>
                <w:b/>
                <w:color w:val="FFFFFF"/>
                <w:sz w:val="16"/>
              </w:rPr>
              <w:t>Meaning</w:t>
            </w:r>
          </w:p>
        </w:tc>
      </w:tr>
      <w:tr>
        <w:tc>
          <w:tcPr>
            <w:tcW w:type="dxa" w:w="3312"/>
            <w:vAlign w:val="top"/>
          </w:tcPr>
          <w:p>
            <w:r/>
            <w:r>
              <w:rPr>
                <w:rFonts w:ascii="Arial" w:hAnsi="Arial" w:eastAsia="Arial"/>
                <w:b w:val="0"/>
                <w:sz w:val="16"/>
              </w:rPr>
              <w:t>Waiver ID</w:t>
            </w:r>
          </w:p>
        </w:tc>
        <w:tc>
          <w:tcPr>
            <w:tcW w:type="dxa" w:w="8064"/>
            <w:vAlign w:val="top"/>
          </w:tcPr>
          <w:p>
            <w:r/>
            <w:r>
              <w:rPr>
                <w:rFonts w:ascii="Arial" w:hAnsi="Arial" w:eastAsia="Arial"/>
                <w:b w:val="0"/>
                <w:sz w:val="16"/>
              </w:rPr>
              <w:t>Unique ID linked to ticket/ADR/TDL and PR/MR.</w:t>
            </w:r>
          </w:p>
        </w:tc>
      </w:tr>
      <w:tr>
        <w:tc>
          <w:tcPr>
            <w:tcW w:type="dxa" w:w="3312"/>
            <w:vAlign w:val="top"/>
          </w:tcPr>
          <w:p>
            <w:r/>
            <w:r>
              <w:rPr>
                <w:rFonts w:ascii="Arial" w:hAnsi="Arial" w:eastAsia="Arial"/>
                <w:b w:val="0"/>
                <w:sz w:val="16"/>
              </w:rPr>
              <w:t>Affected Fitness Function</w:t>
            </w:r>
          </w:p>
        </w:tc>
        <w:tc>
          <w:tcPr>
            <w:tcW w:type="dxa" w:w="8064"/>
            <w:vAlign w:val="top"/>
          </w:tcPr>
          <w:p>
            <w:r/>
            <w:r>
              <w:rPr>
                <w:rFonts w:ascii="Arial" w:hAnsi="Arial" w:eastAsia="Arial"/>
                <w:b w:val="0"/>
                <w:sz w:val="16"/>
              </w:rPr>
              <w:t>AFF ID, description, severity, and reason for temporary exception.</w:t>
            </w:r>
          </w:p>
        </w:tc>
      </w:tr>
      <w:tr>
        <w:tc>
          <w:tcPr>
            <w:tcW w:type="dxa" w:w="3312"/>
            <w:vAlign w:val="top"/>
          </w:tcPr>
          <w:p>
            <w:r/>
            <w:r>
              <w:rPr>
                <w:rFonts w:ascii="Arial" w:hAnsi="Arial" w:eastAsia="Arial"/>
                <w:b w:val="0"/>
                <w:sz w:val="16"/>
              </w:rPr>
              <w:t>Risk Acceptance</w:t>
            </w:r>
          </w:p>
        </w:tc>
        <w:tc>
          <w:tcPr>
            <w:tcW w:type="dxa" w:w="8064"/>
            <w:vAlign w:val="top"/>
          </w:tcPr>
          <w:p>
            <w:r/>
            <w:r>
              <w:rPr>
                <w:rFonts w:ascii="Arial" w:hAnsi="Arial" w:eastAsia="Arial"/>
                <w:b w:val="0"/>
                <w:sz w:val="16"/>
              </w:rPr>
              <w:t>Named risk owner, business justification, compensating controls, and expiry date.</w:t>
            </w:r>
          </w:p>
        </w:tc>
      </w:tr>
      <w:tr>
        <w:tc>
          <w:tcPr>
            <w:tcW w:type="dxa" w:w="3312"/>
            <w:vAlign w:val="top"/>
          </w:tcPr>
          <w:p>
            <w:r/>
            <w:r>
              <w:rPr>
                <w:rFonts w:ascii="Arial" w:hAnsi="Arial" w:eastAsia="Arial"/>
                <w:b w:val="0"/>
                <w:sz w:val="16"/>
              </w:rPr>
              <w:t>Approvals</w:t>
            </w:r>
          </w:p>
        </w:tc>
        <w:tc>
          <w:tcPr>
            <w:tcW w:type="dxa" w:w="8064"/>
            <w:vAlign w:val="top"/>
          </w:tcPr>
          <w:p>
            <w:r/>
            <w:r>
              <w:rPr>
                <w:rFonts w:ascii="Arial" w:hAnsi="Arial" w:eastAsia="Arial"/>
                <w:b w:val="0"/>
                <w:sz w:val="16"/>
              </w:rPr>
              <w:t>Architecture plus Security/QA/DBA/CAB depending on domain.</w:t>
            </w:r>
          </w:p>
        </w:tc>
      </w:tr>
      <w:tr>
        <w:tc>
          <w:tcPr>
            <w:tcW w:type="dxa" w:w="3312"/>
            <w:vAlign w:val="top"/>
          </w:tcPr>
          <w:p>
            <w:r/>
            <w:r>
              <w:rPr>
                <w:rFonts w:ascii="Arial" w:hAnsi="Arial" w:eastAsia="Arial"/>
                <w:b w:val="0"/>
                <w:sz w:val="16"/>
              </w:rPr>
              <w:t>Remediation Plan</w:t>
            </w:r>
          </w:p>
        </w:tc>
        <w:tc>
          <w:tcPr>
            <w:tcW w:type="dxa" w:w="8064"/>
            <w:vAlign w:val="top"/>
          </w:tcPr>
          <w:p>
            <w:r/>
            <w:r>
              <w:rPr>
                <w:rFonts w:ascii="Arial" w:hAnsi="Arial" w:eastAsia="Arial"/>
                <w:b w:val="0"/>
                <w:sz w:val="16"/>
              </w:rPr>
              <w:t>Concrete task, owner, target date, and evidence required to close waiver.</w:t>
            </w:r>
          </w:p>
        </w:tc>
      </w:tr>
    </w:tbl>
    <w:p/>
    <w:p>
      <w:pPr>
        <w:pStyle w:val="Heading1"/>
      </w:pPr>
      <w:r>
        <w:rPr>
          <w:rFonts w:ascii="Arial" w:hAnsi="Arial" w:eastAsia="Arial"/>
          <w:b w:val="0"/>
        </w:rPr>
        <w:t>15. RACI and Operating Responsibilities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1F4E79"/>
            <w:vAlign w:val="top"/>
          </w:tcPr>
          <w:p>
            <w:r/>
            <w:r>
              <w:rPr>
                <w:rFonts w:ascii="Arial" w:hAnsi="Arial" w:eastAsia="Arial"/>
                <w:b/>
                <w:color w:val="FFFFFF"/>
                <w:sz w:val="16"/>
              </w:rPr>
              <w:t>Role</w:t>
            </w:r>
          </w:p>
        </w:tc>
        <w:tc>
          <w:tcPr>
            <w:tcW w:type="dxa" w:w="1008"/>
            <w:shd w:fill="1F4E79"/>
            <w:vAlign w:val="top"/>
          </w:tcPr>
          <w:p>
            <w:r/>
            <w:r>
              <w:rPr>
                <w:rFonts w:ascii="Arial" w:hAnsi="Arial" w:eastAsia="Arial"/>
                <w:b/>
                <w:color w:val="FFFFFF"/>
                <w:sz w:val="16"/>
              </w:rPr>
              <w:t>RACI</w:t>
            </w:r>
          </w:p>
        </w:tc>
        <w:tc>
          <w:tcPr>
            <w:tcW w:type="dxa" w:w="7200"/>
            <w:shd w:fill="1F4E79"/>
            <w:vAlign w:val="top"/>
          </w:tcPr>
          <w:p>
            <w:r/>
            <w:r>
              <w:rPr>
                <w:rFonts w:ascii="Arial" w:hAnsi="Arial" w:eastAsia="Arial"/>
                <w:b/>
                <w:color w:val="FFFFFF"/>
                <w:sz w:val="16"/>
              </w:rPr>
              <w:t>Responsibility</w:t>
            </w:r>
          </w:p>
        </w:tc>
      </w:tr>
      <w:tr>
        <w:tc>
          <w:tcPr>
            <w:tcW w:type="dxa" w:w="3168"/>
            <w:vAlign w:val="top"/>
          </w:tcPr>
          <w:p>
            <w:r/>
            <w:r>
              <w:rPr>
                <w:rFonts w:ascii="Arial" w:hAnsi="Arial" w:eastAsia="Arial"/>
                <w:b w:val="0"/>
                <w:sz w:val="16"/>
              </w:rPr>
              <w:t>Solutions Architect / IT Head</w:t>
            </w:r>
          </w:p>
        </w:tc>
        <w:tc>
          <w:tcPr>
            <w:tcW w:type="dxa" w:w="1008"/>
            <w:vAlign w:val="top"/>
          </w:tcPr>
          <w:p>
            <w:r/>
            <w:r>
              <w:rPr>
                <w:rFonts w:ascii="Arial" w:hAnsi="Arial" w:eastAsia="Arial"/>
                <w:b w:val="0"/>
                <w:sz w:val="16"/>
              </w:rPr>
              <w:t>A</w:t>
            </w:r>
          </w:p>
        </w:tc>
        <w:tc>
          <w:tcPr>
            <w:tcW w:type="dxa" w:w="7200"/>
            <w:vAlign w:val="top"/>
          </w:tcPr>
          <w:p>
            <w:r/>
            <w:r>
              <w:rPr>
                <w:rFonts w:ascii="Arial" w:hAnsi="Arial" w:eastAsia="Arial"/>
                <w:b w:val="0"/>
                <w:sz w:val="16"/>
              </w:rPr>
              <w:t>Owns architecture fitness baseline, exception decisions, and cross-document alignment.</w:t>
            </w:r>
          </w:p>
        </w:tc>
      </w:tr>
      <w:tr>
        <w:tc>
          <w:tcPr>
            <w:tcW w:type="dxa" w:w="3168"/>
            <w:vAlign w:val="top"/>
          </w:tcPr>
          <w:p>
            <w:r/>
            <w:r>
              <w:rPr>
                <w:rFonts w:ascii="Arial" w:hAnsi="Arial" w:eastAsia="Arial"/>
                <w:b w:val="0"/>
                <w:sz w:val="16"/>
              </w:rPr>
              <w:t>Enterprise Architect</w:t>
            </w:r>
          </w:p>
        </w:tc>
        <w:tc>
          <w:tcPr>
            <w:tcW w:type="dxa" w:w="1008"/>
            <w:vAlign w:val="top"/>
          </w:tcPr>
          <w:p>
            <w:r/>
            <w:r>
              <w:rPr>
                <w:rFonts w:ascii="Arial" w:hAnsi="Arial" w:eastAsia="Arial"/>
                <w:b w:val="0"/>
                <w:sz w:val="16"/>
              </w:rPr>
              <w:t>R/A</w:t>
            </w:r>
          </w:p>
        </w:tc>
        <w:tc>
          <w:tcPr>
            <w:tcW w:type="dxa" w:w="7200"/>
            <w:vAlign w:val="top"/>
          </w:tcPr>
          <w:p>
            <w:r/>
            <w:r>
              <w:rPr>
                <w:rFonts w:ascii="Arial" w:hAnsi="Arial" w:eastAsia="Arial"/>
                <w:b w:val="0"/>
                <w:sz w:val="16"/>
              </w:rPr>
              <w:t>Defines and reviews architecture fitness functions, boundary rules, and ADR linkage.</w:t>
            </w:r>
          </w:p>
        </w:tc>
      </w:tr>
      <w:tr>
        <w:tc>
          <w:tcPr>
            <w:tcW w:type="dxa" w:w="3168"/>
            <w:vAlign w:val="top"/>
          </w:tcPr>
          <w:p>
            <w:r/>
            <w:r>
              <w:rPr>
                <w:rFonts w:ascii="Arial" w:hAnsi="Arial" w:eastAsia="Arial"/>
                <w:b w:val="0"/>
                <w:sz w:val="16"/>
              </w:rPr>
              <w:t>Software Development Lead</w:t>
            </w:r>
          </w:p>
        </w:tc>
        <w:tc>
          <w:tcPr>
            <w:tcW w:type="dxa" w:w="1008"/>
            <w:vAlign w:val="top"/>
          </w:tcPr>
          <w:p>
            <w:r/>
            <w:r>
              <w:rPr>
                <w:rFonts w:ascii="Arial" w:hAnsi="Arial" w:eastAsia="Arial"/>
                <w:b w:val="0"/>
                <w:sz w:val="16"/>
              </w:rPr>
              <w:t>R</w:t>
            </w:r>
          </w:p>
        </w:tc>
        <w:tc>
          <w:tcPr>
            <w:tcW w:type="dxa" w:w="7200"/>
            <w:vAlign w:val="top"/>
          </w:tcPr>
          <w:p>
            <w:r/>
            <w:r>
              <w:rPr>
                <w:rFonts w:ascii="Arial" w:hAnsi="Arial" w:eastAsia="Arial"/>
                <w:b w:val="0"/>
                <w:sz w:val="16"/>
              </w:rPr>
              <w:t>Ensures developers follow gates and remediate fitness failures.</w:t>
            </w:r>
          </w:p>
        </w:tc>
      </w:tr>
      <w:tr>
        <w:tc>
          <w:tcPr>
            <w:tcW w:type="dxa" w:w="3168"/>
            <w:vAlign w:val="top"/>
          </w:tcPr>
          <w:p>
            <w:r/>
            <w:r>
              <w:rPr>
                <w:rFonts w:ascii="Arial" w:hAnsi="Arial" w:eastAsia="Arial"/>
                <w:b w:val="0"/>
                <w:sz w:val="16"/>
              </w:rPr>
              <w:t>Software Developer</w:t>
            </w:r>
          </w:p>
        </w:tc>
        <w:tc>
          <w:tcPr>
            <w:tcW w:type="dxa" w:w="1008"/>
            <w:vAlign w:val="top"/>
          </w:tcPr>
          <w:p>
            <w:r/>
            <w:r>
              <w:rPr>
                <w:rFonts w:ascii="Arial" w:hAnsi="Arial" w:eastAsia="Arial"/>
                <w:b w:val="0"/>
                <w:sz w:val="16"/>
              </w:rPr>
              <w:t>R</w:t>
            </w:r>
          </w:p>
        </w:tc>
        <w:tc>
          <w:tcPr>
            <w:tcW w:type="dxa" w:w="7200"/>
            <w:vAlign w:val="top"/>
          </w:tcPr>
          <w:p>
            <w:r/>
            <w:r>
              <w:rPr>
                <w:rFonts w:ascii="Arial" w:hAnsi="Arial" w:eastAsia="Arial"/>
                <w:b w:val="0"/>
                <w:sz w:val="16"/>
              </w:rPr>
              <w:t>Runs local checks, writes tests, fixes violations, and records AVCI evidence.</w:t>
            </w:r>
          </w:p>
        </w:tc>
      </w:tr>
      <w:tr>
        <w:tc>
          <w:tcPr>
            <w:tcW w:type="dxa" w:w="3168"/>
            <w:vAlign w:val="top"/>
          </w:tcPr>
          <w:p>
            <w:r/>
            <w:r>
              <w:rPr>
                <w:rFonts w:ascii="Arial" w:hAnsi="Arial" w:eastAsia="Arial"/>
                <w:b w:val="0"/>
                <w:sz w:val="16"/>
              </w:rPr>
              <w:t>DevSecOps Lead</w:t>
            </w:r>
          </w:p>
        </w:tc>
        <w:tc>
          <w:tcPr>
            <w:tcW w:type="dxa" w:w="1008"/>
            <w:vAlign w:val="top"/>
          </w:tcPr>
          <w:p>
            <w:r/>
            <w:r>
              <w:rPr>
                <w:rFonts w:ascii="Arial" w:hAnsi="Arial" w:eastAsia="Arial"/>
                <w:b w:val="0"/>
                <w:sz w:val="16"/>
              </w:rPr>
              <w:t>R/A</w:t>
            </w:r>
          </w:p>
        </w:tc>
        <w:tc>
          <w:tcPr>
            <w:tcW w:type="dxa" w:w="7200"/>
            <w:vAlign w:val="top"/>
          </w:tcPr>
          <w:p>
            <w:r/>
            <w:r>
              <w:rPr>
                <w:rFonts w:ascii="Arial" w:hAnsi="Arial" w:eastAsia="Arial"/>
                <w:b w:val="0"/>
                <w:sz w:val="16"/>
              </w:rPr>
              <w:t>Implements CI/CD checks, evidence manifest, pre-commit hooks, and policy integration.</w:t>
            </w:r>
          </w:p>
        </w:tc>
      </w:tr>
      <w:tr>
        <w:tc>
          <w:tcPr>
            <w:tcW w:type="dxa" w:w="3168"/>
            <w:vAlign w:val="top"/>
          </w:tcPr>
          <w:p>
            <w:r/>
            <w:r>
              <w:rPr>
                <w:rFonts w:ascii="Arial" w:hAnsi="Arial" w:eastAsia="Arial"/>
                <w:b w:val="0"/>
                <w:sz w:val="16"/>
              </w:rPr>
              <w:t>Security Administrator</w:t>
            </w:r>
          </w:p>
        </w:tc>
        <w:tc>
          <w:tcPr>
            <w:tcW w:type="dxa" w:w="1008"/>
            <w:vAlign w:val="top"/>
          </w:tcPr>
          <w:p>
            <w:r/>
            <w:r>
              <w:rPr>
                <w:rFonts w:ascii="Arial" w:hAnsi="Arial" w:eastAsia="Arial"/>
                <w:b w:val="0"/>
                <w:sz w:val="16"/>
              </w:rPr>
              <w:t>R/A</w:t>
            </w:r>
          </w:p>
        </w:tc>
        <w:tc>
          <w:tcPr>
            <w:tcW w:type="dxa" w:w="7200"/>
            <w:vAlign w:val="top"/>
          </w:tcPr>
          <w:p>
            <w:r/>
            <w:r>
              <w:rPr>
                <w:rFonts w:ascii="Arial" w:hAnsi="Arial" w:eastAsia="Arial"/>
                <w:b w:val="0"/>
                <w:sz w:val="16"/>
              </w:rPr>
              <w:t>Owns security, SBAC, OPA, secrets, classification, and AI action gates.</w:t>
            </w:r>
          </w:p>
        </w:tc>
      </w:tr>
      <w:tr>
        <w:tc>
          <w:tcPr>
            <w:tcW w:type="dxa" w:w="3168"/>
            <w:vAlign w:val="top"/>
          </w:tcPr>
          <w:p>
            <w:r/>
            <w:r>
              <w:rPr>
                <w:rFonts w:ascii="Arial" w:hAnsi="Arial" w:eastAsia="Arial"/>
                <w:b w:val="0"/>
                <w:sz w:val="16"/>
              </w:rPr>
              <w:t>QA/SDET</w:t>
            </w:r>
          </w:p>
        </w:tc>
        <w:tc>
          <w:tcPr>
            <w:tcW w:type="dxa" w:w="1008"/>
            <w:vAlign w:val="top"/>
          </w:tcPr>
          <w:p>
            <w:r/>
            <w:r>
              <w:rPr>
                <w:rFonts w:ascii="Arial" w:hAnsi="Arial" w:eastAsia="Arial"/>
                <w:b w:val="0"/>
                <w:sz w:val="16"/>
              </w:rPr>
              <w:t>R</w:t>
            </w:r>
          </w:p>
        </w:tc>
        <w:tc>
          <w:tcPr>
            <w:tcW w:type="dxa" w:w="7200"/>
            <w:vAlign w:val="top"/>
          </w:tcPr>
          <w:p>
            <w:r/>
            <w:r>
              <w:rPr>
                <w:rFonts w:ascii="Arial" w:hAnsi="Arial" w:eastAsia="Arial"/>
                <w:b w:val="0"/>
                <w:sz w:val="16"/>
              </w:rPr>
              <w:t>Owns test fitness, deterministic tests, mutation gates, contract tests, and evidence review.</w:t>
            </w:r>
          </w:p>
        </w:tc>
      </w:tr>
      <w:tr>
        <w:tc>
          <w:tcPr>
            <w:tcW w:type="dxa" w:w="3168"/>
            <w:vAlign w:val="top"/>
          </w:tcPr>
          <w:p>
            <w:r/>
            <w:r>
              <w:rPr>
                <w:rFonts w:ascii="Arial" w:hAnsi="Arial" w:eastAsia="Arial"/>
                <w:b w:val="0"/>
                <w:sz w:val="16"/>
              </w:rPr>
              <w:t>DBA / Data Architect</w:t>
            </w:r>
          </w:p>
        </w:tc>
        <w:tc>
          <w:tcPr>
            <w:tcW w:type="dxa" w:w="1008"/>
            <w:vAlign w:val="top"/>
          </w:tcPr>
          <w:p>
            <w:r/>
            <w:r>
              <w:rPr>
                <w:rFonts w:ascii="Arial" w:hAnsi="Arial" w:eastAsia="Arial"/>
                <w:b w:val="0"/>
                <w:sz w:val="16"/>
              </w:rPr>
              <w:t>R</w:t>
            </w:r>
          </w:p>
        </w:tc>
        <w:tc>
          <w:tcPr>
            <w:tcW w:type="dxa" w:w="7200"/>
            <w:vAlign w:val="top"/>
          </w:tcPr>
          <w:p>
            <w:r/>
            <w:r>
              <w:rPr>
                <w:rFonts w:ascii="Arial" w:hAnsi="Arial" w:eastAsia="Arial"/>
                <w:b w:val="0"/>
                <w:sz w:val="16"/>
              </w:rPr>
              <w:t>Owns DB migration, bounded-context schema, RLS, outbox, pgvector, and data lineage checks.</w:t>
            </w:r>
          </w:p>
        </w:tc>
      </w:tr>
      <w:tr>
        <w:tc>
          <w:tcPr>
            <w:tcW w:type="dxa" w:w="3168"/>
            <w:vAlign w:val="top"/>
          </w:tcPr>
          <w:p>
            <w:r/>
            <w:r>
              <w:rPr>
                <w:rFonts w:ascii="Arial" w:hAnsi="Arial" w:eastAsia="Arial"/>
                <w:b w:val="0"/>
                <w:sz w:val="16"/>
              </w:rPr>
              <w:t>Internal Audit / Compliance</w:t>
            </w:r>
          </w:p>
        </w:tc>
        <w:tc>
          <w:tcPr>
            <w:tcW w:type="dxa" w:w="1008"/>
            <w:vAlign w:val="top"/>
          </w:tcPr>
          <w:p>
            <w:r/>
            <w:r>
              <w:rPr>
                <w:rFonts w:ascii="Arial" w:hAnsi="Arial" w:eastAsia="Arial"/>
                <w:b w:val="0"/>
                <w:sz w:val="16"/>
              </w:rPr>
              <w:t>C</w:t>
            </w:r>
          </w:p>
        </w:tc>
        <w:tc>
          <w:tcPr>
            <w:tcW w:type="dxa" w:w="7200"/>
            <w:vAlign w:val="top"/>
          </w:tcPr>
          <w:p>
            <w:r/>
            <w:r>
              <w:rPr>
                <w:rFonts w:ascii="Arial" w:hAnsi="Arial" w:eastAsia="Arial"/>
                <w:b w:val="0"/>
                <w:sz w:val="16"/>
              </w:rPr>
              <w:t>Reviews evidence completeness, control mapping, and non-conformance handling.</w:t>
            </w:r>
          </w:p>
        </w:tc>
      </w:tr>
      <w:tr>
        <w:tc>
          <w:tcPr>
            <w:tcW w:type="dxa" w:w="3168"/>
            <w:vAlign w:val="top"/>
          </w:tcPr>
          <w:p>
            <w:r/>
            <w:r>
              <w:rPr>
                <w:rFonts w:ascii="Arial" w:hAnsi="Arial" w:eastAsia="Arial"/>
                <w:b w:val="0"/>
                <w:sz w:val="16"/>
              </w:rPr>
              <w:t>CAB / Architecture Review Board</w:t>
            </w:r>
          </w:p>
        </w:tc>
        <w:tc>
          <w:tcPr>
            <w:tcW w:type="dxa" w:w="1008"/>
            <w:vAlign w:val="top"/>
          </w:tcPr>
          <w:p>
            <w:r/>
            <w:r>
              <w:rPr>
                <w:rFonts w:ascii="Arial" w:hAnsi="Arial" w:eastAsia="Arial"/>
                <w:b w:val="0"/>
                <w:sz w:val="16"/>
              </w:rPr>
              <w:t>A</w:t>
            </w:r>
          </w:p>
        </w:tc>
        <w:tc>
          <w:tcPr>
            <w:tcW w:type="dxa" w:w="7200"/>
            <w:vAlign w:val="top"/>
          </w:tcPr>
          <w:p>
            <w:r/>
            <w:r>
              <w:rPr>
                <w:rFonts w:ascii="Arial" w:hAnsi="Arial" w:eastAsia="Arial"/>
                <w:b w:val="0"/>
                <w:sz w:val="16"/>
              </w:rPr>
              <w:t>Approves major changes, waivers, production promotions, and standard updates.</w:t>
            </w:r>
          </w:p>
        </w:tc>
      </w:tr>
    </w:tbl>
    <w:p/>
    <w:p>
      <w:pPr>
        <w:pStyle w:val="Heading1"/>
      </w:pPr>
      <w:r>
        <w:rPr>
          <w:rFonts w:ascii="Arial" w:hAnsi="Arial" w:eastAsia="Arial"/>
          <w:b w:val="0"/>
        </w:rPr>
        <w:t>16. Implementation Roadmap and Acceptance Criteria</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864"/>
            <w:shd w:fill="1F4E79"/>
            <w:vAlign w:val="top"/>
          </w:tcPr>
          <w:p>
            <w:r/>
            <w:r>
              <w:rPr>
                <w:rFonts w:ascii="Arial" w:hAnsi="Arial" w:eastAsia="Arial"/>
                <w:b/>
                <w:color w:val="FFFFFF"/>
                <w:sz w:val="16"/>
              </w:rPr>
              <w:t>Phase</w:t>
            </w:r>
          </w:p>
        </w:tc>
        <w:tc>
          <w:tcPr>
            <w:tcW w:type="dxa" w:w="2592"/>
            <w:shd w:fill="1F4E79"/>
            <w:vAlign w:val="top"/>
          </w:tcPr>
          <w:p>
            <w:r/>
            <w:r>
              <w:rPr>
                <w:rFonts w:ascii="Arial" w:hAnsi="Arial" w:eastAsia="Arial"/>
                <w:b/>
                <w:color w:val="FFFFFF"/>
                <w:sz w:val="16"/>
              </w:rPr>
              <w:t>Name</w:t>
            </w:r>
          </w:p>
        </w:tc>
        <w:tc>
          <w:tcPr>
            <w:tcW w:type="dxa" w:w="5184"/>
            <w:shd w:fill="1F4E79"/>
            <w:vAlign w:val="top"/>
          </w:tcPr>
          <w:p>
            <w:r/>
            <w:r>
              <w:rPr>
                <w:rFonts w:ascii="Arial" w:hAnsi="Arial" w:eastAsia="Arial"/>
                <w:b/>
                <w:color w:val="FFFFFF"/>
                <w:sz w:val="16"/>
              </w:rPr>
              <w:t>Activity</w:t>
            </w:r>
          </w:p>
        </w:tc>
        <w:tc>
          <w:tcPr>
            <w:tcW w:type="dxa" w:w="3312"/>
            <w:shd w:fill="1F4E79"/>
            <w:vAlign w:val="top"/>
          </w:tcPr>
          <w:p>
            <w:r/>
            <w:r>
              <w:rPr>
                <w:rFonts w:ascii="Arial" w:hAnsi="Arial" w:eastAsia="Arial"/>
                <w:b/>
                <w:color w:val="FFFFFF"/>
                <w:sz w:val="16"/>
              </w:rPr>
              <w:t>Acceptance Criteria</w:t>
            </w:r>
          </w:p>
        </w:tc>
      </w:tr>
      <w:tr>
        <w:tc>
          <w:tcPr>
            <w:tcW w:type="dxa" w:w="864"/>
            <w:vAlign w:val="top"/>
          </w:tcPr>
          <w:p>
            <w:r/>
            <w:r>
              <w:rPr>
                <w:rFonts w:ascii="Arial" w:hAnsi="Arial" w:eastAsia="Arial"/>
                <w:b w:val="0"/>
                <w:sz w:val="15"/>
              </w:rPr>
              <w:t>R1</w:t>
            </w:r>
          </w:p>
        </w:tc>
        <w:tc>
          <w:tcPr>
            <w:tcW w:type="dxa" w:w="2592"/>
            <w:vAlign w:val="top"/>
          </w:tcPr>
          <w:p>
            <w:r/>
            <w:r>
              <w:rPr>
                <w:rFonts w:ascii="Arial" w:hAnsi="Arial" w:eastAsia="Arial"/>
                <w:b w:val="0"/>
                <w:sz w:val="15"/>
              </w:rPr>
              <w:t>Define baseline ruleset</w:t>
            </w:r>
          </w:p>
        </w:tc>
        <w:tc>
          <w:tcPr>
            <w:tcW w:type="dxa" w:w="5184"/>
            <w:vAlign w:val="top"/>
          </w:tcPr>
          <w:p>
            <w:r/>
            <w:r>
              <w:rPr>
                <w:rFonts w:ascii="Arial" w:hAnsi="Arial" w:eastAsia="Arial"/>
                <w:b w:val="0"/>
                <w:sz w:val="15"/>
              </w:rPr>
              <w:t>Approve AFF-001 to AFF-030 and publish in repository templates.</w:t>
            </w:r>
          </w:p>
        </w:tc>
        <w:tc>
          <w:tcPr>
            <w:tcW w:type="dxa" w:w="3312"/>
            <w:vAlign w:val="top"/>
          </w:tcPr>
          <w:p>
            <w:r/>
            <w:r>
              <w:rPr>
                <w:rFonts w:ascii="Arial" w:hAnsi="Arial" w:eastAsia="Arial"/>
                <w:b w:val="0"/>
                <w:sz w:val="15"/>
              </w:rPr>
              <w:t>Ruleset reviewed and versioned.</w:t>
            </w:r>
          </w:p>
        </w:tc>
      </w:tr>
      <w:tr>
        <w:tc>
          <w:tcPr>
            <w:tcW w:type="dxa" w:w="864"/>
            <w:vAlign w:val="top"/>
          </w:tcPr>
          <w:p>
            <w:r/>
            <w:r>
              <w:rPr>
                <w:rFonts w:ascii="Arial" w:hAnsi="Arial" w:eastAsia="Arial"/>
                <w:b w:val="0"/>
                <w:sz w:val="15"/>
              </w:rPr>
              <w:t>R2</w:t>
            </w:r>
          </w:p>
        </w:tc>
        <w:tc>
          <w:tcPr>
            <w:tcW w:type="dxa" w:w="2592"/>
            <w:vAlign w:val="top"/>
          </w:tcPr>
          <w:p>
            <w:r/>
            <w:r>
              <w:rPr>
                <w:rFonts w:ascii="Arial" w:hAnsi="Arial" w:eastAsia="Arial"/>
                <w:b w:val="0"/>
                <w:sz w:val="15"/>
              </w:rPr>
              <w:t>Local enforcement</w:t>
            </w:r>
          </w:p>
        </w:tc>
        <w:tc>
          <w:tcPr>
            <w:tcW w:type="dxa" w:w="5184"/>
            <w:vAlign w:val="top"/>
          </w:tcPr>
          <w:p>
            <w:r/>
            <w:r>
              <w:rPr>
                <w:rFonts w:ascii="Arial" w:hAnsi="Arial" w:eastAsia="Arial"/>
                <w:b w:val="0"/>
                <w:sz w:val="15"/>
              </w:rPr>
              <w:t>Install pre-commit hooks, Semgrep rules, Gitleaks, formatting, and fast evidence checks.</w:t>
            </w:r>
          </w:p>
        </w:tc>
        <w:tc>
          <w:tcPr>
            <w:tcW w:type="dxa" w:w="3312"/>
            <w:vAlign w:val="top"/>
          </w:tcPr>
          <w:p>
            <w:r/>
            <w:r>
              <w:rPr>
                <w:rFonts w:ascii="Arial" w:hAnsi="Arial" w:eastAsia="Arial"/>
                <w:b w:val="0"/>
                <w:sz w:val="15"/>
              </w:rPr>
              <w:t>Developers can run checks before commit.</w:t>
            </w:r>
          </w:p>
        </w:tc>
      </w:tr>
      <w:tr>
        <w:tc>
          <w:tcPr>
            <w:tcW w:type="dxa" w:w="864"/>
            <w:vAlign w:val="top"/>
          </w:tcPr>
          <w:p>
            <w:r/>
            <w:r>
              <w:rPr>
                <w:rFonts w:ascii="Arial" w:hAnsi="Arial" w:eastAsia="Arial"/>
                <w:b w:val="0"/>
                <w:sz w:val="15"/>
              </w:rPr>
              <w:t>R3</w:t>
            </w:r>
          </w:p>
        </w:tc>
        <w:tc>
          <w:tcPr>
            <w:tcW w:type="dxa" w:w="2592"/>
            <w:vAlign w:val="top"/>
          </w:tcPr>
          <w:p>
            <w:r/>
            <w:r>
              <w:rPr>
                <w:rFonts w:ascii="Arial" w:hAnsi="Arial" w:eastAsia="Arial"/>
                <w:b w:val="0"/>
                <w:sz w:val="15"/>
              </w:rPr>
              <w:t>CI enforcement</w:t>
            </w:r>
          </w:p>
        </w:tc>
        <w:tc>
          <w:tcPr>
            <w:tcW w:type="dxa" w:w="5184"/>
            <w:vAlign w:val="top"/>
          </w:tcPr>
          <w:p>
            <w:r/>
            <w:r>
              <w:rPr>
                <w:rFonts w:ascii="Arial" w:hAnsi="Arial" w:eastAsia="Arial"/>
                <w:b w:val="0"/>
                <w:sz w:val="15"/>
              </w:rPr>
              <w:t>Implement ArchUnit, SonarQube, OPA, contract tests, unit tests, mutation subset, and evidence manifest.</w:t>
            </w:r>
          </w:p>
        </w:tc>
        <w:tc>
          <w:tcPr>
            <w:tcW w:type="dxa" w:w="3312"/>
            <w:vAlign w:val="top"/>
          </w:tcPr>
          <w:p>
            <w:r/>
            <w:r>
              <w:rPr>
                <w:rFonts w:ascii="Arial" w:hAnsi="Arial" w:eastAsia="Arial"/>
                <w:b w:val="0"/>
                <w:sz w:val="15"/>
              </w:rPr>
              <w:t>Protected branches block critical violations.</w:t>
            </w:r>
          </w:p>
        </w:tc>
      </w:tr>
      <w:tr>
        <w:tc>
          <w:tcPr>
            <w:tcW w:type="dxa" w:w="864"/>
            <w:vAlign w:val="top"/>
          </w:tcPr>
          <w:p>
            <w:r/>
            <w:r>
              <w:rPr>
                <w:rFonts w:ascii="Arial" w:hAnsi="Arial" w:eastAsia="Arial"/>
                <w:b w:val="0"/>
                <w:sz w:val="15"/>
              </w:rPr>
              <w:t>R4</w:t>
            </w:r>
          </w:p>
        </w:tc>
        <w:tc>
          <w:tcPr>
            <w:tcW w:type="dxa" w:w="2592"/>
            <w:vAlign w:val="top"/>
          </w:tcPr>
          <w:p>
            <w:r/>
            <w:r>
              <w:rPr>
                <w:rFonts w:ascii="Arial" w:hAnsi="Arial" w:eastAsia="Arial"/>
                <w:b w:val="0"/>
                <w:sz w:val="15"/>
              </w:rPr>
              <w:t>Service-specific hardening</w:t>
            </w:r>
          </w:p>
        </w:tc>
        <w:tc>
          <w:tcPr>
            <w:tcW w:type="dxa" w:w="5184"/>
            <w:vAlign w:val="top"/>
          </w:tcPr>
          <w:p>
            <w:r/>
            <w:r>
              <w:rPr>
                <w:rFonts w:ascii="Arial" w:hAnsi="Arial" w:eastAsia="Arial"/>
                <w:b w:val="0"/>
                <w:sz w:val="15"/>
              </w:rPr>
              <w:t>Add stricter rules for orchestrator, harness, retrieval, workflow, database, AI, and MicroFunction paths.</w:t>
            </w:r>
          </w:p>
        </w:tc>
        <w:tc>
          <w:tcPr>
            <w:tcW w:type="dxa" w:w="3312"/>
            <w:vAlign w:val="top"/>
          </w:tcPr>
          <w:p>
            <w:r/>
            <w:r>
              <w:rPr>
                <w:rFonts w:ascii="Arial" w:hAnsi="Arial" w:eastAsia="Arial"/>
                <w:b w:val="0"/>
                <w:sz w:val="15"/>
              </w:rPr>
              <w:t>Directory CLAUDE.md and CODEOWNERS enforce ownership.</w:t>
            </w:r>
          </w:p>
        </w:tc>
      </w:tr>
      <w:tr>
        <w:tc>
          <w:tcPr>
            <w:tcW w:type="dxa" w:w="864"/>
            <w:vAlign w:val="top"/>
          </w:tcPr>
          <w:p>
            <w:r/>
            <w:r>
              <w:rPr>
                <w:rFonts w:ascii="Arial" w:hAnsi="Arial" w:eastAsia="Arial"/>
                <w:b w:val="0"/>
                <w:sz w:val="15"/>
              </w:rPr>
              <w:t>R5</w:t>
            </w:r>
          </w:p>
        </w:tc>
        <w:tc>
          <w:tcPr>
            <w:tcW w:type="dxa" w:w="2592"/>
            <w:vAlign w:val="top"/>
          </w:tcPr>
          <w:p>
            <w:r/>
            <w:r>
              <w:rPr>
                <w:rFonts w:ascii="Arial" w:hAnsi="Arial" w:eastAsia="Arial"/>
                <w:b w:val="0"/>
                <w:sz w:val="15"/>
              </w:rPr>
              <w:t>Auto-Heal integration</w:t>
            </w:r>
          </w:p>
        </w:tc>
        <w:tc>
          <w:tcPr>
            <w:tcW w:type="dxa" w:w="5184"/>
            <w:vAlign w:val="top"/>
          </w:tcPr>
          <w:p>
            <w:r/>
            <w:r>
              <w:rPr>
                <w:rFonts w:ascii="Arial" w:hAnsi="Arial" w:eastAsia="Arial"/>
                <w:b w:val="0"/>
                <w:sz w:val="15"/>
              </w:rPr>
              <w:t>Require AI-generated remediation PRs to include fitness evidence and human approval.</w:t>
            </w:r>
          </w:p>
        </w:tc>
        <w:tc>
          <w:tcPr>
            <w:tcW w:type="dxa" w:w="3312"/>
            <w:vAlign w:val="top"/>
          </w:tcPr>
          <w:p>
            <w:r/>
            <w:r>
              <w:rPr>
                <w:rFonts w:ascii="Arial" w:hAnsi="Arial" w:eastAsia="Arial"/>
                <w:b w:val="0"/>
                <w:sz w:val="15"/>
              </w:rPr>
              <w:t>Auto-Heal cannot bypass fitness gates.</w:t>
            </w:r>
          </w:p>
        </w:tc>
      </w:tr>
      <w:tr>
        <w:tc>
          <w:tcPr>
            <w:tcW w:type="dxa" w:w="864"/>
            <w:vAlign w:val="top"/>
          </w:tcPr>
          <w:p>
            <w:r/>
            <w:r>
              <w:rPr>
                <w:rFonts w:ascii="Arial" w:hAnsi="Arial" w:eastAsia="Arial"/>
                <w:b w:val="0"/>
                <w:sz w:val="15"/>
              </w:rPr>
              <w:t>R6</w:t>
            </w:r>
          </w:p>
        </w:tc>
        <w:tc>
          <w:tcPr>
            <w:tcW w:type="dxa" w:w="2592"/>
            <w:vAlign w:val="top"/>
          </w:tcPr>
          <w:p>
            <w:r/>
            <w:r>
              <w:rPr>
                <w:rFonts w:ascii="Arial" w:hAnsi="Arial" w:eastAsia="Arial"/>
                <w:b w:val="0"/>
                <w:sz w:val="15"/>
              </w:rPr>
              <w:t>Continuous improvement</w:t>
            </w:r>
          </w:p>
        </w:tc>
        <w:tc>
          <w:tcPr>
            <w:tcW w:type="dxa" w:w="5184"/>
            <w:vAlign w:val="top"/>
          </w:tcPr>
          <w:p>
            <w:r/>
            <w:r>
              <w:rPr>
                <w:rFonts w:ascii="Arial" w:hAnsi="Arial" w:eastAsia="Arial"/>
                <w:b w:val="0"/>
                <w:sz w:val="15"/>
              </w:rPr>
              <w:t>Track repeated failures, tune rules, add ADR/TDL updates, and train developers.</w:t>
            </w:r>
          </w:p>
        </w:tc>
        <w:tc>
          <w:tcPr>
            <w:tcW w:type="dxa" w:w="3312"/>
            <w:vAlign w:val="top"/>
          </w:tcPr>
          <w:p>
            <w:r/>
            <w:r>
              <w:rPr>
                <w:rFonts w:ascii="Arial" w:hAnsi="Arial" w:eastAsia="Arial"/>
                <w:b w:val="0"/>
                <w:sz w:val="15"/>
              </w:rPr>
              <w:t>Quarterly review shows reduced drift and stable gates.</w:t>
            </w:r>
          </w:p>
        </w:tc>
      </w:tr>
    </w:tbl>
    <w:p/>
    <w:p>
      <w:pPr>
        <w:pStyle w:val="Heading1"/>
      </w:pPr>
      <w:r>
        <w:rPr>
          <w:rFonts w:ascii="Arial" w:hAnsi="Arial" w:eastAsia="Arial"/>
          <w:b w:val="0"/>
        </w:rPr>
        <w:t>Appendix A. Copy-Ready ArchUnit Examples</w:t>
      </w:r>
    </w:p>
    <w:p>
      <w:pPr>
        <w:pStyle w:val="CodeBlock"/>
      </w:pPr>
      <w:r>
        <w:rPr>
          <w:rFonts w:ascii="Courier New" w:hAnsi="Courier New" w:eastAsia="Courier New"/>
          <w:sz w:val="15"/>
        </w:rPr>
        <w:t>@AnalyzeClasses(packages = "com.aira")</w:t>
      </w:r>
    </w:p>
    <w:p>
      <w:pPr>
        <w:pStyle w:val="CodeBlock"/>
      </w:pPr>
      <w:r>
        <w:rPr>
          <w:rFonts w:ascii="Courier New" w:hAnsi="Courier New" w:eastAsia="Courier New"/>
          <w:sz w:val="15"/>
        </w:rPr>
        <w:t>class AiraArchitectureFitnessTest {</w:t>
      </w:r>
    </w:p>
    <w:p>
      <w:pPr>
        <w:pStyle w:val="CodeBlock"/>
      </w:pPr>
      <w:r>
        <w:rPr>
          <w:rFonts w:ascii="Courier New" w:hAnsi="Courier New" w:eastAsia="Courier New"/>
          <w:sz w:val="15"/>
        </w:rPr>
      </w:r>
    </w:p>
    <w:p>
      <w:pPr>
        <w:pStyle w:val="CodeBlock"/>
      </w:pPr>
      <w:r>
        <w:rPr>
          <w:rFonts w:ascii="Courier New" w:hAnsi="Courier New" w:eastAsia="Courier New"/>
          <w:sz w:val="15"/>
        </w:rPr>
        <w:t xml:space="preserve">  @ArchTest</w:t>
      </w:r>
    </w:p>
    <w:p>
      <w:pPr>
        <w:pStyle w:val="CodeBlock"/>
      </w:pPr>
      <w:r>
        <w:rPr>
          <w:rFonts w:ascii="Courier New" w:hAnsi="Courier New" w:eastAsia="Courier New"/>
          <w:sz w:val="15"/>
        </w:rPr>
        <w:t xml:space="preserve">  static final ArchRule domain_must_not_depend_on_infrastructure =</w:t>
      </w:r>
    </w:p>
    <w:p>
      <w:pPr>
        <w:pStyle w:val="CodeBlock"/>
      </w:pPr>
      <w:r>
        <w:rPr>
          <w:rFonts w:ascii="Courier New" w:hAnsi="Courier New" w:eastAsia="Courier New"/>
          <w:sz w:val="15"/>
        </w:rPr>
        <w:t xml:space="preserve">      noClasses().that().resideInAPackage("..domain..")</w:t>
      </w:r>
    </w:p>
    <w:p>
      <w:pPr>
        <w:pStyle w:val="CodeBlock"/>
      </w:pPr>
      <w:r>
        <w:rPr>
          <w:rFonts w:ascii="Courier New" w:hAnsi="Courier New" w:eastAsia="Courier New"/>
          <w:sz w:val="15"/>
        </w:rPr>
        <w:t xml:space="preserve">        .should().dependOnClassesThat().resideInAnyPackage(</w:t>
      </w:r>
    </w:p>
    <w:p>
      <w:pPr>
        <w:pStyle w:val="CodeBlock"/>
      </w:pPr>
      <w:r>
        <w:rPr>
          <w:rFonts w:ascii="Courier New" w:hAnsi="Courier New" w:eastAsia="Courier New"/>
          <w:sz w:val="15"/>
        </w:rPr>
        <w:t xml:space="preserve">            "..adapter..", "..infrastructure..", "org.springframework.web..",</w:t>
      </w:r>
    </w:p>
    <w:p>
      <w:pPr>
        <w:pStyle w:val="CodeBlock"/>
      </w:pPr>
      <w:r>
        <w:rPr>
          <w:rFonts w:ascii="Courier New" w:hAnsi="Courier New" w:eastAsia="Courier New"/>
          <w:sz w:val="15"/>
        </w:rPr>
        <w:t xml:space="preserve">            "org.springframework.data..", "org.apache.kafka..");</w:t>
      </w:r>
    </w:p>
    <w:p>
      <w:pPr>
        <w:pStyle w:val="CodeBlock"/>
      </w:pPr>
      <w:r>
        <w:rPr>
          <w:rFonts w:ascii="Courier New" w:hAnsi="Courier New" w:eastAsia="Courier New"/>
          <w:sz w:val="15"/>
        </w:rPr>
      </w:r>
    </w:p>
    <w:p>
      <w:pPr>
        <w:pStyle w:val="CodeBlock"/>
      </w:pPr>
      <w:r>
        <w:rPr>
          <w:rFonts w:ascii="Courier New" w:hAnsi="Courier New" w:eastAsia="Courier New"/>
          <w:sz w:val="15"/>
        </w:rPr>
        <w:t xml:space="preserve">  @ArchTest</w:t>
      </w:r>
    </w:p>
    <w:p>
      <w:pPr>
        <w:pStyle w:val="CodeBlock"/>
      </w:pPr>
      <w:r>
        <w:rPr>
          <w:rFonts w:ascii="Courier New" w:hAnsi="Courier New" w:eastAsia="Courier New"/>
          <w:sz w:val="15"/>
        </w:rPr>
        <w:t xml:space="preserve">  static final ArchRule controllers_must_not_call_repositories =</w:t>
      </w:r>
    </w:p>
    <w:p>
      <w:pPr>
        <w:pStyle w:val="CodeBlock"/>
      </w:pPr>
      <w:r>
        <w:rPr>
          <w:rFonts w:ascii="Courier New" w:hAnsi="Courier New" w:eastAsia="Courier New"/>
          <w:sz w:val="15"/>
        </w:rPr>
        <w:t xml:space="preserve">      noClasses().that().resideInAPackage("..controller..")</w:t>
      </w:r>
    </w:p>
    <w:p>
      <w:pPr>
        <w:pStyle w:val="CodeBlock"/>
      </w:pPr>
      <w:r>
        <w:rPr>
          <w:rFonts w:ascii="Courier New" w:hAnsi="Courier New" w:eastAsia="Courier New"/>
          <w:sz w:val="15"/>
        </w:rPr>
        <w:t xml:space="preserve">        .should().dependOnClassesThat().resideInAPackage("..repository..");</w:t>
      </w:r>
    </w:p>
    <w:p>
      <w:pPr>
        <w:pStyle w:val="CodeBlock"/>
      </w:pPr>
      <w:r>
        <w:rPr>
          <w:rFonts w:ascii="Courier New" w:hAnsi="Courier New" w:eastAsia="Courier New"/>
          <w:sz w:val="15"/>
        </w:rPr>
      </w:r>
    </w:p>
    <w:p>
      <w:pPr>
        <w:pStyle w:val="CodeBlock"/>
      </w:pPr>
      <w:r>
        <w:rPr>
          <w:rFonts w:ascii="Courier New" w:hAnsi="Courier New" w:eastAsia="Courier New"/>
          <w:sz w:val="15"/>
        </w:rPr>
        <w:t xml:space="preserve">  @ArchTest</w:t>
      </w:r>
    </w:p>
    <w:p>
      <w:pPr>
        <w:pStyle w:val="CodeBlock"/>
      </w:pPr>
      <w:r>
        <w:rPr>
          <w:rFonts w:ascii="Courier New" w:hAnsi="Courier New" w:eastAsia="Courier New"/>
          <w:sz w:val="15"/>
        </w:rPr>
        <w:t xml:space="preserve">  static final ArchRule provider_sdks_are_not_allowed =</w:t>
      </w:r>
    </w:p>
    <w:p>
      <w:pPr>
        <w:pStyle w:val="CodeBlock"/>
      </w:pPr>
      <w:r>
        <w:rPr>
          <w:rFonts w:ascii="Courier New" w:hAnsi="Courier New" w:eastAsia="Courier New"/>
          <w:sz w:val="15"/>
        </w:rPr>
        <w:t xml:space="preserve">      noClasses().should().dependOnClassesThat().resideInAnyPackage(</w:t>
      </w:r>
    </w:p>
    <w:p>
      <w:pPr>
        <w:pStyle w:val="CodeBlock"/>
      </w:pPr>
      <w:r>
        <w:rPr>
          <w:rFonts w:ascii="Courier New" w:hAnsi="Courier New" w:eastAsia="Courier New"/>
          <w:sz w:val="15"/>
        </w:rPr>
        <w:t xml:space="preserve">          "com.openai..", "com.anthropic..", "com.google.genai..", "software.amazon.awssdk.bedrockruntime..");</w:t>
      </w:r>
    </w:p>
    <w:p>
      <w:pPr>
        <w:pStyle w:val="CodeBlock"/>
      </w:pPr>
      <w:r>
        <w:rPr>
          <w:rFonts w:ascii="Courier New" w:hAnsi="Courier New" w:eastAsia="Courier New"/>
          <w:sz w:val="15"/>
        </w:rPr>
        <w:t>}</w:t>
      </w:r>
    </w:p>
    <w:p/>
    <w:p>
      <w:pPr>
        <w:pStyle w:val="Heading1"/>
      </w:pPr>
      <w:r>
        <w:rPr>
          <w:rFonts w:ascii="Arial" w:hAnsi="Arial" w:eastAsia="Arial"/>
          <w:b w:val="0"/>
        </w:rPr>
        <w:t>Appendix B. Copy-Ready Semgrep Rules</w:t>
      </w:r>
    </w:p>
    <w:p>
      <w:pPr>
        <w:pStyle w:val="CodeBlock"/>
      </w:pPr>
      <w:r>
        <w:rPr>
          <w:rFonts w:ascii="Courier New" w:hAnsi="Courier New" w:eastAsia="Courier New"/>
          <w:sz w:val="15"/>
        </w:rPr>
        <w:t>rules:</w:t>
      </w:r>
    </w:p>
    <w:p>
      <w:pPr>
        <w:pStyle w:val="CodeBlock"/>
      </w:pPr>
      <w:r>
        <w:rPr>
          <w:rFonts w:ascii="Courier New" w:hAnsi="Courier New" w:eastAsia="Courier New"/>
          <w:sz w:val="15"/>
        </w:rPr>
        <w:t xml:space="preserve">  - id: aira-no-direct-llm-provider-sdk</w:t>
      </w:r>
    </w:p>
    <w:p>
      <w:pPr>
        <w:pStyle w:val="CodeBlock"/>
      </w:pPr>
      <w:r>
        <w:rPr>
          <w:rFonts w:ascii="Courier New" w:hAnsi="Courier New" w:eastAsia="Courier New"/>
          <w:sz w:val="15"/>
        </w:rPr>
        <w:t xml:space="preserve">    message: "Direct LLM provider SDK use is prohibited. Route through LiteLLM and governed orchestration."</w:t>
      </w:r>
    </w:p>
    <w:p>
      <w:pPr>
        <w:pStyle w:val="CodeBlock"/>
      </w:pPr>
      <w:r>
        <w:rPr>
          <w:rFonts w:ascii="Courier New" w:hAnsi="Courier New" w:eastAsia="Courier New"/>
          <w:sz w:val="15"/>
        </w:rPr>
        <w:t xml:space="preserve">    severity: ERROR</w:t>
      </w:r>
    </w:p>
    <w:p>
      <w:pPr>
        <w:pStyle w:val="CodeBlock"/>
      </w:pPr>
      <w:r>
        <w:rPr>
          <w:rFonts w:ascii="Courier New" w:hAnsi="Courier New" w:eastAsia="Courier New"/>
          <w:sz w:val="15"/>
        </w:rPr>
        <w:t xml:space="preserve">    languages: [java, typescript, python]</w:t>
      </w:r>
    </w:p>
    <w:p>
      <w:pPr>
        <w:pStyle w:val="CodeBlock"/>
      </w:pPr>
      <w:r>
        <w:rPr>
          <w:rFonts w:ascii="Courier New" w:hAnsi="Courier New" w:eastAsia="Courier New"/>
          <w:sz w:val="15"/>
        </w:rPr>
        <w:t xml:space="preserve">    patterns:</w:t>
      </w:r>
    </w:p>
    <w:p>
      <w:pPr>
        <w:pStyle w:val="CodeBlock"/>
      </w:pPr>
      <w:r>
        <w:rPr>
          <w:rFonts w:ascii="Courier New" w:hAnsi="Courier New" w:eastAsia="Courier New"/>
          <w:sz w:val="15"/>
        </w:rPr>
        <w:t xml:space="preserve">      - pattern-either:</w:t>
      </w:r>
    </w:p>
    <w:p>
      <w:pPr>
        <w:pStyle w:val="CodeBlock"/>
      </w:pPr>
      <w:r>
        <w:rPr>
          <w:rFonts w:ascii="Courier New" w:hAnsi="Courier New" w:eastAsia="Courier New"/>
          <w:sz w:val="15"/>
        </w:rPr>
        <w:t xml:space="preserve">          - pattern: import com.openai.$X</w:t>
      </w:r>
    </w:p>
    <w:p>
      <w:pPr>
        <w:pStyle w:val="CodeBlock"/>
      </w:pPr>
      <w:r>
        <w:rPr>
          <w:rFonts w:ascii="Courier New" w:hAnsi="Courier New" w:eastAsia="Courier New"/>
          <w:sz w:val="15"/>
        </w:rPr>
        <w:t xml:space="preserve">          - pattern: import com.anthropic.$X</w:t>
      </w:r>
    </w:p>
    <w:p>
      <w:pPr>
        <w:pStyle w:val="CodeBlock"/>
      </w:pPr>
      <w:r>
        <w:rPr>
          <w:rFonts w:ascii="Courier New" w:hAnsi="Courier New" w:eastAsia="Courier New"/>
          <w:sz w:val="15"/>
        </w:rPr>
        <w:t xml:space="preserve">          - pattern: import google.generativeai</w:t>
      </w:r>
    </w:p>
    <w:p>
      <w:pPr>
        <w:pStyle w:val="CodeBlock"/>
      </w:pPr>
      <w:r>
        <w:rPr>
          <w:rFonts w:ascii="Courier New" w:hAnsi="Courier New" w:eastAsia="Courier New"/>
          <w:sz w:val="15"/>
        </w:rPr>
        <w:t xml:space="preserve">          - pattern: from openai import $X</w:t>
      </w:r>
    </w:p>
    <w:p>
      <w:pPr>
        <w:pStyle w:val="CodeBlock"/>
      </w:pPr>
      <w:r>
        <w:rPr>
          <w:rFonts w:ascii="Courier New" w:hAnsi="Courier New" w:eastAsia="Courier New"/>
          <w:sz w:val="15"/>
        </w:rPr>
      </w:r>
    </w:p>
    <w:p>
      <w:pPr>
        <w:pStyle w:val="CodeBlock"/>
      </w:pPr>
      <w:r>
        <w:rPr>
          <w:rFonts w:ascii="Courier New" w:hAnsi="Courier New" w:eastAsia="Courier New"/>
          <w:sz w:val="15"/>
        </w:rPr>
        <w:t xml:space="preserve">  - id: aira-no-secrets-in-source</w:t>
      </w:r>
    </w:p>
    <w:p>
      <w:pPr>
        <w:pStyle w:val="CodeBlock"/>
      </w:pPr>
      <w:r>
        <w:rPr>
          <w:rFonts w:ascii="Courier New" w:hAnsi="Courier New" w:eastAsia="Courier New"/>
          <w:sz w:val="15"/>
        </w:rPr>
        <w:t xml:space="preserve">    message: "Potential secret or token in source. Use Vault or approved secret reference."</w:t>
      </w:r>
    </w:p>
    <w:p>
      <w:pPr>
        <w:pStyle w:val="CodeBlock"/>
      </w:pPr>
      <w:r>
        <w:rPr>
          <w:rFonts w:ascii="Courier New" w:hAnsi="Courier New" w:eastAsia="Courier New"/>
          <w:sz w:val="15"/>
        </w:rPr>
        <w:t xml:space="preserve">    severity: ERROR</w:t>
      </w:r>
    </w:p>
    <w:p>
      <w:pPr>
        <w:pStyle w:val="CodeBlock"/>
      </w:pPr>
      <w:r>
        <w:rPr>
          <w:rFonts w:ascii="Courier New" w:hAnsi="Courier New" w:eastAsia="Courier New"/>
          <w:sz w:val="15"/>
        </w:rPr>
        <w:t xml:space="preserve">    languages: [generic]</w:t>
      </w:r>
    </w:p>
    <w:p>
      <w:pPr>
        <w:pStyle w:val="CodeBlock"/>
      </w:pPr>
      <w:r>
        <w:rPr>
          <w:rFonts w:ascii="Courier New" w:hAnsi="Courier New" w:eastAsia="Courier New"/>
          <w:sz w:val="15"/>
        </w:rPr>
        <w:t xml:space="preserve">    regex: '(api[_-]?key|secret|password|token)\s*[:=]\s*["'][A-Za-z0-9_\-]{16,}'</w:t>
      </w:r>
    </w:p>
    <w:p/>
    <w:p>
      <w:pPr>
        <w:pStyle w:val="Heading1"/>
      </w:pPr>
      <w:r>
        <w:rPr>
          <w:rFonts w:ascii="Arial" w:hAnsi="Arial" w:eastAsia="Arial"/>
          <w:b w:val="0"/>
        </w:rPr>
        <w:t>Appendix C. Copy-Ready OPA/Rego Policies</w:t>
      </w:r>
    </w:p>
    <w:p>
      <w:pPr>
        <w:pStyle w:val="CodeBlock"/>
      </w:pPr>
      <w:r>
        <w:rPr>
          <w:rFonts w:ascii="Courier New" w:hAnsi="Courier New" w:eastAsia="Courier New"/>
          <w:sz w:val="15"/>
        </w:rPr>
        <w:t>package aira.fitness</w:t>
      </w:r>
    </w:p>
    <w:p>
      <w:pPr>
        <w:pStyle w:val="CodeBlock"/>
      </w:pPr>
      <w:r>
        <w:rPr>
          <w:rFonts w:ascii="Courier New" w:hAnsi="Courier New" w:eastAsia="Courier New"/>
          <w:sz w:val="15"/>
        </w:rPr>
      </w:r>
    </w:p>
    <w:p>
      <w:pPr>
        <w:pStyle w:val="CodeBlock"/>
      </w:pPr>
      <w:r>
        <w:rPr>
          <w:rFonts w:ascii="Courier New" w:hAnsi="Courier New" w:eastAsia="Courier New"/>
          <w:sz w:val="15"/>
        </w:rPr>
        <w:t>default allow = false</w:t>
      </w:r>
    </w:p>
    <w:p>
      <w:pPr>
        <w:pStyle w:val="CodeBlock"/>
      </w:pPr>
      <w:r>
        <w:rPr>
          <w:rFonts w:ascii="Courier New" w:hAnsi="Courier New" w:eastAsia="Courier New"/>
          <w:sz w:val="15"/>
        </w:rPr>
      </w:r>
    </w:p>
    <w:p>
      <w:pPr>
        <w:pStyle w:val="CodeBlock"/>
      </w:pPr>
      <w:r>
        <w:rPr>
          <w:rFonts w:ascii="Courier New" w:hAnsi="Courier New" w:eastAsia="Courier New"/>
          <w:sz w:val="15"/>
        </w:rPr>
        <w:t>critical_failures := {f | f := input.fitness_results[_]; f.severity == "CRITICAL"; f.status != "PASS"}</w:t>
      </w:r>
    </w:p>
    <w:p>
      <w:pPr>
        <w:pStyle w:val="CodeBlock"/>
      </w:pPr>
      <w:r>
        <w:rPr>
          <w:rFonts w:ascii="Courier New" w:hAnsi="Courier New" w:eastAsia="Courier New"/>
          <w:sz w:val="15"/>
        </w:rPr>
        <w:t>high_failures := {f | f := input.fitness_results[_]; f.severity == "HIGH"; f.status != "PASS"}</w:t>
      </w:r>
    </w:p>
    <w:p>
      <w:pPr>
        <w:pStyle w:val="CodeBlock"/>
      </w:pPr>
      <w:r>
        <w:rPr>
          <w:rFonts w:ascii="Courier New" w:hAnsi="Courier New" w:eastAsia="Courier New"/>
          <w:sz w:val="15"/>
        </w:rPr>
      </w:r>
    </w:p>
    <w:p>
      <w:pPr>
        <w:pStyle w:val="CodeBlock"/>
      </w:pPr>
      <w:r>
        <w:rPr>
          <w:rFonts w:ascii="Courier New" w:hAnsi="Courier New" w:eastAsia="Courier New"/>
          <w:sz w:val="15"/>
        </w:rPr>
        <w:t>allow {</w:t>
      </w:r>
    </w:p>
    <w:p>
      <w:pPr>
        <w:pStyle w:val="CodeBlock"/>
      </w:pPr>
      <w:r>
        <w:rPr>
          <w:rFonts w:ascii="Courier New" w:hAnsi="Courier New" w:eastAsia="Courier New"/>
          <w:sz w:val="15"/>
        </w:rPr>
        <w:t xml:space="preserve">  count(critical_failures) == 0</w:t>
      </w:r>
    </w:p>
    <w:p>
      <w:pPr>
        <w:pStyle w:val="CodeBlock"/>
      </w:pPr>
      <w:r>
        <w:rPr>
          <w:rFonts w:ascii="Courier New" w:hAnsi="Courier New" w:eastAsia="Courier New"/>
          <w:sz w:val="15"/>
        </w:rPr>
        <w:t xml:space="preserve">  count(high_failures) == 0</w:t>
      </w:r>
    </w:p>
    <w:p>
      <w:pPr>
        <w:pStyle w:val="CodeBlock"/>
      </w:pPr>
      <w:r>
        <w:rPr>
          <w:rFonts w:ascii="Courier New" w:hAnsi="Courier New" w:eastAsia="Courier New"/>
          <w:sz w:val="15"/>
        </w:rPr>
        <w:t xml:space="preserve">  input.avci.owner != ""</w:t>
      </w:r>
    </w:p>
    <w:p>
      <w:pPr>
        <w:pStyle w:val="CodeBlock"/>
      </w:pPr>
      <w:r>
        <w:rPr>
          <w:rFonts w:ascii="Courier New" w:hAnsi="Courier New" w:eastAsia="Courier New"/>
          <w:sz w:val="15"/>
        </w:rPr>
        <w:t xml:space="preserve">  input.avci.classification != ""</w:t>
      </w:r>
    </w:p>
    <w:p>
      <w:pPr>
        <w:pStyle w:val="CodeBlock"/>
      </w:pPr>
      <w:r>
        <w:rPr>
          <w:rFonts w:ascii="Courier New" w:hAnsi="Courier New" w:eastAsia="Courier New"/>
          <w:sz w:val="15"/>
        </w:rPr>
        <w:t xml:space="preserve">  input.evidence_manifest.present == true</w:t>
      </w:r>
    </w:p>
    <w:p>
      <w:pPr>
        <w:pStyle w:val="CodeBlock"/>
      </w:pPr>
      <w:r>
        <w:rPr>
          <w:rFonts w:ascii="Courier New" w:hAnsi="Courier New" w:eastAsia="Courier New"/>
          <w:sz w:val="15"/>
        </w:rPr>
        <w:t>}</w:t>
      </w:r>
    </w:p>
    <w:p>
      <w:pPr>
        <w:pStyle w:val="CodeBlock"/>
      </w:pPr>
      <w:r>
        <w:rPr>
          <w:rFonts w:ascii="Courier New" w:hAnsi="Courier New" w:eastAsia="Courier New"/>
          <w:sz w:val="15"/>
        </w:rPr>
      </w:r>
    </w:p>
    <w:p>
      <w:pPr>
        <w:pStyle w:val="CodeBlock"/>
      </w:pPr>
      <w:r>
        <w:rPr>
          <w:rFonts w:ascii="Courier New" w:hAnsi="Courier New" w:eastAsia="Courier New"/>
          <w:sz w:val="15"/>
        </w:rPr>
        <w:t>deny[msg] {</w:t>
      </w:r>
    </w:p>
    <w:p>
      <w:pPr>
        <w:pStyle w:val="CodeBlock"/>
      </w:pPr>
      <w:r>
        <w:rPr>
          <w:rFonts w:ascii="Courier New" w:hAnsi="Courier New" w:eastAsia="Courier New"/>
          <w:sz w:val="15"/>
        </w:rPr>
        <w:t xml:space="preserve">  f := critical_failures[_]</w:t>
      </w:r>
    </w:p>
    <w:p>
      <w:pPr>
        <w:pStyle w:val="CodeBlock"/>
      </w:pPr>
      <w:r>
        <w:rPr>
          <w:rFonts w:ascii="Courier New" w:hAnsi="Courier New" w:eastAsia="Courier New"/>
          <w:sz w:val="15"/>
        </w:rPr>
        <w:t xml:space="preserve">  msg := sprintf("Critical architecture fitness failure: %s", [f.id])</w:t>
      </w:r>
    </w:p>
    <w:p>
      <w:pPr>
        <w:pStyle w:val="CodeBlock"/>
      </w:pPr>
      <w:r>
        <w:rPr>
          <w:rFonts w:ascii="Courier New" w:hAnsi="Courier New" w:eastAsia="Courier New"/>
          <w:sz w:val="15"/>
        </w:rPr>
        <w:t>}</w:t>
      </w:r>
    </w:p>
    <w:p/>
    <w:p>
      <w:pPr>
        <w:pStyle w:val="Heading1"/>
      </w:pPr>
      <w:r>
        <w:rPr>
          <w:rFonts w:ascii="Arial" w:hAnsi="Arial" w:eastAsia="Arial"/>
          <w:b w:val="0"/>
        </w:rPr>
        <w:t>Appendix D. Mermaid Diagram References</w:t>
      </w:r>
    </w:p>
    <w:p>
      <w:pPr>
        <w:pStyle w:val="Heading2"/>
      </w:pPr>
      <w:r>
        <w:rPr>
          <w:rFonts w:ascii="Arial" w:hAnsi="Arial" w:eastAsia="Arial"/>
          <w:b w:val="0"/>
        </w:rPr>
        <w:t>D.1 Fitness Function Enforcement Pipeline</w:t>
      </w:r>
    </w:p>
    <w:p>
      <w:pPr>
        <w:pStyle w:val="CodeBlock"/>
      </w:pPr>
      <w:r>
        <w:rPr>
          <w:rFonts w:ascii="Courier New" w:hAnsi="Courier New" w:eastAsia="Courier New"/>
          <w:sz w:val="15"/>
        </w:rPr>
        <w:t>flowchart LR</w:t>
      </w:r>
    </w:p>
    <w:p>
      <w:pPr>
        <w:pStyle w:val="CodeBlock"/>
      </w:pPr>
      <w:r>
        <w:rPr>
          <w:rFonts w:ascii="Courier New" w:hAnsi="Courier New" w:eastAsia="Courier New"/>
          <w:sz w:val="15"/>
        </w:rPr>
        <w:t xml:space="preserve">  DEV[Developer or AI Draft Change] --&gt; PRE[Local Pre-Commit Checks]</w:t>
      </w:r>
    </w:p>
    <w:p>
      <w:pPr>
        <w:pStyle w:val="CodeBlock"/>
      </w:pPr>
      <w:r>
        <w:rPr>
          <w:rFonts w:ascii="Courier New" w:hAnsi="Courier New" w:eastAsia="Courier New"/>
          <w:sz w:val="15"/>
        </w:rPr>
        <w:t xml:space="preserve">  PRE --&gt; CI[CI Quality and Security Gates]</w:t>
      </w:r>
    </w:p>
    <w:p>
      <w:pPr>
        <w:pStyle w:val="CodeBlock"/>
      </w:pPr>
      <w:r>
        <w:rPr>
          <w:rFonts w:ascii="Courier New" w:hAnsi="Courier New" w:eastAsia="Courier New"/>
          <w:sz w:val="15"/>
        </w:rPr>
        <w:t xml:space="preserve">  CI --&gt; AFF[Architecture Fitness Functions]</w:t>
      </w:r>
    </w:p>
    <w:p>
      <w:pPr>
        <w:pStyle w:val="CodeBlock"/>
      </w:pPr>
      <w:r>
        <w:rPr>
          <w:rFonts w:ascii="Courier New" w:hAnsi="Courier New" w:eastAsia="Courier New"/>
          <w:sz w:val="15"/>
        </w:rPr>
        <w:t xml:space="preserve">  AFF --&gt; EVID[Evidence Pack and Approval]</w:t>
      </w:r>
    </w:p>
    <w:p>
      <w:pPr>
        <w:pStyle w:val="CodeBlock"/>
      </w:pPr>
      <w:r>
        <w:rPr>
          <w:rFonts w:ascii="Courier New" w:hAnsi="Courier New" w:eastAsia="Courier New"/>
          <w:sz w:val="15"/>
        </w:rPr>
        <w:t xml:space="preserve">  AFF --&gt; SOLID[SOLID / Clean Architecture / DDD]</w:t>
      </w:r>
    </w:p>
    <w:p>
      <w:pPr>
        <w:pStyle w:val="CodeBlock"/>
      </w:pPr>
      <w:r>
        <w:rPr>
          <w:rFonts w:ascii="Courier New" w:hAnsi="Courier New" w:eastAsia="Courier New"/>
          <w:sz w:val="15"/>
        </w:rPr>
        <w:t xml:space="preserve">  AFF --&gt; SEC[Security / SBAC / OPA / Secrets]</w:t>
      </w:r>
    </w:p>
    <w:p>
      <w:pPr>
        <w:pStyle w:val="CodeBlock"/>
      </w:pPr>
      <w:r>
        <w:rPr>
          <w:rFonts w:ascii="Courier New" w:hAnsi="Courier New" w:eastAsia="Courier New"/>
          <w:sz w:val="15"/>
        </w:rPr>
        <w:t xml:space="preserve">  AFF --&gt; TEST[Testing / Determinism / Idempotency]</w:t>
      </w:r>
    </w:p>
    <w:p>
      <w:pPr>
        <w:pStyle w:val="CodeBlock"/>
      </w:pPr>
      <w:r>
        <w:rPr>
          <w:rFonts w:ascii="Courier New" w:hAnsi="Courier New" w:eastAsia="Courier New"/>
          <w:sz w:val="15"/>
        </w:rPr>
        <w:t xml:space="preserve">  AFF --&gt; AVCI[Observability / Rollback / AVCI]</w:t>
      </w:r>
    </w:p>
    <w:p>
      <w:pPr>
        <w:pStyle w:val="CodeBlock"/>
      </w:pPr>
      <w:r>
        <w:rPr>
          <w:rFonts w:ascii="Courier New" w:hAnsi="Courier New" w:eastAsia="Courier New"/>
          <w:sz w:val="15"/>
        </w:rPr>
        <w:t xml:space="preserve">  AFF --&gt;|Critical failure| BLOCK[Reject or Waiver Required]</w:t>
      </w:r>
    </w:p>
    <w:p/>
    <w:p>
      <w:pPr>
        <w:pStyle w:val="Heading2"/>
      </w:pPr>
      <w:r>
        <w:rPr>
          <w:rFonts w:ascii="Arial" w:hAnsi="Arial" w:eastAsia="Arial"/>
          <w:b w:val="0"/>
        </w:rPr>
        <w:t>D.2 Auto-Heal Fitness Gate</w:t>
      </w:r>
    </w:p>
    <w:p>
      <w:pPr>
        <w:pStyle w:val="CodeBlock"/>
      </w:pPr>
      <w:r>
        <w:rPr>
          <w:rFonts w:ascii="Courier New" w:hAnsi="Courier New" w:eastAsia="Courier New"/>
          <w:sz w:val="15"/>
        </w:rPr>
        <w:t>flowchart TD</w:t>
      </w:r>
    </w:p>
    <w:p>
      <w:pPr>
        <w:pStyle w:val="CodeBlock"/>
      </w:pPr>
      <w:r>
        <w:rPr>
          <w:rFonts w:ascii="Courier New" w:hAnsi="Courier New" w:eastAsia="Courier New"/>
          <w:sz w:val="15"/>
        </w:rPr>
        <w:t xml:space="preserve">  SIGNAL[Runtime Signal or CI Failure] --&gt; RETRIEVE[Retrieve Evidence]</w:t>
      </w:r>
    </w:p>
    <w:p>
      <w:pPr>
        <w:pStyle w:val="CodeBlock"/>
      </w:pPr>
      <w:r>
        <w:rPr>
          <w:rFonts w:ascii="Courier New" w:hAnsi="Courier New" w:eastAsia="Courier New"/>
          <w:sz w:val="15"/>
        </w:rPr>
        <w:t xml:space="preserve">  RETRIEVE --&gt; DRAFT[AI Drafts Candidate Fix]</w:t>
      </w:r>
    </w:p>
    <w:p>
      <w:pPr>
        <w:pStyle w:val="CodeBlock"/>
      </w:pPr>
      <w:r>
        <w:rPr>
          <w:rFonts w:ascii="Courier New" w:hAnsi="Courier New" w:eastAsia="Courier New"/>
          <w:sz w:val="15"/>
        </w:rPr>
        <w:t xml:space="preserve">  DRAFT --&gt; FITNESS[Run Fitness Functions]</w:t>
      </w:r>
    </w:p>
    <w:p>
      <w:pPr>
        <w:pStyle w:val="CodeBlock"/>
      </w:pPr>
      <w:r>
        <w:rPr>
          <w:rFonts w:ascii="Courier New" w:hAnsi="Courier New" w:eastAsia="Courier New"/>
          <w:sz w:val="15"/>
        </w:rPr>
        <w:t xml:space="preserve">  FITNESS --&gt; DECISION{All Mandatory Gates Pass?}</w:t>
      </w:r>
    </w:p>
    <w:p>
      <w:pPr>
        <w:pStyle w:val="CodeBlock"/>
      </w:pPr>
      <w:r>
        <w:rPr>
          <w:rFonts w:ascii="Courier New" w:hAnsi="Courier New" w:eastAsia="Courier New"/>
          <w:sz w:val="15"/>
        </w:rPr>
        <w:t xml:space="preserve">  DECISION --&gt;|No| BLOCK[Block / Escalate / Create Remediation Ticket]</w:t>
      </w:r>
    </w:p>
    <w:p>
      <w:pPr>
        <w:pStyle w:val="CodeBlock"/>
      </w:pPr>
      <w:r>
        <w:rPr>
          <w:rFonts w:ascii="Courier New" w:hAnsi="Courier New" w:eastAsia="Courier New"/>
          <w:sz w:val="15"/>
        </w:rPr>
        <w:t xml:space="preserve">  DECISION --&gt;|Yes| HUMAN[Human Review and Approval]</w:t>
      </w:r>
    </w:p>
    <w:p>
      <w:pPr>
        <w:pStyle w:val="CodeBlock"/>
      </w:pPr>
      <w:r>
        <w:rPr>
          <w:rFonts w:ascii="Courier New" w:hAnsi="Courier New" w:eastAsia="Courier New"/>
          <w:sz w:val="15"/>
        </w:rPr>
        <w:t xml:space="preserve">  HUMAN --&gt; MERGE[Merge / Deploy Through Governed Pipeline]</w:t>
      </w:r>
    </w:p>
    <w:p/>
    <w:p>
      <w:pPr>
        <w:pStyle w:val="Heading1"/>
      </w:pPr>
      <w:r>
        <w:rPr>
          <w:rFonts w:ascii="Arial" w:hAnsi="Arial" w:eastAsia="Arial"/>
          <w:b w:val="0"/>
        </w:rPr>
        <w:t>Appendix E. AVCI Compliance Summary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top"/>
          </w:tcPr>
          <w:p>
            <w:r/>
            <w:r>
              <w:rPr>
                <w:rFonts w:ascii="Arial" w:hAnsi="Arial" w:eastAsia="Arial"/>
                <w:b/>
                <w:color w:val="FFFFFF"/>
                <w:sz w:val="16"/>
              </w:rPr>
              <w:t>AVCI Property</w:t>
            </w:r>
          </w:p>
        </w:tc>
        <w:tc>
          <w:tcPr>
            <w:tcW w:type="dxa" w:w="9216"/>
            <w:shd w:fill="1F4E79"/>
            <w:vAlign w:val="top"/>
          </w:tcPr>
          <w:p>
            <w:r/>
            <w:r>
              <w:rPr>
                <w:rFonts w:ascii="Arial" w:hAnsi="Arial" w:eastAsia="Arial"/>
                <w:b/>
                <w:color w:val="FFFFFF"/>
                <w:sz w:val="16"/>
              </w:rPr>
              <w:t>Compliance Evidence</w:t>
            </w:r>
          </w:p>
        </w:tc>
      </w:tr>
      <w:tr>
        <w:tc>
          <w:tcPr>
            <w:tcW w:type="dxa" w:w="2160"/>
            <w:vAlign w:val="top"/>
          </w:tcPr>
          <w:p>
            <w:r/>
            <w:r>
              <w:rPr>
                <w:rFonts w:ascii="Arial" w:hAnsi="Arial" w:eastAsia="Arial"/>
                <w:b w:val="0"/>
                <w:sz w:val="16"/>
              </w:rPr>
              <w:t>Attributable</w:t>
            </w:r>
          </w:p>
        </w:tc>
        <w:tc>
          <w:tcPr>
            <w:tcW w:type="dxa" w:w="9216"/>
            <w:vAlign w:val="top"/>
          </w:tcPr>
          <w:p>
            <w:r/>
            <w:r>
              <w:rPr>
                <w:rFonts w:ascii="Arial" w:hAnsi="Arial" w:eastAsia="Arial"/>
                <w:b w:val="0"/>
                <w:sz w:val="16"/>
              </w:rPr>
              <w:t>Document owned by Solutions Architecture Office; updates require Architecture Board or delegated approval.</w:t>
            </w:r>
          </w:p>
        </w:tc>
      </w:tr>
      <w:tr>
        <w:tc>
          <w:tcPr>
            <w:tcW w:type="dxa" w:w="2160"/>
            <w:vAlign w:val="top"/>
          </w:tcPr>
          <w:p>
            <w:r/>
            <w:r>
              <w:rPr>
                <w:rFonts w:ascii="Arial" w:hAnsi="Arial" w:eastAsia="Arial"/>
                <w:b w:val="0"/>
                <w:sz w:val="16"/>
              </w:rPr>
              <w:t>Verifiable</w:t>
            </w:r>
          </w:p>
        </w:tc>
        <w:tc>
          <w:tcPr>
            <w:tcW w:type="dxa" w:w="9216"/>
            <w:vAlign w:val="top"/>
          </w:tcPr>
          <w:p>
            <w:r/>
            <w:r>
              <w:rPr>
                <w:rFonts w:ascii="Arial" w:hAnsi="Arial" w:eastAsia="Arial"/>
                <w:b w:val="0"/>
                <w:sz w:val="16"/>
              </w:rPr>
              <w:t>Fitness functions are mapped to tools, triggers, rejection criteria, evidence manifests, and review gates.</w:t>
            </w:r>
          </w:p>
        </w:tc>
      </w:tr>
      <w:tr>
        <w:tc>
          <w:tcPr>
            <w:tcW w:type="dxa" w:w="2160"/>
            <w:vAlign w:val="top"/>
          </w:tcPr>
          <w:p>
            <w:r/>
            <w:r>
              <w:rPr>
                <w:rFonts w:ascii="Arial" w:hAnsi="Arial" w:eastAsia="Arial"/>
                <w:b w:val="0"/>
                <w:sz w:val="16"/>
              </w:rPr>
              <w:t>Classifiable</w:t>
            </w:r>
          </w:p>
        </w:tc>
        <w:tc>
          <w:tcPr>
            <w:tcW w:type="dxa" w:w="9216"/>
            <w:vAlign w:val="top"/>
          </w:tcPr>
          <w:p>
            <w:r/>
            <w:r>
              <w:rPr>
                <w:rFonts w:ascii="Arial" w:hAnsi="Arial" w:eastAsia="Arial"/>
                <w:b w:val="0"/>
                <w:sz w:val="16"/>
              </w:rPr>
              <w:t>Document classification is INTERNAL CONFIDENTIAL; fitness evidence inherits repository and artifact classification.</w:t>
            </w:r>
          </w:p>
        </w:tc>
      </w:tr>
      <w:tr>
        <w:tc>
          <w:tcPr>
            <w:tcW w:type="dxa" w:w="2160"/>
            <w:vAlign w:val="top"/>
          </w:tcPr>
          <w:p>
            <w:r/>
            <w:r>
              <w:rPr>
                <w:rFonts w:ascii="Arial" w:hAnsi="Arial" w:eastAsia="Arial"/>
                <w:b w:val="0"/>
                <w:sz w:val="16"/>
              </w:rPr>
              <w:t>Improvable</w:t>
            </w:r>
          </w:p>
        </w:tc>
        <w:tc>
          <w:tcPr>
            <w:tcW w:type="dxa" w:w="9216"/>
            <w:vAlign w:val="top"/>
          </w:tcPr>
          <w:p>
            <w:r/>
            <w:r>
              <w:rPr>
                <w:rFonts w:ascii="Arial" w:hAnsi="Arial" w:eastAsia="Arial"/>
                <w:b w:val="0"/>
                <w:sz w:val="16"/>
              </w:rPr>
              <w:t>Quarterly review, repeated-failure analysis, ADR/TDL updates, new rules, waiver closure, and lessons learned feed continuous improvement.</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Discipline first. Automation second. Intelligence third. AVCI always.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AIRA Architecture Fitness Function Catalog v1.0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