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80" w:line="252" w:lineRule="auto"/>
      </w:pPr>
      <w:r>
        <w:rPr>
          <w:rFonts w:ascii="Arial" w:hAnsi="Arial"/>
          <w:b w:val="0"/>
          <w:i w:val="0"/>
        </w:rPr>
      </w:r>
    </w:p>
    <w:p>
      <w:pPr>
        <w:keepNext w:val="0"/>
        <w:spacing w:after="80" w:line="252" w:lineRule="auto"/>
      </w:pPr>
      <w:r>
        <w:rPr>
          <w:rFonts w:ascii="Arial" w:hAnsi="Arial"/>
          <w:b w:val="0"/>
          <w:i w:val="0"/>
        </w:rPr>
      </w:r>
    </w:p>
    <w:p>
      <w:pPr>
        <w:jc w:val="center"/>
      </w:pPr>
      <w:r>
        <w:rPr>
          <w:rFonts w:ascii="Arial" w:hAnsi="Arial"/>
          <w:b/>
          <w:color w:val="1F4E79"/>
          <w:sz w:val="48"/>
        </w:rPr>
        <w:t>AIRA</w:t>
      </w:r>
    </w:p>
    <w:p>
      <w:pPr>
        <w:jc w:val="center"/>
      </w:pPr>
      <w:r>
        <w:rPr>
          <w:rFonts w:ascii="Arial" w:hAnsi="Arial"/>
          <w:color w:val="404040"/>
          <w:sz w:val="28"/>
        </w:rPr>
        <w:t>AI-Native Enterprise Platform</w:t>
      </w:r>
    </w:p>
    <w:p>
      <w:pPr>
        <w:keepNext w:val="0"/>
        <w:spacing w:after="80" w:line="252" w:lineRule="auto"/>
      </w:pPr>
      <w:r>
        <w:rPr>
          <w:rFonts w:ascii="Arial" w:hAnsi="Arial"/>
          <w:b w:val="0"/>
          <w:i w:val="0"/>
        </w:rPr>
      </w:r>
    </w:p>
    <w:p>
      <w:pPr>
        <w:jc w:val="center"/>
      </w:pPr>
      <w:r>
        <w:rPr>
          <w:rFonts w:ascii="Arial" w:hAnsi="Arial"/>
          <w:b/>
          <w:color w:val="1F4E79"/>
          <w:sz w:val="40"/>
        </w:rPr>
        <w:t>GitNexus Code Intelligence and</w:t>
        <w:br/>
        <w:t>Impact Analysis Standard</w:t>
      </w:r>
    </w:p>
    <w:p>
      <w:pPr>
        <w:jc w:val="center"/>
      </w:pPr>
      <w:r>
        <w:rPr>
          <w:rFonts w:ascii="Arial" w:hAnsi="Arial"/>
          <w:i/>
          <w:color w:val="404040"/>
          <w:sz w:val="20"/>
        </w:rPr>
        <w:t>Code Graph Validation Service | Agent-Callable Structural Awareness | AI DevSecOps Evidence</w:t>
      </w:r>
    </w:p>
    <w:p>
      <w:pPr>
        <w:keepNext w:val="0"/>
        <w:spacing w:after="80" w:line="252" w:lineRule="auto"/>
      </w:pPr>
      <w:r>
        <w:rPr>
          <w:rFonts w:ascii="Arial" w:hAnsi="Arial"/>
          <w:b w:val="0"/>
          <w:i w:val="0"/>
        </w:rPr>
      </w:r>
    </w:p>
    <w:tbl>
      <w:tblPr>
        <w:tblW w:type="auto" w:w="0"/>
        <w:jc w:val="center"/>
        <w:tblLook w:firstColumn="1" w:firstRow="1" w:lastColumn="0" w:lastRow="0" w:noHBand="0" w:noVBand="1" w:val="04A0"/>
        <w:tblBorders>
          <w:top w:val="single" w:sz="6" w:space="0" w:color="9EADBD"/>
          <w:left w:val="single" w:sz="6" w:space="0" w:color="9EADBD"/>
          <w:bottom w:val="single" w:sz="6" w:space="0" w:color="9EADBD"/>
          <w:right w:val="single" w:sz="6" w:space="0" w:color="9EADBD"/>
          <w:insideH w:val="single" w:sz="6" w:space="0" w:color="9EADBD"/>
          <w:insideV w:val="single" w:sz="6" w:space="0" w:color="9EADBD"/>
        </w:tblBorders>
      </w:tblPr>
      <w:tblGrid>
        <w:gridCol w:w="10368"/>
      </w:tblGrid>
      <w:tr>
        <w:tc>
          <w:tcPr>
            <w:tcW w:type="dxa" w:w="10368"/>
            <w:shd w:fill="D9EAF7"/>
          </w:tcPr>
          <w:p>
            <w:pPr>
              <w:spacing w:after="60"/>
            </w:pPr>
            <w:r>
              <w:rPr>
                <w:rFonts w:ascii="Arial" w:hAnsi="Arial"/>
                <w:b/>
                <w:color w:val="1F4E79"/>
                <w:sz w:val="18"/>
              </w:rPr>
              <w:t>Mandatory Operating Principle</w:t>
            </w:r>
          </w:p>
          <w:p>
            <w:pPr>
              <w:spacing w:after="0"/>
            </w:pPr>
            <w:r>
              <w:rPr>
                <w:rFonts w:ascii="Arial" w:hAnsi="Arial"/>
                <w:sz w:val="17"/>
              </w:rPr>
              <w:t>GitNexus may be adopted in AIRA only as a governed code intelligence and impact-analysis layer. It is not the official policy source, not the architecture authority, not a security scanner replacement, not a production runtime dependency, and not a path for autonomous production modification. It may assist developers and AI agents only when its outputs remain derivative, version-pinned, classifiable, evidence-producing, reviewable, and subordinate to AIRA standards, CI/CD gates, security controls, and human accountability.</w:t>
            </w:r>
          </w:p>
        </w:tc>
      </w:tr>
    </w:tbl>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2880"/>
            <w:shd w:fill="1F4E79"/>
            <w:vAlign w:val="center"/>
          </w:tcPr>
          <w:p>
            <w:pPr>
              <w:spacing w:after="0"/>
            </w:pPr>
            <w:r/>
            <w:r>
              <w:rPr>
                <w:rFonts w:ascii="Arial" w:hAnsi="Arial"/>
                <w:b/>
                <w:color w:val="FFFFFF"/>
                <w:sz w:val="16"/>
              </w:rPr>
              <w:t>Property</w:t>
            </w:r>
          </w:p>
        </w:tc>
        <w:tc>
          <w:tcPr>
            <w:tcW w:type="dxa" w:w="7488"/>
            <w:shd w:fill="1F4E79"/>
            <w:vAlign w:val="center"/>
          </w:tcPr>
          <w:p>
            <w:pPr>
              <w:spacing w:after="0"/>
            </w:pPr>
            <w:r/>
            <w:r>
              <w:rPr>
                <w:rFonts w:ascii="Arial" w:hAnsi="Arial"/>
                <w:b/>
                <w:color w:val="FFFFFF"/>
                <w:sz w:val="16"/>
              </w:rPr>
              <w:t>Value</w:t>
            </w:r>
          </w:p>
        </w:tc>
      </w:tr>
      <w:tr>
        <w:tc>
          <w:tcPr>
            <w:tcW w:type="dxa" w:w="2880"/>
            <w:vAlign w:val="top"/>
          </w:tcPr>
          <w:p>
            <w:pPr>
              <w:spacing w:after="0"/>
            </w:pPr>
            <w:r/>
            <w:r>
              <w:rPr>
                <w:rFonts w:ascii="Arial" w:hAnsi="Arial"/>
                <w:b w:val="0"/>
                <w:sz w:val="16"/>
              </w:rPr>
              <w:t>Document ID</w:t>
            </w:r>
          </w:p>
        </w:tc>
        <w:tc>
          <w:tcPr>
            <w:tcW w:type="dxa" w:w="7488"/>
            <w:vAlign w:val="top"/>
          </w:tcPr>
          <w:p>
            <w:pPr>
              <w:spacing w:after="0"/>
            </w:pPr>
            <w:r/>
            <w:r>
              <w:rPr>
                <w:rFonts w:ascii="Arial" w:hAnsi="Arial"/>
                <w:b w:val="0"/>
                <w:sz w:val="16"/>
              </w:rPr>
              <w:t>AIRA-DOC-019-PROPOSED</w:t>
            </w:r>
          </w:p>
        </w:tc>
      </w:tr>
      <w:tr>
        <w:tc>
          <w:tcPr>
            <w:tcW w:type="dxa" w:w="2880"/>
            <w:vAlign w:val="top"/>
            <w:shd w:fill="F7F7F7"/>
          </w:tcPr>
          <w:p>
            <w:pPr>
              <w:spacing w:after="0"/>
            </w:pPr>
            <w:r/>
            <w:r>
              <w:rPr>
                <w:rFonts w:ascii="Arial" w:hAnsi="Arial"/>
                <w:b w:val="0"/>
                <w:sz w:val="16"/>
              </w:rPr>
              <w:t>Document Title</w:t>
            </w:r>
          </w:p>
        </w:tc>
        <w:tc>
          <w:tcPr>
            <w:tcW w:type="dxa" w:w="7488"/>
            <w:vAlign w:val="top"/>
            <w:shd w:fill="F7F7F7"/>
          </w:tcPr>
          <w:p>
            <w:pPr>
              <w:spacing w:after="0"/>
            </w:pPr>
            <w:r/>
            <w:r>
              <w:rPr>
                <w:rFonts w:ascii="Arial" w:hAnsi="Arial"/>
                <w:b w:val="0"/>
                <w:sz w:val="16"/>
              </w:rPr>
              <w:t>AIRA GitNexus Code Intelligence and Impact Analysis Standard</w:t>
            </w:r>
          </w:p>
        </w:tc>
      </w:tr>
      <w:tr>
        <w:tc>
          <w:tcPr>
            <w:tcW w:type="dxa" w:w="2880"/>
            <w:vAlign w:val="top"/>
          </w:tcPr>
          <w:p>
            <w:pPr>
              <w:spacing w:after="0"/>
            </w:pPr>
            <w:r/>
            <w:r>
              <w:rPr>
                <w:rFonts w:ascii="Arial" w:hAnsi="Arial"/>
                <w:b w:val="0"/>
                <w:sz w:val="16"/>
              </w:rPr>
              <w:t>Version</w:t>
            </w:r>
          </w:p>
        </w:tc>
        <w:tc>
          <w:tcPr>
            <w:tcW w:type="dxa" w:w="7488"/>
            <w:vAlign w:val="top"/>
          </w:tcPr>
          <w:p>
            <w:pPr>
              <w:spacing w:after="0"/>
            </w:pPr>
            <w:r/>
            <w:r>
              <w:rPr>
                <w:rFonts w:ascii="Arial" w:hAnsi="Arial"/>
                <w:b w:val="0"/>
                <w:sz w:val="16"/>
              </w:rPr>
              <w:t>v1.0 - Initial Governance Baseline</w:t>
            </w:r>
          </w:p>
        </w:tc>
      </w:tr>
      <w:tr>
        <w:tc>
          <w:tcPr>
            <w:tcW w:type="dxa" w:w="2880"/>
            <w:vAlign w:val="top"/>
            <w:shd w:fill="F7F7F7"/>
          </w:tcPr>
          <w:p>
            <w:pPr>
              <w:spacing w:after="0"/>
            </w:pPr>
            <w:r/>
            <w:r>
              <w:rPr>
                <w:rFonts w:ascii="Arial" w:hAnsi="Arial"/>
                <w:b w:val="0"/>
                <w:sz w:val="16"/>
              </w:rPr>
              <w:t>Classification</w:t>
            </w:r>
          </w:p>
        </w:tc>
        <w:tc>
          <w:tcPr>
            <w:tcW w:type="dxa" w:w="7488"/>
            <w:vAlign w:val="top"/>
            <w:shd w:fill="F7F7F7"/>
          </w:tcPr>
          <w:p>
            <w:pPr>
              <w:spacing w:after="0"/>
            </w:pPr>
            <w:r/>
            <w:r>
              <w:rPr>
                <w:rFonts w:ascii="Arial" w:hAnsi="Arial"/>
                <w:b w:val="0"/>
                <w:sz w:val="16"/>
              </w:rPr>
              <w:t>INTERNAL CONFIDENTIAL - Internal Use Only</w:t>
            </w:r>
          </w:p>
        </w:tc>
      </w:tr>
      <w:tr>
        <w:tc>
          <w:tcPr>
            <w:tcW w:type="dxa" w:w="2880"/>
            <w:vAlign w:val="top"/>
          </w:tcPr>
          <w:p>
            <w:pPr>
              <w:spacing w:after="0"/>
            </w:pPr>
            <w:r/>
            <w:r>
              <w:rPr>
                <w:rFonts w:ascii="Arial" w:hAnsi="Arial"/>
                <w:b w:val="0"/>
                <w:sz w:val="16"/>
              </w:rPr>
              <w:t>Status</w:t>
            </w:r>
          </w:p>
        </w:tc>
        <w:tc>
          <w:tcPr>
            <w:tcW w:type="dxa" w:w="7488"/>
            <w:vAlign w:val="top"/>
          </w:tcPr>
          <w:p>
            <w:pPr>
              <w:spacing w:after="0"/>
            </w:pPr>
            <w:r/>
            <w:r>
              <w:rPr>
                <w:rFonts w:ascii="Arial" w:hAnsi="Arial"/>
                <w:b w:val="0"/>
                <w:sz w:val="16"/>
              </w:rPr>
              <w:t>FOR ARCHITECTURE REVIEW BOARD / DEVSECOPS ADOPTION</w:t>
            </w:r>
          </w:p>
        </w:tc>
      </w:tr>
      <w:tr>
        <w:tc>
          <w:tcPr>
            <w:tcW w:type="dxa" w:w="2880"/>
            <w:vAlign w:val="top"/>
            <w:shd w:fill="F7F7F7"/>
          </w:tcPr>
          <w:p>
            <w:pPr>
              <w:spacing w:after="0"/>
            </w:pPr>
            <w:r/>
            <w:r>
              <w:rPr>
                <w:rFonts w:ascii="Arial" w:hAnsi="Arial"/>
                <w:b w:val="0"/>
                <w:sz w:val="16"/>
              </w:rPr>
              <w:t>Owner</w:t>
            </w:r>
          </w:p>
        </w:tc>
        <w:tc>
          <w:tcPr>
            <w:tcW w:type="dxa" w:w="7488"/>
            <w:vAlign w:val="top"/>
            <w:shd w:fill="F7F7F7"/>
          </w:tcPr>
          <w:p>
            <w:pPr>
              <w:spacing w:after="0"/>
            </w:pPr>
            <w:r/>
            <w:r>
              <w:rPr>
                <w:rFonts w:ascii="Arial" w:hAnsi="Arial"/>
                <w:b w:val="0"/>
                <w:sz w:val="16"/>
              </w:rPr>
              <w:t>Solutions Architecture Office / IT Head</w:t>
            </w:r>
          </w:p>
        </w:tc>
      </w:tr>
      <w:tr>
        <w:tc>
          <w:tcPr>
            <w:tcW w:type="dxa" w:w="2880"/>
            <w:vAlign w:val="top"/>
          </w:tcPr>
          <w:p>
            <w:pPr>
              <w:spacing w:after="0"/>
            </w:pPr>
            <w:r/>
            <w:r>
              <w:rPr>
                <w:rFonts w:ascii="Arial" w:hAnsi="Arial"/>
                <w:b w:val="0"/>
                <w:sz w:val="16"/>
              </w:rPr>
              <w:t>Co-Owners</w:t>
            </w:r>
          </w:p>
        </w:tc>
        <w:tc>
          <w:tcPr>
            <w:tcW w:type="dxa" w:w="7488"/>
            <w:vAlign w:val="top"/>
          </w:tcPr>
          <w:p>
            <w:pPr>
              <w:spacing w:after="0"/>
            </w:pPr>
            <w:r/>
            <w:r>
              <w:rPr>
                <w:rFonts w:ascii="Arial" w:hAnsi="Arial"/>
                <w:b w:val="0"/>
                <w:sz w:val="16"/>
              </w:rPr>
              <w:t>AI DevSecOps Lead; Software Development Lead; Security Architecture; QA Lead; Repository Governance Lead</w:t>
            </w:r>
          </w:p>
        </w:tc>
      </w:tr>
      <w:tr>
        <w:tc>
          <w:tcPr>
            <w:tcW w:type="dxa" w:w="2880"/>
            <w:vAlign w:val="top"/>
            <w:shd w:fill="F7F7F7"/>
          </w:tcPr>
          <w:p>
            <w:pPr>
              <w:spacing w:after="0"/>
            </w:pPr>
            <w:r/>
            <w:r>
              <w:rPr>
                <w:rFonts w:ascii="Arial" w:hAnsi="Arial"/>
                <w:b w:val="0"/>
                <w:sz w:val="16"/>
              </w:rPr>
              <w:t>Effective Date</w:t>
            </w:r>
          </w:p>
        </w:tc>
        <w:tc>
          <w:tcPr>
            <w:tcW w:type="dxa" w:w="7488"/>
            <w:vAlign w:val="top"/>
            <w:shd w:fill="F7F7F7"/>
          </w:tcPr>
          <w:p>
            <w:pPr>
              <w:spacing w:after="0"/>
            </w:pPr>
            <w:r/>
            <w:r>
              <w:rPr>
                <w:rFonts w:ascii="Arial" w:hAnsi="Arial"/>
                <w:b w:val="0"/>
                <w:sz w:val="16"/>
              </w:rPr>
              <w:t>Upon Architecture Review Board / CAB approval</w:t>
            </w:r>
          </w:p>
        </w:tc>
      </w:tr>
      <w:tr>
        <w:tc>
          <w:tcPr>
            <w:tcW w:type="dxa" w:w="2880"/>
            <w:vAlign w:val="top"/>
          </w:tcPr>
          <w:p>
            <w:pPr>
              <w:spacing w:after="0"/>
            </w:pPr>
            <w:r/>
            <w:r>
              <w:rPr>
                <w:rFonts w:ascii="Arial" w:hAnsi="Arial"/>
                <w:b w:val="0"/>
                <w:sz w:val="16"/>
              </w:rPr>
              <w:t>Review Cadence</w:t>
            </w:r>
          </w:p>
        </w:tc>
        <w:tc>
          <w:tcPr>
            <w:tcW w:type="dxa" w:w="7488"/>
            <w:vAlign w:val="top"/>
          </w:tcPr>
          <w:p>
            <w:pPr>
              <w:spacing w:after="0"/>
            </w:pPr>
            <w:r/>
            <w:r>
              <w:rPr>
                <w:rFonts w:ascii="Arial" w:hAnsi="Arial"/>
                <w:b w:val="0"/>
                <w:sz w:val="16"/>
              </w:rPr>
              <w:t>Quarterly; unscheduled on material GitNexus, MCP, AI-tool, repository, security, license, or architecture change</w:t>
            </w:r>
          </w:p>
        </w:tc>
      </w:tr>
      <w:tr>
        <w:tc>
          <w:tcPr>
            <w:tcW w:type="dxa" w:w="2880"/>
            <w:vAlign w:val="top"/>
            <w:shd w:fill="F7F7F7"/>
          </w:tcPr>
          <w:p>
            <w:pPr>
              <w:spacing w:after="0"/>
            </w:pPr>
            <w:r/>
            <w:r>
              <w:rPr>
                <w:rFonts w:ascii="Arial" w:hAnsi="Arial"/>
                <w:b w:val="0"/>
                <w:sz w:val="16"/>
              </w:rPr>
              <w:t>Source Draft</w:t>
            </w:r>
          </w:p>
        </w:tc>
        <w:tc>
          <w:tcPr>
            <w:tcW w:type="dxa" w:w="7488"/>
            <w:vAlign w:val="top"/>
            <w:shd w:fill="F7F7F7"/>
          </w:tcPr>
          <w:p>
            <w:pPr>
              <w:spacing w:after="0"/>
            </w:pPr>
            <w:r/>
            <w:r>
              <w:rPr>
                <w:rFonts w:ascii="Arial" w:hAnsi="Arial"/>
                <w:b w:val="0"/>
                <w:sz w:val="16"/>
              </w:rPr>
              <w:t>C. GitNexus.docx</w:t>
            </w:r>
          </w:p>
        </w:tc>
      </w:tr>
      <w:tr>
        <w:tc>
          <w:tcPr>
            <w:tcW w:type="dxa" w:w="2880"/>
            <w:vAlign w:val="top"/>
          </w:tcPr>
          <w:p>
            <w:pPr>
              <w:spacing w:after="0"/>
            </w:pPr>
            <w:r/>
            <w:r>
              <w:rPr>
                <w:rFonts w:ascii="Arial" w:hAnsi="Arial"/>
                <w:b w:val="0"/>
                <w:sz w:val="16"/>
              </w:rPr>
              <w:t>Source Validation Date</w:t>
            </w:r>
          </w:p>
        </w:tc>
        <w:tc>
          <w:tcPr>
            <w:tcW w:type="dxa" w:w="7488"/>
            <w:vAlign w:val="top"/>
          </w:tcPr>
          <w:p>
            <w:pPr>
              <w:spacing w:after="0"/>
            </w:pPr>
            <w:r/>
            <w:r>
              <w:rPr>
                <w:rFonts w:ascii="Arial" w:hAnsi="Arial"/>
                <w:b w:val="0"/>
                <w:sz w:val="16"/>
              </w:rPr>
              <w:t>May 14, 2026</w:t>
            </w:r>
          </w:p>
        </w:tc>
      </w:tr>
    </w:tbl>
    <w:p/>
    <w:p>
      <w:r>
        <w:br w:type="page"/>
      </w:r>
    </w:p>
    <w:p>
      <w:pPr>
        <w:pStyle w:val="Heading1"/>
        <w:keepNext w:val="0"/>
        <w:spacing w:after="80" w:line="252" w:lineRule="auto"/>
      </w:pPr>
      <w:r>
        <w:rPr>
          <w:rFonts w:ascii="Arial" w:hAnsi="Arial"/>
          <w:b w:val="0"/>
          <w:i w:val="0"/>
        </w:rPr>
        <w:t>Table of Contents</w:t>
      </w:r>
    </w:p>
    <w:p>
      <w:pPr>
        <w:pStyle w:val="AIRASmall"/>
        <w:keepNext w:val="0"/>
        <w:spacing w:after="80" w:line="252" w:lineRule="auto"/>
      </w:pPr>
      <w:r>
        <w:rPr>
          <w:rFonts w:ascii="Arial" w:hAnsi="Arial"/>
          <w:b w:val="0"/>
          <w:i w:val="0"/>
        </w:rPr>
        <w:t>1. Executive Summary</w:t>
      </w:r>
    </w:p>
    <w:p>
      <w:pPr>
        <w:pStyle w:val="AIRASmall"/>
        <w:keepNext w:val="0"/>
        <w:spacing w:after="80" w:line="252" w:lineRule="auto"/>
      </w:pPr>
      <w:r>
        <w:rPr>
          <w:rFonts w:ascii="Arial" w:hAnsi="Arial"/>
          <w:b w:val="0"/>
          <w:i w:val="0"/>
        </w:rPr>
        <w:t>2. v1.0 Change Summary and Adoption Decision</w:t>
      </w:r>
    </w:p>
    <w:p>
      <w:pPr>
        <w:pStyle w:val="AIRASmall"/>
        <w:keepNext w:val="0"/>
        <w:spacing w:after="80" w:line="252" w:lineRule="auto"/>
      </w:pPr>
      <w:r>
        <w:rPr>
          <w:rFonts w:ascii="Arial" w:hAnsi="Arial"/>
          <w:b w:val="0"/>
          <w:i w:val="0"/>
        </w:rPr>
        <w:t>3. Purpose, Scope, and Authority</w:t>
      </w:r>
    </w:p>
    <w:p>
      <w:pPr>
        <w:pStyle w:val="AIRASmall"/>
        <w:keepNext w:val="0"/>
        <w:spacing w:after="80" w:line="252" w:lineRule="auto"/>
      </w:pPr>
      <w:r>
        <w:rPr>
          <w:rFonts w:ascii="Arial" w:hAnsi="Arial"/>
          <w:b w:val="0"/>
          <w:i w:val="0"/>
        </w:rPr>
        <w:t>4. GitNexus Positioning in the AIRA Architecture</w:t>
      </w:r>
    </w:p>
    <w:p>
      <w:pPr>
        <w:pStyle w:val="AIRASmall"/>
        <w:keepNext w:val="0"/>
        <w:spacing w:after="80" w:line="252" w:lineRule="auto"/>
      </w:pPr>
      <w:r>
        <w:rPr>
          <w:rFonts w:ascii="Arial" w:hAnsi="Arial"/>
          <w:b w:val="0"/>
          <w:i w:val="0"/>
        </w:rPr>
        <w:t>5. Reference Architecture and Control Flow</w:t>
      </w:r>
    </w:p>
    <w:p>
      <w:pPr>
        <w:pStyle w:val="AIRASmall"/>
        <w:keepNext w:val="0"/>
        <w:spacing w:after="80" w:line="252" w:lineRule="auto"/>
      </w:pPr>
      <w:r>
        <w:rPr>
          <w:rFonts w:ascii="Arial" w:hAnsi="Arial"/>
          <w:b w:val="0"/>
          <w:i w:val="0"/>
        </w:rPr>
        <w:t>6. Non-Negotiable Operating Principles</w:t>
      </w:r>
    </w:p>
    <w:p>
      <w:pPr>
        <w:pStyle w:val="AIRASmall"/>
        <w:keepNext w:val="0"/>
        <w:spacing w:after="80" w:line="252" w:lineRule="auto"/>
      </w:pPr>
      <w:r>
        <w:rPr>
          <w:rFonts w:ascii="Arial" w:hAnsi="Arial"/>
          <w:b w:val="0"/>
          <w:i w:val="0"/>
        </w:rPr>
        <w:t>7. Approved Use Cases and Prohibited Uses</w:t>
      </w:r>
    </w:p>
    <w:p>
      <w:pPr>
        <w:pStyle w:val="AIRASmall"/>
        <w:keepNext w:val="0"/>
        <w:spacing w:after="80" w:line="252" w:lineRule="auto"/>
      </w:pPr>
      <w:r>
        <w:rPr>
          <w:rFonts w:ascii="Arial" w:hAnsi="Arial"/>
          <w:b w:val="0"/>
          <w:i w:val="0"/>
        </w:rPr>
        <w:t>8. Agent-Callable GitNexus Workflow</w:t>
      </w:r>
    </w:p>
    <w:p>
      <w:pPr>
        <w:pStyle w:val="AIRASmall"/>
        <w:keepNext w:val="0"/>
        <w:spacing w:after="80" w:line="252" w:lineRule="auto"/>
      </w:pPr>
      <w:r>
        <w:rPr>
          <w:rFonts w:ascii="Arial" w:hAnsi="Arial"/>
          <w:b w:val="0"/>
          <w:i w:val="0"/>
        </w:rPr>
        <w:t>9. DevSecOps and CI/CD Integration Model</w:t>
      </w:r>
    </w:p>
    <w:p>
      <w:pPr>
        <w:pStyle w:val="AIRASmall"/>
        <w:keepNext w:val="0"/>
        <w:spacing w:after="80" w:line="252" w:lineRule="auto"/>
      </w:pPr>
      <w:r>
        <w:rPr>
          <w:rFonts w:ascii="Arial" w:hAnsi="Arial"/>
          <w:b w:val="0"/>
          <w:i w:val="0"/>
        </w:rPr>
        <w:t>10. Security, Privacy, Classification, and Licensing Controls</w:t>
      </w:r>
    </w:p>
    <w:p>
      <w:pPr>
        <w:pStyle w:val="AIRASmall"/>
        <w:keepNext w:val="0"/>
        <w:spacing w:after="80" w:line="252" w:lineRule="auto"/>
      </w:pPr>
      <w:r>
        <w:rPr>
          <w:rFonts w:ascii="Arial" w:hAnsi="Arial"/>
          <w:b w:val="0"/>
          <w:i w:val="0"/>
        </w:rPr>
        <w:t>11. Enterprise Design Principles and SOLID Enforcement Matrix</w:t>
      </w:r>
    </w:p>
    <w:p>
      <w:pPr>
        <w:pStyle w:val="AIRASmall"/>
        <w:keepNext w:val="0"/>
        <w:spacing w:after="80" w:line="252" w:lineRule="auto"/>
      </w:pPr>
      <w:r>
        <w:rPr>
          <w:rFonts w:ascii="Arial" w:hAnsi="Arial"/>
          <w:b w:val="0"/>
          <w:i w:val="0"/>
        </w:rPr>
        <w:t>12. Architecture Fitness Functions and Evidence Gates</w:t>
      </w:r>
    </w:p>
    <w:p>
      <w:pPr>
        <w:pStyle w:val="AIRASmall"/>
        <w:keepNext w:val="0"/>
        <w:spacing w:after="80" w:line="252" w:lineRule="auto"/>
      </w:pPr>
      <w:r>
        <w:rPr>
          <w:rFonts w:ascii="Arial" w:hAnsi="Arial"/>
          <w:b w:val="0"/>
          <w:i w:val="0"/>
        </w:rPr>
        <w:t>13. Risk Register and Mitigation Plan</w:t>
      </w:r>
    </w:p>
    <w:p>
      <w:pPr>
        <w:pStyle w:val="AIRASmall"/>
        <w:keepNext w:val="0"/>
        <w:spacing w:after="80" w:line="252" w:lineRule="auto"/>
      </w:pPr>
      <w:r>
        <w:rPr>
          <w:rFonts w:ascii="Arial" w:hAnsi="Arial"/>
          <w:b w:val="0"/>
          <w:i w:val="0"/>
        </w:rPr>
        <w:t>14. Roles, RACI, and Separation of Duties</w:t>
      </w:r>
    </w:p>
    <w:p>
      <w:pPr>
        <w:pStyle w:val="AIRASmall"/>
        <w:keepNext w:val="0"/>
        <w:spacing w:after="80" w:line="252" w:lineRule="auto"/>
      </w:pPr>
      <w:r>
        <w:rPr>
          <w:rFonts w:ascii="Arial" w:hAnsi="Arial"/>
          <w:b w:val="0"/>
          <w:i w:val="0"/>
        </w:rPr>
        <w:t>15. Phased Adoption Roadmap</w:t>
      </w:r>
    </w:p>
    <w:p>
      <w:pPr>
        <w:pStyle w:val="AIRASmall"/>
        <w:keepNext w:val="0"/>
        <w:spacing w:after="80" w:line="252" w:lineRule="auto"/>
      </w:pPr>
      <w:r>
        <w:rPr>
          <w:rFonts w:ascii="Arial" w:hAnsi="Arial"/>
          <w:b w:val="0"/>
          <w:i w:val="0"/>
        </w:rPr>
        <w:t>16. Ready-to-Adopt Acceptance Criteria</w:t>
      </w:r>
    </w:p>
    <w:p>
      <w:pPr>
        <w:pStyle w:val="AIRASmall"/>
        <w:keepNext w:val="0"/>
        <w:spacing w:after="80" w:line="252" w:lineRule="auto"/>
      </w:pPr>
      <w:r>
        <w:rPr>
          <w:rFonts w:ascii="Arial" w:hAnsi="Arial"/>
          <w:b w:val="0"/>
          <w:i w:val="0"/>
        </w:rPr>
        <w:t>17. PR/MR Evidence Template</w:t>
      </w:r>
    </w:p>
    <w:p>
      <w:pPr>
        <w:pStyle w:val="AIRASmall"/>
        <w:keepNext w:val="0"/>
        <w:spacing w:after="80" w:line="252" w:lineRule="auto"/>
      </w:pPr>
      <w:r>
        <w:rPr>
          <w:rFonts w:ascii="Arial" w:hAnsi="Arial"/>
          <w:b w:val="0"/>
          <w:i w:val="0"/>
        </w:rPr>
        <w:t>18. Waivers, Exceptions, and Non-Conformance</w:t>
      </w:r>
    </w:p>
    <w:p>
      <w:pPr>
        <w:pStyle w:val="AIRASmall"/>
        <w:keepNext w:val="0"/>
        <w:spacing w:after="80" w:line="252" w:lineRule="auto"/>
      </w:pPr>
      <w:r>
        <w:rPr>
          <w:rFonts w:ascii="Arial" w:hAnsi="Arial"/>
          <w:b w:val="0"/>
          <w:i w:val="0"/>
        </w:rPr>
        <w:t>19. Compliance and Control Mapping</w:t>
      </w:r>
    </w:p>
    <w:p>
      <w:pPr>
        <w:pStyle w:val="AIRASmall"/>
        <w:keepNext w:val="0"/>
        <w:spacing w:after="80" w:line="252" w:lineRule="auto"/>
      </w:pPr>
      <w:r>
        <w:rPr>
          <w:rFonts w:ascii="Arial" w:hAnsi="Arial"/>
          <w:b w:val="0"/>
          <w:i w:val="0"/>
        </w:rPr>
        <w:t>20. AVCI Compliance Summary</w:t>
      </w:r>
    </w:p>
    <w:p>
      <w:pPr>
        <w:pStyle w:val="AIRASmall"/>
        <w:keepNext w:val="0"/>
        <w:spacing w:after="80" w:line="252" w:lineRule="auto"/>
      </w:pPr>
      <w:r>
        <w:rPr>
          <w:rFonts w:ascii="Arial" w:hAnsi="Arial"/>
          <w:b w:val="0"/>
          <w:i w:val="0"/>
        </w:rPr>
        <w:t>Appendix A. GitNexus Evidence Record Schema</w:t>
      </w:r>
    </w:p>
    <w:p>
      <w:pPr>
        <w:pStyle w:val="AIRASmall"/>
        <w:keepNext w:val="0"/>
        <w:spacing w:after="80" w:line="252" w:lineRule="auto"/>
      </w:pPr>
      <w:r>
        <w:rPr>
          <w:rFonts w:ascii="Arial" w:hAnsi="Arial"/>
          <w:b w:val="0"/>
          <w:i w:val="0"/>
        </w:rPr>
        <w:t>Appendix B. Copy-Ready Mermaid Diagram</w:t>
      </w:r>
    </w:p>
    <w:p>
      <w:pPr>
        <w:pStyle w:val="AIRASmall"/>
        <w:keepNext w:val="0"/>
        <w:spacing w:after="80" w:line="252" w:lineRule="auto"/>
      </w:pPr>
      <w:r>
        <w:rPr>
          <w:rFonts w:ascii="Arial" w:hAnsi="Arial"/>
          <w:b w:val="0"/>
          <w:i w:val="0"/>
        </w:rPr>
        <w:t>Appendix C. Implementation Checklist</w:t>
      </w:r>
    </w:p>
    <w:p>
      <w:pPr>
        <w:pStyle w:val="AIRASmall"/>
        <w:keepNext w:val="0"/>
        <w:spacing w:after="80" w:line="252" w:lineRule="auto"/>
      </w:pPr>
      <w:r>
        <w:rPr>
          <w:rFonts w:ascii="Arial" w:hAnsi="Arial"/>
          <w:b w:val="0"/>
          <w:i w:val="0"/>
        </w:rPr>
        <w:t>Appendix D. External Source Register</w:t>
      </w:r>
    </w:p>
    <w:tbl>
      <w:tblPr>
        <w:tblW w:type="auto" w:w="0"/>
        <w:jc w:val="center"/>
        <w:tblLook w:firstColumn="1" w:firstRow="1" w:lastColumn="0" w:lastRow="0" w:noHBand="0" w:noVBand="1" w:val="04A0"/>
        <w:tblBorders>
          <w:top w:val="single" w:sz="6" w:space="0" w:color="9EADBD"/>
          <w:left w:val="single" w:sz="6" w:space="0" w:color="9EADBD"/>
          <w:bottom w:val="single" w:sz="6" w:space="0" w:color="9EADBD"/>
          <w:right w:val="single" w:sz="6" w:space="0" w:color="9EADBD"/>
          <w:insideH w:val="single" w:sz="6" w:space="0" w:color="9EADBD"/>
          <w:insideV w:val="single" w:sz="6" w:space="0" w:color="9EADBD"/>
        </w:tblBorders>
      </w:tblPr>
      <w:tblGrid>
        <w:gridCol w:w="10368"/>
      </w:tblGrid>
      <w:tr>
        <w:tc>
          <w:tcPr>
            <w:tcW w:type="dxa" w:w="10368"/>
            <w:shd w:fill="F2F2F2"/>
          </w:tcPr>
          <w:p>
            <w:pPr>
              <w:spacing w:after="60"/>
            </w:pPr>
            <w:r>
              <w:rPr>
                <w:rFonts w:ascii="Arial" w:hAnsi="Arial"/>
                <w:b/>
                <w:color w:val="1F4E79"/>
                <w:sz w:val="18"/>
              </w:rPr>
              <w:t>Word TOC Note</w:t>
            </w:r>
          </w:p>
          <w:p>
            <w:pPr>
              <w:spacing w:after="0"/>
            </w:pPr>
            <w:r>
              <w:rPr>
                <w:rFonts w:ascii="Arial" w:hAnsi="Arial"/>
                <w:sz w:val="17"/>
              </w:rPr>
              <w:t>This document uses a static table of contents for deterministic rendering. In Microsoft Word, a dynamic TOC may be inserted before final publication if required.</w:t>
            </w:r>
          </w:p>
        </w:tc>
      </w:tr>
    </w:tbl>
    <w:p/>
    <w:p>
      <w:r>
        <w:br w:type="page"/>
      </w:r>
    </w:p>
    <w:p>
      <w:pPr>
        <w:pStyle w:val="Heading1"/>
        <w:keepNext w:val="0"/>
        <w:spacing w:after="80" w:line="252" w:lineRule="auto"/>
      </w:pPr>
      <w:r>
        <w:rPr>
          <w:rFonts w:ascii="Arial" w:hAnsi="Arial"/>
          <w:b w:val="0"/>
          <w:i w:val="0"/>
        </w:rPr>
        <w:t>1. Executive Summary</w:t>
      </w:r>
    </w:p>
    <w:p>
      <w:pPr>
        <w:keepNext w:val="0"/>
        <w:spacing w:after="80" w:line="252" w:lineRule="auto"/>
      </w:pPr>
      <w:r>
        <w:rPr>
          <w:rFonts w:ascii="Arial" w:hAnsi="Arial"/>
          <w:b w:val="0"/>
          <w:i w:val="0"/>
        </w:rPr>
        <w:t>This document converts the GitNexus recommendation draft into an AIRA-governed standard. It defines how GitNexus may be evaluated, adopted, controlled, and used by developers, AI coding assistants, and AIRA agents without weakening the approved AIRA architecture, security model, repository governance, evidence discipline, or human accountability.</w:t>
      </w:r>
    </w:p>
    <w:p>
      <w:pPr>
        <w:keepNext w:val="0"/>
        <w:spacing w:after="80" w:line="252" w:lineRule="auto"/>
      </w:pPr>
      <w:r>
        <w:rPr>
          <w:rFonts w:ascii="Arial" w:hAnsi="Arial"/>
          <w:b w:val="0"/>
          <w:i w:val="0"/>
        </w:rPr>
        <w:t>The conclusion is positive but controlled: GitNexus can improve AIRA by providing codebase structural awareness, dependency graphs, call-chain analysis, affected-test discovery, blast-radius review, and repository impact evidence. However, it must be classified as a derivative Code Intelligence Layer, not as the official knowledge source or decision authority.</w:t>
      </w:r>
    </w:p>
    <w:tbl>
      <w:tblPr>
        <w:tblW w:type="auto" w:w="0"/>
        <w:jc w:val="center"/>
        <w:tblLook w:firstColumn="1" w:firstRow="1" w:lastColumn="0" w:lastRow="0" w:noHBand="0" w:noVBand="1" w:val="04A0"/>
        <w:tblBorders>
          <w:top w:val="single" w:sz="6" w:space="0" w:color="9EADBD"/>
          <w:left w:val="single" w:sz="6" w:space="0" w:color="9EADBD"/>
          <w:bottom w:val="single" w:sz="6" w:space="0" w:color="9EADBD"/>
          <w:right w:val="single" w:sz="6" w:space="0" w:color="9EADBD"/>
          <w:insideH w:val="single" w:sz="6" w:space="0" w:color="9EADBD"/>
          <w:insideV w:val="single" w:sz="6" w:space="0" w:color="9EADBD"/>
        </w:tblBorders>
      </w:tblPr>
      <w:tblGrid>
        <w:gridCol w:w="10368"/>
      </w:tblGrid>
      <w:tr>
        <w:tc>
          <w:tcPr>
            <w:tcW w:type="dxa" w:w="10368"/>
            <w:shd w:fill="E2F0D9"/>
          </w:tcPr>
          <w:p>
            <w:pPr>
              <w:spacing w:after="60"/>
            </w:pPr>
            <w:r>
              <w:rPr>
                <w:rFonts w:ascii="Arial" w:hAnsi="Arial"/>
                <w:b/>
                <w:color w:val="1F4E79"/>
                <w:sz w:val="18"/>
              </w:rPr>
              <w:t>v1.0 Adoption Verdict</w:t>
            </w:r>
          </w:p>
          <w:p>
            <w:pPr>
              <w:spacing w:after="0"/>
            </w:pPr>
            <w:r>
              <w:rPr>
                <w:rFonts w:ascii="Arial" w:hAnsi="Arial"/>
                <w:sz w:val="17"/>
              </w:rPr>
              <w:t>Adopt GitNexus in phases: first as a PoC on a sandbox or one bounded-context repository, then as a governed developer tool, and only later as an agent-callable DevSecOps evidence producer. Production-impacting changes remain blocked unless AIRA CI/CD gates, security controls, policy-as-code, tests, CODEOWNERS, and named human approval are satisfied.</w:t>
            </w:r>
          </w:p>
        </w:tc>
      </w:tr>
    </w:tbl>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c>
          <w:tcPr>
            <w:tcW w:type="dxa" w:w="2448"/>
            <w:shd w:fill="1F4E79"/>
            <w:vAlign w:val="center"/>
          </w:tcPr>
          <w:p>
            <w:pPr>
              <w:spacing w:after="0"/>
            </w:pPr>
            <w:r/>
            <w:r>
              <w:rPr>
                <w:rFonts w:ascii="Arial" w:hAnsi="Arial"/>
                <w:b/>
                <w:color w:val="FFFFFF"/>
                <w:sz w:val="17"/>
              </w:rPr>
              <w:t>AIRA Outcome</w:t>
            </w:r>
          </w:p>
        </w:tc>
        <w:tc>
          <w:tcPr>
            <w:tcW w:type="dxa" w:w="5040"/>
            <w:shd w:fill="1F4E79"/>
            <w:vAlign w:val="center"/>
          </w:tcPr>
          <w:p>
            <w:pPr>
              <w:spacing w:after="0"/>
            </w:pPr>
            <w:r/>
            <w:r>
              <w:rPr>
                <w:rFonts w:ascii="Arial" w:hAnsi="Arial"/>
                <w:b/>
                <w:color w:val="FFFFFF"/>
                <w:sz w:val="17"/>
              </w:rPr>
              <w:t>GitNexus Contribution</w:t>
            </w:r>
          </w:p>
        </w:tc>
        <w:tc>
          <w:tcPr>
            <w:tcW w:type="dxa" w:w="3168"/>
            <w:shd w:fill="1F4E79"/>
            <w:vAlign w:val="center"/>
          </w:tcPr>
          <w:p>
            <w:pPr>
              <w:spacing w:after="0"/>
            </w:pPr>
            <w:r/>
            <w:r>
              <w:rPr>
                <w:rFonts w:ascii="Arial" w:hAnsi="Arial"/>
                <w:b/>
                <w:color w:val="FFFFFF"/>
                <w:sz w:val="17"/>
              </w:rPr>
              <w:t>Governance Condition</w:t>
            </w:r>
          </w:p>
        </w:tc>
      </w:tr>
      <w:tr>
        <w:tc>
          <w:tcPr>
            <w:tcW w:type="dxa" w:w="2448"/>
            <w:vAlign w:val="top"/>
          </w:tcPr>
          <w:p>
            <w:pPr>
              <w:spacing w:after="0"/>
            </w:pPr>
            <w:r/>
            <w:r>
              <w:rPr>
                <w:rFonts w:ascii="Arial" w:hAnsi="Arial"/>
                <w:b w:val="0"/>
                <w:sz w:val="17"/>
              </w:rPr>
              <w:t>Better AI code understanding</w:t>
            </w:r>
          </w:p>
        </w:tc>
        <w:tc>
          <w:tcPr>
            <w:tcW w:type="dxa" w:w="5040"/>
            <w:vAlign w:val="top"/>
          </w:tcPr>
          <w:p>
            <w:pPr>
              <w:spacing w:after="0"/>
            </w:pPr>
            <w:r/>
            <w:r>
              <w:rPr>
                <w:rFonts w:ascii="Arial" w:hAnsi="Arial"/>
                <w:b w:val="0"/>
                <w:sz w:val="17"/>
              </w:rPr>
              <w:t>Exposes code graph, dependencies, call chains, symbols, and impact radius to coding tools and agents.</w:t>
            </w:r>
          </w:p>
        </w:tc>
        <w:tc>
          <w:tcPr>
            <w:tcW w:type="dxa" w:w="3168"/>
            <w:vAlign w:val="top"/>
          </w:tcPr>
          <w:p>
            <w:pPr>
              <w:spacing w:after="0"/>
            </w:pPr>
            <w:r/>
            <w:r>
              <w:rPr>
                <w:rFonts w:ascii="Arial" w:hAnsi="Arial"/>
                <w:b w:val="0"/>
                <w:sz w:val="17"/>
              </w:rPr>
              <w:t>Output is advisory and must be checked against AIRA standards and tests.</w:t>
            </w:r>
          </w:p>
        </w:tc>
      </w:tr>
      <w:tr>
        <w:tc>
          <w:tcPr>
            <w:tcW w:type="dxa" w:w="2448"/>
            <w:vAlign w:val="top"/>
            <w:shd w:fill="F7F7F7"/>
          </w:tcPr>
          <w:p>
            <w:pPr>
              <w:spacing w:after="0"/>
            </w:pPr>
            <w:r/>
            <w:r>
              <w:rPr>
                <w:rFonts w:ascii="Arial" w:hAnsi="Arial"/>
                <w:b w:val="0"/>
                <w:sz w:val="17"/>
              </w:rPr>
              <w:t>Safer Auto-Heal</w:t>
            </w:r>
          </w:p>
        </w:tc>
        <w:tc>
          <w:tcPr>
            <w:tcW w:type="dxa" w:w="5040"/>
            <w:vAlign w:val="top"/>
            <w:shd w:fill="F7F7F7"/>
          </w:tcPr>
          <w:p>
            <w:pPr>
              <w:spacing w:after="0"/>
            </w:pPr>
            <w:r/>
            <w:r>
              <w:rPr>
                <w:rFonts w:ascii="Arial" w:hAnsi="Arial"/>
                <w:b w:val="0"/>
                <w:sz w:val="17"/>
              </w:rPr>
              <w:t>Helps identify affected files, downstream callers, related tests, and integration risks before a fix is proposed.</w:t>
            </w:r>
          </w:p>
        </w:tc>
        <w:tc>
          <w:tcPr>
            <w:tcW w:type="dxa" w:w="3168"/>
            <w:vAlign w:val="top"/>
            <w:shd w:fill="F7F7F7"/>
          </w:tcPr>
          <w:p>
            <w:pPr>
              <w:spacing w:after="0"/>
            </w:pPr>
            <w:r/>
            <w:r>
              <w:rPr>
                <w:rFonts w:ascii="Arial" w:hAnsi="Arial"/>
                <w:b w:val="0"/>
                <w:sz w:val="17"/>
              </w:rPr>
              <w:t>Auto-Heal may draft PRs only; no direct push to main or production mutation.</w:t>
            </w:r>
          </w:p>
        </w:tc>
      </w:tr>
      <w:tr>
        <w:tc>
          <w:tcPr>
            <w:tcW w:type="dxa" w:w="2448"/>
            <w:vAlign w:val="top"/>
          </w:tcPr>
          <w:p>
            <w:pPr>
              <w:spacing w:after="0"/>
            </w:pPr>
            <w:r/>
            <w:r>
              <w:rPr>
                <w:rFonts w:ascii="Arial" w:hAnsi="Arial"/>
                <w:b w:val="0"/>
                <w:sz w:val="17"/>
              </w:rPr>
              <w:t>Controlled Auto-Learn</w:t>
            </w:r>
          </w:p>
        </w:tc>
        <w:tc>
          <w:tcPr>
            <w:tcW w:type="dxa" w:w="5040"/>
            <w:vAlign w:val="top"/>
          </w:tcPr>
          <w:p>
            <w:pPr>
              <w:spacing w:after="0"/>
            </w:pPr>
            <w:r/>
            <w:r>
              <w:rPr>
                <w:rFonts w:ascii="Arial" w:hAnsi="Arial"/>
                <w:b w:val="0"/>
                <w:sz w:val="17"/>
              </w:rPr>
              <w:t>Helps identify recurring dependency weaknesses, architecture drift, risky modules, and missing-test patterns.</w:t>
            </w:r>
          </w:p>
        </w:tc>
        <w:tc>
          <w:tcPr>
            <w:tcW w:type="dxa" w:w="3168"/>
            <w:vAlign w:val="top"/>
          </w:tcPr>
          <w:p>
            <w:pPr>
              <w:spacing w:after="0"/>
            </w:pPr>
            <w:r/>
            <w:r>
              <w:rPr>
                <w:rFonts w:ascii="Arial" w:hAnsi="Arial"/>
                <w:b w:val="0"/>
                <w:sz w:val="17"/>
              </w:rPr>
              <w:t>Learning output must become a reviewed knowledge artifact before retrieval eligibility.</w:t>
            </w:r>
          </w:p>
        </w:tc>
      </w:tr>
      <w:tr>
        <w:tc>
          <w:tcPr>
            <w:tcW w:type="dxa" w:w="2448"/>
            <w:vAlign w:val="top"/>
            <w:shd w:fill="F7F7F7"/>
          </w:tcPr>
          <w:p>
            <w:pPr>
              <w:spacing w:after="0"/>
            </w:pPr>
            <w:r/>
            <w:r>
              <w:rPr>
                <w:rFonts w:ascii="Arial" w:hAnsi="Arial"/>
                <w:b w:val="0"/>
                <w:sz w:val="17"/>
              </w:rPr>
              <w:t>Practical Auto-Improve</w:t>
            </w:r>
          </w:p>
        </w:tc>
        <w:tc>
          <w:tcPr>
            <w:tcW w:type="dxa" w:w="5040"/>
            <w:vAlign w:val="top"/>
            <w:shd w:fill="F7F7F7"/>
          </w:tcPr>
          <w:p>
            <w:pPr>
              <w:spacing w:after="0"/>
            </w:pPr>
            <w:r/>
            <w:r>
              <w:rPr>
                <w:rFonts w:ascii="Arial" w:hAnsi="Arial"/>
                <w:b w:val="0"/>
                <w:sz w:val="17"/>
              </w:rPr>
              <w:t>Supports refactoring proposals, modularization analysis, and architecture fitness recommendations.</w:t>
            </w:r>
          </w:p>
        </w:tc>
        <w:tc>
          <w:tcPr>
            <w:tcW w:type="dxa" w:w="3168"/>
            <w:vAlign w:val="top"/>
            <w:shd w:fill="F7F7F7"/>
          </w:tcPr>
          <w:p>
            <w:pPr>
              <w:spacing w:after="0"/>
            </w:pPr>
            <w:r/>
            <w:r>
              <w:rPr>
                <w:rFonts w:ascii="Arial" w:hAnsi="Arial"/>
                <w:b w:val="0"/>
                <w:sz w:val="17"/>
              </w:rPr>
              <w:t>Improvements require ticket/ADR/TDL, evidence, tests, and human approval.</w:t>
            </w:r>
          </w:p>
        </w:tc>
      </w:tr>
      <w:tr>
        <w:tc>
          <w:tcPr>
            <w:tcW w:type="dxa" w:w="2448"/>
            <w:vAlign w:val="top"/>
          </w:tcPr>
          <w:p>
            <w:pPr>
              <w:spacing w:after="0"/>
            </w:pPr>
            <w:r/>
            <w:r>
              <w:rPr>
                <w:rFonts w:ascii="Arial" w:hAnsi="Arial"/>
                <w:b w:val="0"/>
                <w:sz w:val="17"/>
              </w:rPr>
              <w:t>Improved reviewer confidence</w:t>
            </w:r>
          </w:p>
        </w:tc>
        <w:tc>
          <w:tcPr>
            <w:tcW w:type="dxa" w:w="5040"/>
            <w:vAlign w:val="top"/>
          </w:tcPr>
          <w:p>
            <w:pPr>
              <w:spacing w:after="0"/>
            </w:pPr>
            <w:r/>
            <w:r>
              <w:rPr>
                <w:rFonts w:ascii="Arial" w:hAnsi="Arial"/>
                <w:b w:val="0"/>
                <w:sz w:val="17"/>
              </w:rPr>
              <w:t>Provides PR blast-radius and affected-test evidence to help reviewers focus on material risk.</w:t>
            </w:r>
          </w:p>
        </w:tc>
        <w:tc>
          <w:tcPr>
            <w:tcW w:type="dxa" w:w="3168"/>
            <w:vAlign w:val="top"/>
          </w:tcPr>
          <w:p>
            <w:pPr>
              <w:spacing w:after="0"/>
            </w:pPr>
            <w:r/>
            <w:r>
              <w:rPr>
                <w:rFonts w:ascii="Arial" w:hAnsi="Arial"/>
                <w:b w:val="0"/>
                <w:sz w:val="17"/>
              </w:rPr>
              <w:t>GitNexus does not replace CODEOWNERS, SAST, SCA, DAST, contract tests, or human review.</w:t>
            </w:r>
          </w:p>
        </w:tc>
      </w:tr>
    </w:tbl>
    <w:p/>
    <w:p>
      <w:pPr>
        <w:pStyle w:val="Heading1"/>
        <w:keepNext w:val="0"/>
        <w:spacing w:after="80" w:line="252" w:lineRule="auto"/>
      </w:pPr>
      <w:r>
        <w:rPr>
          <w:rFonts w:ascii="Arial" w:hAnsi="Arial"/>
          <w:b w:val="0"/>
          <w:i w:val="0"/>
        </w:rPr>
        <w:t>2. v1.0 Change Summary and Adoption Decision</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c>
          <w:tcPr>
            <w:tcW w:type="dxa" w:w="2448"/>
            <w:shd w:fill="1F4E79"/>
            <w:vAlign w:val="center"/>
          </w:tcPr>
          <w:p>
            <w:pPr>
              <w:spacing w:after="0"/>
            </w:pPr>
            <w:r/>
            <w:r>
              <w:rPr>
                <w:rFonts w:ascii="Arial" w:hAnsi="Arial"/>
                <w:b/>
                <w:color w:val="FFFFFF"/>
                <w:sz w:val="17"/>
              </w:rPr>
              <w:t>Area</w:t>
            </w:r>
          </w:p>
        </w:tc>
        <w:tc>
          <w:tcPr>
            <w:tcW w:type="dxa" w:w="3600"/>
            <w:shd w:fill="1F4E79"/>
            <w:vAlign w:val="center"/>
          </w:tcPr>
          <w:p>
            <w:pPr>
              <w:spacing w:after="0"/>
            </w:pPr>
            <w:r/>
            <w:r>
              <w:rPr>
                <w:rFonts w:ascii="Arial" w:hAnsi="Arial"/>
                <w:b/>
                <w:color w:val="FFFFFF"/>
                <w:sz w:val="17"/>
              </w:rPr>
              <w:t>Draft Position</w:t>
            </w:r>
          </w:p>
        </w:tc>
        <w:tc>
          <w:tcPr>
            <w:tcW w:type="dxa" w:w="4608"/>
            <w:shd w:fill="1F4E79"/>
            <w:vAlign w:val="center"/>
          </w:tcPr>
          <w:p>
            <w:pPr>
              <w:spacing w:after="0"/>
            </w:pPr>
            <w:r/>
            <w:r>
              <w:rPr>
                <w:rFonts w:ascii="Arial" w:hAnsi="Arial"/>
                <w:b/>
                <w:color w:val="FFFFFF"/>
                <w:sz w:val="17"/>
              </w:rPr>
              <w:t>v1.0 AIRA-Governed Improvement</w:t>
            </w:r>
          </w:p>
        </w:tc>
      </w:tr>
      <w:tr>
        <w:tc>
          <w:tcPr>
            <w:tcW w:type="dxa" w:w="2448"/>
            <w:vAlign w:val="top"/>
          </w:tcPr>
          <w:p>
            <w:pPr>
              <w:spacing w:after="0"/>
            </w:pPr>
            <w:r/>
            <w:r>
              <w:rPr>
                <w:rFonts w:ascii="Arial" w:hAnsi="Arial"/>
                <w:b w:val="0"/>
                <w:sz w:val="17"/>
              </w:rPr>
              <w:t>Document posture</w:t>
            </w:r>
          </w:p>
        </w:tc>
        <w:tc>
          <w:tcPr>
            <w:tcW w:type="dxa" w:w="3600"/>
            <w:vAlign w:val="top"/>
          </w:tcPr>
          <w:p>
            <w:pPr>
              <w:spacing w:after="0"/>
            </w:pPr>
            <w:r/>
            <w:r>
              <w:rPr>
                <w:rFonts w:ascii="Arial" w:hAnsi="Arial"/>
                <w:b w:val="0"/>
                <w:sz w:val="17"/>
              </w:rPr>
              <w:t>Advisory recommendation.</w:t>
            </w:r>
          </w:p>
        </w:tc>
        <w:tc>
          <w:tcPr>
            <w:tcW w:type="dxa" w:w="4608"/>
            <w:vAlign w:val="top"/>
          </w:tcPr>
          <w:p>
            <w:pPr>
              <w:spacing w:after="0"/>
            </w:pPr>
            <w:r/>
            <w:r>
              <w:rPr>
                <w:rFonts w:ascii="Arial" w:hAnsi="Arial"/>
                <w:b w:val="0"/>
                <w:sz w:val="17"/>
              </w:rPr>
              <w:t>Converted into a controlled AIRA standard with scope, authority, controls, RACI, risks, evidence, and adoption gates.</w:t>
            </w:r>
          </w:p>
        </w:tc>
      </w:tr>
      <w:tr>
        <w:tc>
          <w:tcPr>
            <w:tcW w:type="dxa" w:w="2448"/>
            <w:vAlign w:val="top"/>
            <w:shd w:fill="F7F7F7"/>
          </w:tcPr>
          <w:p>
            <w:pPr>
              <w:spacing w:after="0"/>
            </w:pPr>
            <w:r/>
            <w:r>
              <w:rPr>
                <w:rFonts w:ascii="Arial" w:hAnsi="Arial"/>
                <w:b w:val="0"/>
                <w:sz w:val="17"/>
              </w:rPr>
              <w:t>Architecture role</w:t>
            </w:r>
          </w:p>
        </w:tc>
        <w:tc>
          <w:tcPr>
            <w:tcW w:type="dxa" w:w="3600"/>
            <w:vAlign w:val="top"/>
            <w:shd w:fill="F7F7F7"/>
          </w:tcPr>
          <w:p>
            <w:pPr>
              <w:spacing w:after="0"/>
            </w:pPr>
            <w:r/>
            <w:r>
              <w:rPr>
                <w:rFonts w:ascii="Arial" w:hAnsi="Arial"/>
                <w:b w:val="0"/>
                <w:sz w:val="17"/>
              </w:rPr>
              <w:t>GitNexus companion to Obsidian / LLM Wiki / LightRAG.</w:t>
            </w:r>
          </w:p>
        </w:tc>
        <w:tc>
          <w:tcPr>
            <w:tcW w:type="dxa" w:w="4608"/>
            <w:vAlign w:val="top"/>
            <w:shd w:fill="F7F7F7"/>
          </w:tcPr>
          <w:p>
            <w:pPr>
              <w:spacing w:after="0"/>
            </w:pPr>
            <w:r/>
            <w:r>
              <w:rPr>
                <w:rFonts w:ascii="Arial" w:hAnsi="Arial"/>
                <w:b w:val="0"/>
                <w:sz w:val="17"/>
              </w:rPr>
              <w:t>Classified as AIRA Code Intelligence and Impact Analysis Control, subordinate to governed knowledge and source control.</w:t>
            </w:r>
          </w:p>
        </w:tc>
      </w:tr>
      <w:tr>
        <w:tc>
          <w:tcPr>
            <w:tcW w:type="dxa" w:w="2448"/>
            <w:vAlign w:val="top"/>
          </w:tcPr>
          <w:p>
            <w:pPr>
              <w:spacing w:after="0"/>
            </w:pPr>
            <w:r/>
            <w:r>
              <w:rPr>
                <w:rFonts w:ascii="Arial" w:hAnsi="Arial"/>
                <w:b w:val="0"/>
                <w:sz w:val="17"/>
              </w:rPr>
              <w:t>Agent use</w:t>
            </w:r>
          </w:p>
        </w:tc>
        <w:tc>
          <w:tcPr>
            <w:tcW w:type="dxa" w:w="3600"/>
            <w:vAlign w:val="top"/>
          </w:tcPr>
          <w:p>
            <w:pPr>
              <w:spacing w:after="0"/>
            </w:pPr>
            <w:r/>
            <w:r>
              <w:rPr>
                <w:rFonts w:ascii="Arial" w:hAnsi="Arial"/>
                <w:b w:val="0"/>
                <w:sz w:val="17"/>
              </w:rPr>
              <w:t>Agent may call GitNexus for code graph validation.</w:t>
            </w:r>
          </w:p>
        </w:tc>
        <w:tc>
          <w:tcPr>
            <w:tcW w:type="dxa" w:w="4608"/>
            <w:vAlign w:val="top"/>
          </w:tcPr>
          <w:p>
            <w:pPr>
              <w:spacing w:after="0"/>
            </w:pPr>
            <w:r/>
            <w:r>
              <w:rPr>
                <w:rFonts w:ascii="Arial" w:hAnsi="Arial"/>
                <w:b w:val="0"/>
                <w:sz w:val="17"/>
              </w:rPr>
              <w:t>Agent use must be mediated through Harness/SBAC/OPA where state-changing tool actions are involved and must produce evidence.</w:t>
            </w:r>
          </w:p>
        </w:tc>
      </w:tr>
      <w:tr>
        <w:tc>
          <w:tcPr>
            <w:tcW w:type="dxa" w:w="2448"/>
            <w:vAlign w:val="top"/>
            <w:shd w:fill="F7F7F7"/>
          </w:tcPr>
          <w:p>
            <w:pPr>
              <w:spacing w:after="0"/>
            </w:pPr>
            <w:r/>
            <w:r>
              <w:rPr>
                <w:rFonts w:ascii="Arial" w:hAnsi="Arial"/>
                <w:b w:val="0"/>
                <w:sz w:val="17"/>
              </w:rPr>
              <w:t>Auto loops</w:t>
            </w:r>
          </w:p>
        </w:tc>
        <w:tc>
          <w:tcPr>
            <w:tcW w:type="dxa" w:w="3600"/>
            <w:vAlign w:val="top"/>
            <w:shd w:fill="F7F7F7"/>
          </w:tcPr>
          <w:p>
            <w:pPr>
              <w:spacing w:after="0"/>
            </w:pPr>
            <w:r/>
            <w:r>
              <w:rPr>
                <w:rFonts w:ascii="Arial" w:hAnsi="Arial"/>
                <w:b w:val="0"/>
                <w:sz w:val="17"/>
              </w:rPr>
              <w:t>GitNexus may support Auto-Heal, Auto-Learn, and Auto-Improve.</w:t>
            </w:r>
          </w:p>
        </w:tc>
        <w:tc>
          <w:tcPr>
            <w:tcW w:type="dxa" w:w="4608"/>
            <w:vAlign w:val="top"/>
            <w:shd w:fill="F7F7F7"/>
          </w:tcPr>
          <w:p>
            <w:pPr>
              <w:spacing w:after="0"/>
            </w:pPr>
            <w:r/>
            <w:r>
              <w:rPr>
                <w:rFonts w:ascii="Arial" w:hAnsi="Arial"/>
                <w:b w:val="0"/>
                <w:sz w:val="17"/>
              </w:rPr>
              <w:t>Automated loops may propose, validate, and create PRs; they must not self-promote or weaken AIRA principles.</w:t>
            </w:r>
          </w:p>
        </w:tc>
      </w:tr>
      <w:tr>
        <w:tc>
          <w:tcPr>
            <w:tcW w:type="dxa" w:w="2448"/>
            <w:vAlign w:val="top"/>
          </w:tcPr>
          <w:p>
            <w:pPr>
              <w:spacing w:after="0"/>
            </w:pPr>
            <w:r/>
            <w:r>
              <w:rPr>
                <w:rFonts w:ascii="Arial" w:hAnsi="Arial"/>
                <w:b w:val="0"/>
                <w:sz w:val="17"/>
              </w:rPr>
              <w:t>Security controls</w:t>
            </w:r>
          </w:p>
        </w:tc>
        <w:tc>
          <w:tcPr>
            <w:tcW w:type="dxa" w:w="3600"/>
            <w:vAlign w:val="top"/>
          </w:tcPr>
          <w:p>
            <w:pPr>
              <w:spacing w:after="0"/>
            </w:pPr>
            <w:r/>
            <w:r>
              <w:rPr>
                <w:rFonts w:ascii="Arial" w:hAnsi="Arial"/>
                <w:b w:val="0"/>
                <w:sz w:val="17"/>
              </w:rPr>
              <w:t>Prefer local execution and avoid public upload.</w:t>
            </w:r>
          </w:p>
        </w:tc>
        <w:tc>
          <w:tcPr>
            <w:tcW w:type="dxa" w:w="4608"/>
            <w:vAlign w:val="top"/>
          </w:tcPr>
          <w:p>
            <w:pPr>
              <w:spacing w:after="0"/>
            </w:pPr>
            <w:r/>
            <w:r>
              <w:rPr>
                <w:rFonts w:ascii="Arial" w:hAnsi="Arial"/>
                <w:b w:val="0"/>
                <w:sz w:val="17"/>
              </w:rPr>
              <w:t>Adds classification, secrets, index storage, license review, MCP security, generated-file, and fail-closed controls.</w:t>
            </w:r>
          </w:p>
        </w:tc>
      </w:tr>
      <w:tr>
        <w:tc>
          <w:tcPr>
            <w:tcW w:type="dxa" w:w="2448"/>
            <w:vAlign w:val="top"/>
            <w:shd w:fill="F7F7F7"/>
          </w:tcPr>
          <w:p>
            <w:pPr>
              <w:spacing w:after="0"/>
            </w:pPr>
            <w:r/>
            <w:r>
              <w:rPr>
                <w:rFonts w:ascii="Arial" w:hAnsi="Arial"/>
                <w:b w:val="0"/>
                <w:sz w:val="17"/>
              </w:rPr>
              <w:t>Pipeline role</w:t>
            </w:r>
          </w:p>
        </w:tc>
        <w:tc>
          <w:tcPr>
            <w:tcW w:type="dxa" w:w="3600"/>
            <w:vAlign w:val="top"/>
            <w:shd w:fill="F7F7F7"/>
          </w:tcPr>
          <w:p>
            <w:pPr>
              <w:spacing w:after="0"/>
            </w:pPr>
            <w:r/>
            <w:r>
              <w:rPr>
                <w:rFonts w:ascii="Arial" w:hAnsi="Arial"/>
                <w:b w:val="0"/>
                <w:sz w:val="17"/>
              </w:rPr>
              <w:t>Use in local, PR, release, incident flows.</w:t>
            </w:r>
          </w:p>
        </w:tc>
        <w:tc>
          <w:tcPr>
            <w:tcW w:type="dxa" w:w="4608"/>
            <w:vAlign w:val="top"/>
            <w:shd w:fill="F7F7F7"/>
          </w:tcPr>
          <w:p>
            <w:pPr>
              <w:spacing w:after="0"/>
            </w:pPr>
            <w:r/>
            <w:r>
              <w:rPr>
                <w:rFonts w:ascii="Arial" w:hAnsi="Arial"/>
                <w:b w:val="0"/>
                <w:sz w:val="17"/>
              </w:rPr>
              <w:t>Initial CI role is advisory only; gating requires PoC maturity, accuracy thresholds, waiver process, and ARB approval.</w:t>
            </w:r>
          </w:p>
        </w:tc>
      </w:tr>
    </w:tbl>
    <w:p/>
    <w:p>
      <w:pPr>
        <w:pStyle w:val="Heading2"/>
        <w:keepNext w:val="0"/>
        <w:spacing w:after="80" w:line="252" w:lineRule="auto"/>
      </w:pPr>
      <w:r>
        <w:rPr>
          <w:rFonts w:ascii="Arial" w:hAnsi="Arial"/>
          <w:b w:val="0"/>
          <w:i w:val="0"/>
        </w:rPr>
        <w:t>2.1 Adoption Decision</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2880"/>
            <w:shd w:fill="1F4E79"/>
            <w:vAlign w:val="center"/>
          </w:tcPr>
          <w:p>
            <w:pPr>
              <w:spacing w:after="0"/>
            </w:pPr>
            <w:r/>
            <w:r>
              <w:rPr>
                <w:rFonts w:ascii="Arial" w:hAnsi="Arial"/>
                <w:b/>
                <w:color w:val="FFFFFF"/>
                <w:sz w:val="17"/>
              </w:rPr>
              <w:t>Decision Item</w:t>
            </w:r>
          </w:p>
        </w:tc>
        <w:tc>
          <w:tcPr>
            <w:tcW w:type="dxa" w:w="7488"/>
            <w:shd w:fill="1F4E79"/>
            <w:vAlign w:val="center"/>
          </w:tcPr>
          <w:p>
            <w:pPr>
              <w:spacing w:after="0"/>
            </w:pPr>
            <w:r/>
            <w:r>
              <w:rPr>
                <w:rFonts w:ascii="Arial" w:hAnsi="Arial"/>
                <w:b/>
                <w:color w:val="FFFFFF"/>
                <w:sz w:val="17"/>
              </w:rPr>
              <w:t>v1.0 Decision</w:t>
            </w:r>
          </w:p>
        </w:tc>
      </w:tr>
      <w:tr>
        <w:tc>
          <w:tcPr>
            <w:tcW w:type="dxa" w:w="2880"/>
            <w:vAlign w:val="top"/>
          </w:tcPr>
          <w:p>
            <w:pPr>
              <w:spacing w:after="0"/>
            </w:pPr>
            <w:r/>
            <w:r>
              <w:rPr>
                <w:rFonts w:ascii="Arial" w:hAnsi="Arial"/>
                <w:b w:val="0"/>
                <w:sz w:val="17"/>
              </w:rPr>
              <w:t>Adoption status</w:t>
            </w:r>
          </w:p>
        </w:tc>
        <w:tc>
          <w:tcPr>
            <w:tcW w:type="dxa" w:w="7488"/>
            <w:vAlign w:val="top"/>
          </w:tcPr>
          <w:p>
            <w:pPr>
              <w:spacing w:after="0"/>
            </w:pPr>
            <w:r/>
            <w:r>
              <w:rPr>
                <w:rFonts w:ascii="Arial" w:hAnsi="Arial"/>
                <w:b w:val="0"/>
                <w:sz w:val="17"/>
              </w:rPr>
              <w:t>Conditionally approved for evaluation and controlled PoC.</w:t>
            </w:r>
          </w:p>
        </w:tc>
      </w:tr>
      <w:tr>
        <w:tc>
          <w:tcPr>
            <w:tcW w:type="dxa" w:w="2880"/>
            <w:vAlign w:val="top"/>
            <w:shd w:fill="F7F7F7"/>
          </w:tcPr>
          <w:p>
            <w:pPr>
              <w:spacing w:after="0"/>
            </w:pPr>
            <w:r/>
            <w:r>
              <w:rPr>
                <w:rFonts w:ascii="Arial" w:hAnsi="Arial"/>
                <w:b w:val="0"/>
                <w:sz w:val="17"/>
              </w:rPr>
              <w:t>Technology Stack status</w:t>
            </w:r>
          </w:p>
        </w:tc>
        <w:tc>
          <w:tcPr>
            <w:tcW w:type="dxa" w:w="7488"/>
            <w:vAlign w:val="top"/>
            <w:shd w:fill="F7F7F7"/>
          </w:tcPr>
          <w:p>
            <w:pPr>
              <w:spacing w:after="0"/>
            </w:pPr>
            <w:r/>
            <w:r>
              <w:rPr>
                <w:rFonts w:ascii="Arial" w:hAnsi="Arial"/>
                <w:b w:val="0"/>
                <w:sz w:val="17"/>
              </w:rPr>
              <w:t>Candidate / Trial tool until ARB approves production-grade use and version pinning.</w:t>
            </w:r>
          </w:p>
        </w:tc>
      </w:tr>
      <w:tr>
        <w:tc>
          <w:tcPr>
            <w:tcW w:type="dxa" w:w="2880"/>
            <w:vAlign w:val="top"/>
          </w:tcPr>
          <w:p>
            <w:pPr>
              <w:spacing w:after="0"/>
            </w:pPr>
            <w:r/>
            <w:r>
              <w:rPr>
                <w:rFonts w:ascii="Arial" w:hAnsi="Arial"/>
                <w:b w:val="0"/>
                <w:sz w:val="17"/>
              </w:rPr>
              <w:t>AIRA classification</w:t>
            </w:r>
          </w:p>
        </w:tc>
        <w:tc>
          <w:tcPr>
            <w:tcW w:type="dxa" w:w="7488"/>
            <w:vAlign w:val="top"/>
          </w:tcPr>
          <w:p>
            <w:pPr>
              <w:spacing w:after="0"/>
            </w:pPr>
            <w:r/>
            <w:r>
              <w:rPr>
                <w:rFonts w:ascii="Arial" w:hAnsi="Arial"/>
                <w:b w:val="0"/>
                <w:sz w:val="17"/>
              </w:rPr>
              <w:t>Code Intelligence and Impact Analysis Control; derivative source; not authoritative.</w:t>
            </w:r>
          </w:p>
        </w:tc>
      </w:tr>
      <w:tr>
        <w:tc>
          <w:tcPr>
            <w:tcW w:type="dxa" w:w="2880"/>
            <w:vAlign w:val="top"/>
            <w:shd w:fill="F7F7F7"/>
          </w:tcPr>
          <w:p>
            <w:pPr>
              <w:spacing w:after="0"/>
            </w:pPr>
            <w:r/>
            <w:r>
              <w:rPr>
                <w:rFonts w:ascii="Arial" w:hAnsi="Arial"/>
                <w:b w:val="0"/>
                <w:sz w:val="17"/>
              </w:rPr>
              <w:t>Recommended deployment mode</w:t>
            </w:r>
          </w:p>
        </w:tc>
        <w:tc>
          <w:tcPr>
            <w:tcW w:type="dxa" w:w="7488"/>
            <w:vAlign w:val="top"/>
            <w:shd w:fill="F7F7F7"/>
          </w:tcPr>
          <w:p>
            <w:pPr>
              <w:spacing w:after="0"/>
            </w:pPr>
            <w:r/>
            <w:r>
              <w:rPr>
                <w:rFonts w:ascii="Arial" w:hAnsi="Arial"/>
                <w:b w:val="0"/>
                <w:sz w:val="17"/>
              </w:rPr>
              <w:t>Local CLI and controlled MCP mode first; self-hosted enterprise mode only after procurement, license, and security review.</w:t>
            </w:r>
          </w:p>
        </w:tc>
      </w:tr>
      <w:tr>
        <w:tc>
          <w:tcPr>
            <w:tcW w:type="dxa" w:w="2880"/>
            <w:vAlign w:val="top"/>
          </w:tcPr>
          <w:p>
            <w:pPr>
              <w:spacing w:after="0"/>
            </w:pPr>
            <w:r/>
            <w:r>
              <w:rPr>
                <w:rFonts w:ascii="Arial" w:hAnsi="Arial"/>
                <w:b w:val="0"/>
                <w:sz w:val="17"/>
              </w:rPr>
              <w:t>Default model</w:t>
            </w:r>
          </w:p>
        </w:tc>
        <w:tc>
          <w:tcPr>
            <w:tcW w:type="dxa" w:w="7488"/>
            <w:vAlign w:val="top"/>
          </w:tcPr>
          <w:p>
            <w:pPr>
              <w:spacing w:after="0"/>
            </w:pPr>
            <w:r/>
            <w:r>
              <w:rPr>
                <w:rFonts w:ascii="Arial" w:hAnsi="Arial"/>
                <w:b w:val="0"/>
                <w:sz w:val="17"/>
              </w:rPr>
              <w:t>Developer-facing use allowed after onboarding; agent-facing use allowed only through governed action flow.</w:t>
            </w:r>
          </w:p>
        </w:tc>
      </w:tr>
      <w:tr>
        <w:tc>
          <w:tcPr>
            <w:tcW w:type="dxa" w:w="2880"/>
            <w:vAlign w:val="top"/>
            <w:shd w:fill="F7F7F7"/>
          </w:tcPr>
          <w:p>
            <w:pPr>
              <w:spacing w:after="0"/>
            </w:pPr>
            <w:r/>
            <w:r>
              <w:rPr>
                <w:rFonts w:ascii="Arial" w:hAnsi="Arial"/>
                <w:b w:val="0"/>
                <w:sz w:val="17"/>
              </w:rPr>
              <w:t>Production dependency status</w:t>
            </w:r>
          </w:p>
        </w:tc>
        <w:tc>
          <w:tcPr>
            <w:tcW w:type="dxa" w:w="7488"/>
            <w:vAlign w:val="top"/>
            <w:shd w:fill="F7F7F7"/>
          </w:tcPr>
          <w:p>
            <w:pPr>
              <w:spacing w:after="0"/>
            </w:pPr>
            <w:r/>
            <w:r>
              <w:rPr>
                <w:rFonts w:ascii="Arial" w:hAnsi="Arial"/>
                <w:b w:val="0"/>
                <w:sz w:val="17"/>
              </w:rPr>
              <w:t>Not a production runtime dependency. Failure of GitNexus must not break production services.</w:t>
            </w:r>
          </w:p>
        </w:tc>
      </w:tr>
      <w:tr>
        <w:tc>
          <w:tcPr>
            <w:tcW w:type="dxa" w:w="2880"/>
            <w:vAlign w:val="top"/>
          </w:tcPr>
          <w:p>
            <w:pPr>
              <w:spacing w:after="0"/>
            </w:pPr>
            <w:r/>
            <w:r>
              <w:rPr>
                <w:rFonts w:ascii="Arial" w:hAnsi="Arial"/>
                <w:b w:val="0"/>
                <w:sz w:val="17"/>
              </w:rPr>
              <w:t>Direct production action</w:t>
            </w:r>
          </w:p>
        </w:tc>
        <w:tc>
          <w:tcPr>
            <w:tcW w:type="dxa" w:w="7488"/>
            <w:vAlign w:val="top"/>
          </w:tcPr>
          <w:p>
            <w:pPr>
              <w:spacing w:after="0"/>
            </w:pPr>
            <w:r/>
            <w:r>
              <w:rPr>
                <w:rFonts w:ascii="Arial" w:hAnsi="Arial"/>
                <w:b w:val="0"/>
                <w:sz w:val="17"/>
              </w:rPr>
              <w:t>Prohibited.</w:t>
            </w:r>
          </w:p>
        </w:tc>
      </w:tr>
      <w:tr>
        <w:tc>
          <w:tcPr>
            <w:tcW w:type="dxa" w:w="2880"/>
            <w:vAlign w:val="top"/>
            <w:shd w:fill="F7F7F7"/>
          </w:tcPr>
          <w:p>
            <w:pPr>
              <w:spacing w:after="0"/>
            </w:pPr>
            <w:r/>
            <w:r>
              <w:rPr>
                <w:rFonts w:ascii="Arial" w:hAnsi="Arial"/>
                <w:b w:val="0"/>
                <w:sz w:val="17"/>
              </w:rPr>
              <w:t>Evidence status</w:t>
            </w:r>
          </w:p>
        </w:tc>
        <w:tc>
          <w:tcPr>
            <w:tcW w:type="dxa" w:w="7488"/>
            <w:vAlign w:val="top"/>
            <w:shd w:fill="F7F7F7"/>
          </w:tcPr>
          <w:p>
            <w:pPr>
              <w:spacing w:after="0"/>
            </w:pPr>
            <w:r/>
            <w:r>
              <w:rPr>
                <w:rFonts w:ascii="Arial" w:hAnsi="Arial"/>
                <w:b w:val="0"/>
                <w:sz w:val="17"/>
              </w:rPr>
              <w:t>GitNexus reports may be PR/MR evidence but must be corroborated by tests, scans, policy checks, and review.</w:t>
            </w:r>
          </w:p>
        </w:tc>
      </w:tr>
    </w:tbl>
    <w:p/>
    <w:p>
      <w:pPr>
        <w:pStyle w:val="Heading1"/>
        <w:keepNext w:val="0"/>
        <w:spacing w:after="80" w:line="252" w:lineRule="auto"/>
      </w:pPr>
      <w:r>
        <w:rPr>
          <w:rFonts w:ascii="Arial" w:hAnsi="Arial"/>
          <w:b w:val="0"/>
          <w:i w:val="0"/>
        </w:rPr>
        <w:t>3. Purpose, Scope, and Authority</w:t>
      </w:r>
    </w:p>
    <w:p>
      <w:pPr>
        <w:keepNext w:val="0"/>
        <w:spacing w:after="80" w:line="252" w:lineRule="auto"/>
      </w:pPr>
      <w:r>
        <w:rPr>
          <w:rFonts w:ascii="Arial" w:hAnsi="Arial"/>
          <w:b w:val="0"/>
          <w:i w:val="0"/>
        </w:rPr>
        <w:t>The purpose of this standard is to define how GitNexus may be used within AIRA to improve codebase understanding, AI-assisted coding, impact analysis, code review, architecture drift detection, and DevSecOps evidence while preserving the approved AIRA governance model.</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040"/>
            <w:shd w:fill="1F4E79"/>
            <w:vAlign w:val="center"/>
          </w:tcPr>
          <w:p>
            <w:pPr>
              <w:spacing w:after="0"/>
            </w:pPr>
            <w:r/>
            <w:r>
              <w:rPr>
                <w:rFonts w:ascii="Arial" w:hAnsi="Arial"/>
                <w:b/>
                <w:color w:val="FFFFFF"/>
                <w:sz w:val="17"/>
              </w:rPr>
              <w:t>In Scope</w:t>
            </w:r>
          </w:p>
        </w:tc>
        <w:tc>
          <w:tcPr>
            <w:tcW w:type="dxa" w:w="5040"/>
            <w:shd w:fill="1F4E79"/>
            <w:vAlign w:val="center"/>
          </w:tcPr>
          <w:p>
            <w:pPr>
              <w:spacing w:after="0"/>
            </w:pPr>
            <w:r/>
            <w:r>
              <w:rPr>
                <w:rFonts w:ascii="Arial" w:hAnsi="Arial"/>
                <w:b/>
                <w:color w:val="FFFFFF"/>
                <w:sz w:val="17"/>
              </w:rPr>
              <w:t>Out of Scope</w:t>
            </w:r>
          </w:p>
        </w:tc>
      </w:tr>
      <w:tr>
        <w:tc>
          <w:tcPr>
            <w:tcW w:type="dxa" w:w="5040"/>
            <w:vAlign w:val="top"/>
          </w:tcPr>
          <w:p>
            <w:pPr>
              <w:spacing w:after="0"/>
            </w:pPr>
            <w:r/>
            <w:r>
              <w:rPr>
                <w:rFonts w:ascii="Arial" w:hAnsi="Arial"/>
                <w:b w:val="0"/>
                <w:sz w:val="17"/>
              </w:rPr>
              <w:t>Local GitNexus CLI use for approved AIRA repositories and developer workstations.</w:t>
            </w:r>
          </w:p>
        </w:tc>
        <w:tc>
          <w:tcPr>
            <w:tcW w:type="dxa" w:w="5040"/>
            <w:vAlign w:val="top"/>
          </w:tcPr>
          <w:p>
            <w:pPr>
              <w:spacing w:after="0"/>
            </w:pPr>
            <w:r/>
            <w:r>
              <w:rPr>
                <w:rFonts w:ascii="Arial" w:hAnsi="Arial"/>
                <w:b w:val="0"/>
                <w:sz w:val="17"/>
              </w:rPr>
              <w:t>Uploading BFS/AIRA proprietary code to unmanaged public or personal workspaces.</w:t>
            </w:r>
          </w:p>
        </w:tc>
      </w:tr>
      <w:tr>
        <w:tc>
          <w:tcPr>
            <w:tcW w:type="dxa" w:w="5040"/>
            <w:vAlign w:val="top"/>
            <w:shd w:fill="F7F7F7"/>
          </w:tcPr>
          <w:p>
            <w:pPr>
              <w:spacing w:after="0"/>
            </w:pPr>
            <w:r/>
            <w:r>
              <w:rPr>
                <w:rFonts w:ascii="Arial" w:hAnsi="Arial"/>
                <w:b w:val="0"/>
                <w:sz w:val="17"/>
              </w:rPr>
              <w:t>MCP-based GitNexus context for approved AI coding assistants and controlled AIRA agents.</w:t>
            </w:r>
          </w:p>
        </w:tc>
        <w:tc>
          <w:tcPr>
            <w:tcW w:type="dxa" w:w="5040"/>
            <w:vAlign w:val="top"/>
            <w:shd w:fill="F7F7F7"/>
          </w:tcPr>
          <w:p>
            <w:pPr>
              <w:spacing w:after="0"/>
            </w:pPr>
            <w:r/>
            <w:r>
              <w:rPr>
                <w:rFonts w:ascii="Arial" w:hAnsi="Arial"/>
                <w:b w:val="0"/>
                <w:sz w:val="17"/>
              </w:rPr>
              <w:t>Direct autonomous execution of Git, CI/CD, database, Kubernetes, OpenKM, Kafka, Temporal, Flowable, or production APIs.</w:t>
            </w:r>
          </w:p>
        </w:tc>
      </w:tr>
      <w:tr>
        <w:tc>
          <w:tcPr>
            <w:tcW w:type="dxa" w:w="5040"/>
            <w:vAlign w:val="top"/>
          </w:tcPr>
          <w:p>
            <w:pPr>
              <w:spacing w:after="0"/>
            </w:pPr>
            <w:r/>
            <w:r>
              <w:rPr>
                <w:rFonts w:ascii="Arial" w:hAnsi="Arial"/>
                <w:b w:val="0"/>
                <w:sz w:val="17"/>
              </w:rPr>
              <w:t>Code graph, dependency graph, call chain, blast-radius, stale-index, and affected-test analysis.</w:t>
            </w:r>
          </w:p>
        </w:tc>
        <w:tc>
          <w:tcPr>
            <w:tcW w:type="dxa" w:w="5040"/>
            <w:vAlign w:val="top"/>
          </w:tcPr>
          <w:p>
            <w:pPr>
              <w:spacing w:after="0"/>
            </w:pPr>
            <w:r/>
            <w:r>
              <w:rPr>
                <w:rFonts w:ascii="Arial" w:hAnsi="Arial"/>
                <w:b w:val="0"/>
                <w:sz w:val="17"/>
              </w:rPr>
              <w:t>Treating GitNexus as a replacement for AIRA standards, LLM Wiki, LightRAG, security scanners, tests, or human code review.</w:t>
            </w:r>
          </w:p>
        </w:tc>
      </w:tr>
      <w:tr>
        <w:tc>
          <w:tcPr>
            <w:tcW w:type="dxa" w:w="5040"/>
            <w:vAlign w:val="top"/>
            <w:shd w:fill="F7F7F7"/>
          </w:tcPr>
          <w:p>
            <w:pPr>
              <w:spacing w:after="0"/>
            </w:pPr>
            <w:r/>
            <w:r>
              <w:rPr>
                <w:rFonts w:ascii="Arial" w:hAnsi="Arial"/>
                <w:b w:val="0"/>
                <w:sz w:val="17"/>
              </w:rPr>
              <w:t>PR/MR review evidence, architecture fitness support, and refactoring impact analysis.</w:t>
            </w:r>
          </w:p>
        </w:tc>
        <w:tc>
          <w:tcPr>
            <w:tcW w:type="dxa" w:w="5040"/>
            <w:vAlign w:val="top"/>
            <w:shd w:fill="F7F7F7"/>
          </w:tcPr>
          <w:p>
            <w:pPr>
              <w:spacing w:after="0"/>
            </w:pPr>
            <w:r/>
            <w:r>
              <w:rPr>
                <w:rFonts w:ascii="Arial" w:hAnsi="Arial"/>
                <w:b w:val="0"/>
                <w:sz w:val="17"/>
              </w:rPr>
              <w:t>Using GitNexus outputs as sole approval evidence for production promotion.</w:t>
            </w:r>
          </w:p>
        </w:tc>
      </w:tr>
      <w:tr>
        <w:tc>
          <w:tcPr>
            <w:tcW w:type="dxa" w:w="5040"/>
            <w:vAlign w:val="top"/>
          </w:tcPr>
          <w:p>
            <w:pPr>
              <w:spacing w:after="0"/>
            </w:pPr>
            <w:r/>
            <w:r>
              <w:rPr>
                <w:rFonts w:ascii="Arial" w:hAnsi="Arial"/>
                <w:b w:val="0"/>
                <w:sz w:val="17"/>
              </w:rPr>
              <w:t>PoC evaluation, version pinning, Golden Source packaging, and controlled rollout.</w:t>
            </w:r>
          </w:p>
        </w:tc>
        <w:tc>
          <w:tcPr>
            <w:tcW w:type="dxa" w:w="5040"/>
            <w:vAlign w:val="top"/>
          </w:tcPr>
          <w:p>
            <w:pPr>
              <w:spacing w:after="0"/>
            </w:pPr>
            <w:r/>
            <w:r>
              <w:rPr>
                <w:rFonts w:ascii="Arial" w:hAnsi="Arial"/>
                <w:b w:val="0"/>
                <w:sz w:val="17"/>
              </w:rPr>
              <w:t>Unreviewed generated AGENTS.md / CLAUDE.md changes that weaken the AIRA repository rule hierarchy.</w:t>
            </w:r>
          </w:p>
        </w:tc>
      </w:tr>
    </w:tbl>
    <w:p/>
    <w:p>
      <w:pPr>
        <w:pStyle w:val="Heading2"/>
        <w:keepNext w:val="0"/>
        <w:spacing w:after="80" w:line="252" w:lineRule="auto"/>
      </w:pPr>
      <w:r>
        <w:rPr>
          <w:rFonts w:ascii="Arial" w:hAnsi="Arial"/>
          <w:b w:val="0"/>
          <w:i w:val="0"/>
        </w:rPr>
        <w:t>3.1 Authority and Precedence</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c>
          <w:tcPr>
            <w:tcW w:type="dxa" w:w="1296"/>
            <w:shd w:fill="1F4E79"/>
            <w:vAlign w:val="center"/>
          </w:tcPr>
          <w:p>
            <w:pPr>
              <w:spacing w:after="0"/>
            </w:pPr>
            <w:r/>
            <w:r>
              <w:rPr>
                <w:rFonts w:ascii="Arial" w:hAnsi="Arial"/>
                <w:b/>
                <w:color w:val="FFFFFF"/>
                <w:sz w:val="17"/>
              </w:rPr>
              <w:t>Authority Level</w:t>
            </w:r>
          </w:p>
        </w:tc>
        <w:tc>
          <w:tcPr>
            <w:tcW w:type="dxa" w:w="3888"/>
            <w:shd w:fill="1F4E79"/>
            <w:vAlign w:val="center"/>
          </w:tcPr>
          <w:p>
            <w:pPr>
              <w:spacing w:after="0"/>
            </w:pPr>
            <w:r/>
            <w:r>
              <w:rPr>
                <w:rFonts w:ascii="Arial" w:hAnsi="Arial"/>
                <w:b/>
                <w:color w:val="FFFFFF"/>
                <w:sz w:val="17"/>
              </w:rPr>
              <w:t>Document / Control</w:t>
            </w:r>
          </w:p>
        </w:tc>
        <w:tc>
          <w:tcPr>
            <w:tcW w:type="dxa" w:w="5472"/>
            <w:shd w:fill="1F4E79"/>
            <w:vAlign w:val="center"/>
          </w:tcPr>
          <w:p>
            <w:pPr>
              <w:spacing w:after="0"/>
            </w:pPr>
            <w:r/>
            <w:r>
              <w:rPr>
                <w:rFonts w:ascii="Arial" w:hAnsi="Arial"/>
                <w:b/>
                <w:color w:val="FFFFFF"/>
                <w:sz w:val="17"/>
              </w:rPr>
              <w:t>Meaning for GitNexus</w:t>
            </w:r>
          </w:p>
        </w:tc>
      </w:tr>
      <w:tr>
        <w:tc>
          <w:tcPr>
            <w:tcW w:type="dxa" w:w="1296"/>
            <w:vAlign w:val="top"/>
          </w:tcPr>
          <w:p>
            <w:pPr>
              <w:spacing w:after="0"/>
            </w:pPr>
            <w:r/>
            <w:r>
              <w:rPr>
                <w:rFonts w:ascii="Arial" w:hAnsi="Arial"/>
                <w:b w:val="0"/>
                <w:sz w:val="17"/>
              </w:rPr>
              <w:t>L0</w:t>
            </w:r>
          </w:p>
        </w:tc>
        <w:tc>
          <w:tcPr>
            <w:tcW w:type="dxa" w:w="3888"/>
            <w:vAlign w:val="top"/>
          </w:tcPr>
          <w:p>
            <w:pPr>
              <w:spacing w:after="0"/>
            </w:pPr>
            <w:r/>
            <w:r>
              <w:rPr>
                <w:rFonts w:ascii="Arial" w:hAnsi="Arial"/>
                <w:b w:val="0"/>
                <w:sz w:val="17"/>
              </w:rPr>
              <w:t>Architecture Board / Consolidated Architecture Decisions</w:t>
            </w:r>
          </w:p>
        </w:tc>
        <w:tc>
          <w:tcPr>
            <w:tcW w:type="dxa" w:w="5472"/>
            <w:vAlign w:val="top"/>
          </w:tcPr>
          <w:p>
            <w:pPr>
              <w:spacing w:after="0"/>
            </w:pPr>
            <w:r/>
            <w:r>
              <w:rPr>
                <w:rFonts w:ascii="Arial" w:hAnsi="Arial"/>
                <w:b w:val="0"/>
                <w:sz w:val="17"/>
              </w:rPr>
              <w:t>Final authority for major architecture, AI-agent, source-control, and technology adoption decisions.</w:t>
            </w:r>
          </w:p>
        </w:tc>
      </w:tr>
      <w:tr>
        <w:tc>
          <w:tcPr>
            <w:tcW w:type="dxa" w:w="1296"/>
            <w:vAlign w:val="top"/>
            <w:shd w:fill="F7F7F7"/>
          </w:tcPr>
          <w:p>
            <w:pPr>
              <w:spacing w:after="0"/>
            </w:pPr>
            <w:r/>
            <w:r>
              <w:rPr>
                <w:rFonts w:ascii="Arial" w:hAnsi="Arial"/>
                <w:b w:val="0"/>
                <w:sz w:val="17"/>
              </w:rPr>
              <w:t>L1</w:t>
            </w:r>
          </w:p>
        </w:tc>
        <w:tc>
          <w:tcPr>
            <w:tcW w:type="dxa" w:w="3888"/>
            <w:vAlign w:val="top"/>
            <w:shd w:fill="F7F7F7"/>
          </w:tcPr>
          <w:p>
            <w:pPr>
              <w:spacing w:after="0"/>
            </w:pPr>
            <w:r/>
            <w:r>
              <w:rPr>
                <w:rFonts w:ascii="Arial" w:hAnsi="Arial"/>
                <w:b w:val="0"/>
                <w:sz w:val="17"/>
              </w:rPr>
              <w:t>02-AIRA Engineering Blueprint and 11-AIRA DevSecOps Standard</w:t>
            </w:r>
          </w:p>
        </w:tc>
        <w:tc>
          <w:tcPr>
            <w:tcW w:type="dxa" w:w="5472"/>
            <w:vAlign w:val="top"/>
            <w:shd w:fill="F7F7F7"/>
          </w:tcPr>
          <w:p>
            <w:pPr>
              <w:spacing w:after="0"/>
            </w:pPr>
            <w:r/>
            <w:r>
              <w:rPr>
                <w:rFonts w:ascii="Arial" w:hAnsi="Arial"/>
                <w:b w:val="0"/>
                <w:sz w:val="17"/>
              </w:rPr>
              <w:t>Define the architecture boundaries, lifecycle gates, evidence pipeline, and AI execution model that GitNexus must support.</w:t>
            </w:r>
          </w:p>
        </w:tc>
      </w:tr>
      <w:tr>
        <w:tc>
          <w:tcPr>
            <w:tcW w:type="dxa" w:w="1296"/>
            <w:vAlign w:val="top"/>
          </w:tcPr>
          <w:p>
            <w:pPr>
              <w:spacing w:after="0"/>
            </w:pPr>
            <w:r/>
            <w:r>
              <w:rPr>
                <w:rFonts w:ascii="Arial" w:hAnsi="Arial"/>
                <w:b w:val="0"/>
                <w:sz w:val="17"/>
              </w:rPr>
              <w:t>L2</w:t>
            </w:r>
          </w:p>
        </w:tc>
        <w:tc>
          <w:tcPr>
            <w:tcW w:type="dxa" w:w="3888"/>
            <w:vAlign w:val="top"/>
          </w:tcPr>
          <w:p>
            <w:pPr>
              <w:spacing w:after="0"/>
            </w:pPr>
            <w:r/>
            <w:r>
              <w:rPr>
                <w:rFonts w:ascii="Arial" w:hAnsi="Arial"/>
                <w:b w:val="0"/>
                <w:sz w:val="17"/>
              </w:rPr>
              <w:t>01-AIRA AVCI Standard and 01A Enterprise Design Principles</w:t>
            </w:r>
          </w:p>
        </w:tc>
        <w:tc>
          <w:tcPr>
            <w:tcW w:type="dxa" w:w="5472"/>
            <w:vAlign w:val="top"/>
          </w:tcPr>
          <w:p>
            <w:pPr>
              <w:spacing w:after="0"/>
            </w:pPr>
            <w:r/>
            <w:r>
              <w:rPr>
                <w:rFonts w:ascii="Arial" w:hAnsi="Arial"/>
                <w:b w:val="0"/>
                <w:sz w:val="17"/>
              </w:rPr>
              <w:t>Define universal artifact quality, SOLID, Clean Architecture, DDD, testability, security, observability, reversibility, and evidence obligations.</w:t>
            </w:r>
          </w:p>
        </w:tc>
      </w:tr>
      <w:tr>
        <w:tc>
          <w:tcPr>
            <w:tcW w:type="dxa" w:w="1296"/>
            <w:vAlign w:val="top"/>
            <w:shd w:fill="F7F7F7"/>
          </w:tcPr>
          <w:p>
            <w:pPr>
              <w:spacing w:after="0"/>
            </w:pPr>
            <w:r/>
            <w:r>
              <w:rPr>
                <w:rFonts w:ascii="Arial" w:hAnsi="Arial"/>
                <w:b w:val="0"/>
                <w:sz w:val="17"/>
              </w:rPr>
              <w:t>L2</w:t>
            </w:r>
          </w:p>
        </w:tc>
        <w:tc>
          <w:tcPr>
            <w:tcW w:type="dxa" w:w="3888"/>
            <w:vAlign w:val="top"/>
            <w:shd w:fill="F7F7F7"/>
          </w:tcPr>
          <w:p>
            <w:pPr>
              <w:spacing w:after="0"/>
            </w:pPr>
            <w:r/>
            <w:r>
              <w:rPr>
                <w:rFonts w:ascii="Arial" w:hAnsi="Arial"/>
                <w:b w:val="0"/>
                <w:sz w:val="17"/>
              </w:rPr>
              <w:t>06 CLAUDE.md Reference and 12 CLAUDE.md Rollout Pack</w:t>
            </w:r>
          </w:p>
        </w:tc>
        <w:tc>
          <w:tcPr>
            <w:tcW w:type="dxa" w:w="5472"/>
            <w:vAlign w:val="top"/>
            <w:shd w:fill="F7F7F7"/>
          </w:tcPr>
          <w:p>
            <w:pPr>
              <w:spacing w:after="0"/>
            </w:pPr>
            <w:r/>
            <w:r>
              <w:rPr>
                <w:rFonts w:ascii="Arial" w:hAnsi="Arial"/>
                <w:b w:val="0"/>
                <w:sz w:val="17"/>
              </w:rPr>
              <w:t>Define repository-local rules, tool adapter inheritance, pre-commit hooks, CI gates, and AI tool governance.</w:t>
            </w:r>
          </w:p>
        </w:tc>
      </w:tr>
      <w:tr>
        <w:tc>
          <w:tcPr>
            <w:tcW w:type="dxa" w:w="1296"/>
            <w:vAlign w:val="top"/>
          </w:tcPr>
          <w:p>
            <w:pPr>
              <w:spacing w:after="0"/>
            </w:pPr>
            <w:r/>
            <w:r>
              <w:rPr>
                <w:rFonts w:ascii="Arial" w:hAnsi="Arial"/>
                <w:b w:val="0"/>
                <w:sz w:val="17"/>
              </w:rPr>
              <w:t>L3</w:t>
            </w:r>
          </w:p>
        </w:tc>
        <w:tc>
          <w:tcPr>
            <w:tcW w:type="dxa" w:w="3888"/>
            <w:vAlign w:val="top"/>
          </w:tcPr>
          <w:p>
            <w:pPr>
              <w:spacing w:after="0"/>
            </w:pPr>
            <w:r/>
            <w:r>
              <w:rPr>
                <w:rFonts w:ascii="Arial" w:hAnsi="Arial"/>
                <w:b w:val="0"/>
                <w:sz w:val="17"/>
              </w:rPr>
              <w:t>This GitNexus Standard</w:t>
            </w:r>
          </w:p>
        </w:tc>
        <w:tc>
          <w:tcPr>
            <w:tcW w:type="dxa" w:w="5472"/>
            <w:vAlign w:val="top"/>
          </w:tcPr>
          <w:p>
            <w:pPr>
              <w:spacing w:after="0"/>
            </w:pPr>
            <w:r/>
            <w:r>
              <w:rPr>
                <w:rFonts w:ascii="Arial" w:hAnsi="Arial"/>
                <w:b w:val="0"/>
                <w:sz w:val="17"/>
              </w:rPr>
              <w:t>Defines how GitNexus is evaluated, configured, used, and evidenced.</w:t>
            </w:r>
          </w:p>
        </w:tc>
      </w:tr>
      <w:tr>
        <w:tc>
          <w:tcPr>
            <w:tcW w:type="dxa" w:w="1296"/>
            <w:vAlign w:val="top"/>
            <w:shd w:fill="F7F7F7"/>
          </w:tcPr>
          <w:p>
            <w:pPr>
              <w:spacing w:after="0"/>
            </w:pPr>
            <w:r/>
            <w:r>
              <w:rPr>
                <w:rFonts w:ascii="Arial" w:hAnsi="Arial"/>
                <w:b w:val="0"/>
                <w:sz w:val="17"/>
              </w:rPr>
              <w:t>L4</w:t>
            </w:r>
          </w:p>
        </w:tc>
        <w:tc>
          <w:tcPr>
            <w:tcW w:type="dxa" w:w="3888"/>
            <w:vAlign w:val="top"/>
            <w:shd w:fill="F7F7F7"/>
          </w:tcPr>
          <w:p>
            <w:pPr>
              <w:spacing w:after="0"/>
            </w:pPr>
            <w:r/>
            <w:r>
              <w:rPr>
                <w:rFonts w:ascii="Arial" w:hAnsi="Arial"/>
                <w:b w:val="0"/>
                <w:sz w:val="17"/>
              </w:rPr>
              <w:t>Repository files, CI artifacts, GitNexus index/report outputs</w:t>
            </w:r>
          </w:p>
        </w:tc>
        <w:tc>
          <w:tcPr>
            <w:tcW w:type="dxa" w:w="5472"/>
            <w:vAlign w:val="top"/>
            <w:shd w:fill="F7F7F7"/>
          </w:tcPr>
          <w:p>
            <w:pPr>
              <w:spacing w:after="0"/>
            </w:pPr>
            <w:r/>
            <w:r>
              <w:rPr>
                <w:rFonts w:ascii="Arial" w:hAnsi="Arial"/>
                <w:b w:val="0"/>
                <w:sz w:val="17"/>
              </w:rPr>
              <w:t>Implementation-level evidence. These are derivative and cannot override higher-authority standards.</w:t>
            </w:r>
          </w:p>
        </w:tc>
      </w:tr>
    </w:tbl>
    <w:p/>
    <w:tbl>
      <w:tblPr>
        <w:tblW w:type="auto" w:w="0"/>
        <w:jc w:val="center"/>
        <w:tblLook w:firstColumn="1" w:firstRow="1" w:lastColumn="0" w:lastRow="0" w:noHBand="0" w:noVBand="1" w:val="04A0"/>
        <w:tblBorders>
          <w:top w:val="single" w:sz="6" w:space="0" w:color="9EADBD"/>
          <w:left w:val="single" w:sz="6" w:space="0" w:color="9EADBD"/>
          <w:bottom w:val="single" w:sz="6" w:space="0" w:color="9EADBD"/>
          <w:right w:val="single" w:sz="6" w:space="0" w:color="9EADBD"/>
          <w:insideH w:val="single" w:sz="6" w:space="0" w:color="9EADBD"/>
          <w:insideV w:val="single" w:sz="6" w:space="0" w:color="9EADBD"/>
        </w:tblBorders>
      </w:tblPr>
      <w:tblGrid>
        <w:gridCol w:w="10368"/>
      </w:tblGrid>
      <w:tr>
        <w:tc>
          <w:tcPr>
            <w:tcW w:type="dxa" w:w="10368"/>
            <w:shd w:fill="FFF2CC"/>
          </w:tcPr>
          <w:p>
            <w:pPr>
              <w:spacing w:after="60"/>
            </w:pPr>
            <w:r>
              <w:rPr>
                <w:rFonts w:ascii="Arial" w:hAnsi="Arial"/>
                <w:b/>
                <w:color w:val="1F4E79"/>
                <w:sz w:val="18"/>
              </w:rPr>
              <w:t>Conflict Rule</w:t>
            </w:r>
          </w:p>
          <w:p>
            <w:pPr>
              <w:spacing w:after="0"/>
            </w:pPr>
            <w:r>
              <w:rPr>
                <w:rFonts w:ascii="Arial" w:hAnsi="Arial"/>
                <w:sz w:val="17"/>
              </w:rPr>
              <w:t>Where GitNexus output conflicts with approved AIRA standards, repository CLAUDE.md rules, security policy, architecture decisions, tests, or human reviewer judgment, the approved AIRA control prevails. The conflict must be logged as an AVCI reconciliation item or PR review finding.</w:t>
            </w:r>
          </w:p>
        </w:tc>
      </w:tr>
    </w:tbl>
    <w:p/>
    <w:p>
      <w:pPr>
        <w:pStyle w:val="Heading1"/>
        <w:keepNext w:val="0"/>
        <w:spacing w:after="80" w:line="252" w:lineRule="auto"/>
      </w:pPr>
      <w:r>
        <w:rPr>
          <w:rFonts w:ascii="Arial" w:hAnsi="Arial"/>
          <w:b w:val="0"/>
          <w:i w:val="0"/>
        </w:rPr>
        <w:t>4. GitNexus Positioning in the AIRA Architecture</w:t>
      </w:r>
    </w:p>
    <w:p>
      <w:pPr>
        <w:keepNext w:val="0"/>
        <w:spacing w:after="80" w:line="252" w:lineRule="auto"/>
      </w:pPr>
      <w:r>
        <w:rPr>
          <w:rFonts w:ascii="Arial" w:hAnsi="Arial"/>
          <w:b w:val="0"/>
          <w:i w:val="0"/>
        </w:rPr>
        <w:t>GitNexus is positioned on the implementation side of the AIRA Information Nervous System. Obsidian, LLM Wiki, LightRAG, approved AIRA standards, ADRs, and formal source documents define what should be built. Git repositories and GitNexus help determine what has actually been implemented, what is connected to what, and what could be affected by change.</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c>
          <w:tcPr>
            <w:tcW w:type="dxa" w:w="2592"/>
            <w:shd w:fill="1F4E79"/>
            <w:vAlign w:val="center"/>
          </w:tcPr>
          <w:p>
            <w:pPr>
              <w:spacing w:after="0"/>
            </w:pPr>
            <w:r/>
            <w:r>
              <w:rPr>
                <w:rFonts w:ascii="Arial" w:hAnsi="Arial"/>
                <w:b/>
                <w:color w:val="FFFFFF"/>
                <w:sz w:val="17"/>
              </w:rPr>
              <w:t>Layer / Tool</w:t>
            </w:r>
          </w:p>
        </w:tc>
        <w:tc>
          <w:tcPr>
            <w:tcW w:type="dxa" w:w="5184"/>
            <w:shd w:fill="1F4E79"/>
            <w:vAlign w:val="center"/>
          </w:tcPr>
          <w:p>
            <w:pPr>
              <w:spacing w:after="0"/>
            </w:pPr>
            <w:r/>
            <w:r>
              <w:rPr>
                <w:rFonts w:ascii="Arial" w:hAnsi="Arial"/>
                <w:b/>
                <w:color w:val="FFFFFF"/>
                <w:sz w:val="17"/>
              </w:rPr>
              <w:t>AIRA Role</w:t>
            </w:r>
          </w:p>
        </w:tc>
        <w:tc>
          <w:tcPr>
            <w:tcW w:type="dxa" w:w="2880"/>
            <w:shd w:fill="1F4E79"/>
            <w:vAlign w:val="center"/>
          </w:tcPr>
          <w:p>
            <w:pPr>
              <w:spacing w:after="0"/>
            </w:pPr>
            <w:r/>
            <w:r>
              <w:rPr>
                <w:rFonts w:ascii="Arial" w:hAnsi="Arial"/>
                <w:b/>
                <w:color w:val="FFFFFF"/>
                <w:sz w:val="17"/>
              </w:rPr>
              <w:t>Authority Status</w:t>
            </w:r>
          </w:p>
        </w:tc>
      </w:tr>
      <w:tr>
        <w:tc>
          <w:tcPr>
            <w:tcW w:type="dxa" w:w="2592"/>
            <w:vAlign w:val="top"/>
          </w:tcPr>
          <w:p>
            <w:pPr>
              <w:spacing w:after="0"/>
            </w:pPr>
            <w:r/>
            <w:r>
              <w:rPr>
                <w:rFonts w:ascii="Arial" w:hAnsi="Arial"/>
                <w:b w:val="0"/>
                <w:sz w:val="17"/>
              </w:rPr>
              <w:t>Approved AIRA DOCX/PDF standards</w:t>
            </w:r>
          </w:p>
        </w:tc>
        <w:tc>
          <w:tcPr>
            <w:tcW w:type="dxa" w:w="5184"/>
            <w:vAlign w:val="top"/>
          </w:tcPr>
          <w:p>
            <w:pPr>
              <w:spacing w:after="0"/>
            </w:pPr>
            <w:r/>
            <w:r>
              <w:rPr>
                <w:rFonts w:ascii="Arial" w:hAnsi="Arial"/>
                <w:b w:val="0"/>
                <w:sz w:val="17"/>
              </w:rPr>
              <w:t>Formal policy, architecture, security, testing, and DevSecOps authority.</w:t>
            </w:r>
          </w:p>
        </w:tc>
        <w:tc>
          <w:tcPr>
            <w:tcW w:type="dxa" w:w="2880"/>
            <w:vAlign w:val="top"/>
          </w:tcPr>
          <w:p>
            <w:pPr>
              <w:spacing w:after="0"/>
            </w:pPr>
            <w:r/>
            <w:r>
              <w:rPr>
                <w:rFonts w:ascii="Arial" w:hAnsi="Arial"/>
                <w:b w:val="0"/>
                <w:sz w:val="17"/>
              </w:rPr>
              <w:t>Authoritative when approved.</w:t>
            </w:r>
          </w:p>
        </w:tc>
      </w:tr>
      <w:tr>
        <w:tc>
          <w:tcPr>
            <w:tcW w:type="dxa" w:w="2592"/>
            <w:vAlign w:val="top"/>
            <w:shd w:fill="F7F7F7"/>
          </w:tcPr>
          <w:p>
            <w:pPr>
              <w:spacing w:after="0"/>
            </w:pPr>
            <w:r/>
            <w:r>
              <w:rPr>
                <w:rFonts w:ascii="Arial" w:hAnsi="Arial"/>
                <w:b w:val="0"/>
                <w:sz w:val="17"/>
              </w:rPr>
              <w:t>Obsidian</w:t>
            </w:r>
          </w:p>
        </w:tc>
        <w:tc>
          <w:tcPr>
            <w:tcW w:type="dxa" w:w="5184"/>
            <w:vAlign w:val="top"/>
            <w:shd w:fill="F7F7F7"/>
          </w:tcPr>
          <w:p>
            <w:pPr>
              <w:spacing w:after="0"/>
            </w:pPr>
            <w:r/>
            <w:r>
              <w:rPr>
                <w:rFonts w:ascii="Arial" w:hAnsi="Arial"/>
                <w:b w:val="0"/>
                <w:sz w:val="17"/>
              </w:rPr>
              <w:t>Canonical working knowledge vault for approved AIRA documentation and engineering notes.</w:t>
            </w:r>
          </w:p>
        </w:tc>
        <w:tc>
          <w:tcPr>
            <w:tcW w:type="dxa" w:w="2880"/>
            <w:vAlign w:val="top"/>
            <w:shd w:fill="F7F7F7"/>
          </w:tcPr>
          <w:p>
            <w:pPr>
              <w:spacing w:after="0"/>
            </w:pPr>
            <w:r/>
            <w:r>
              <w:rPr>
                <w:rFonts w:ascii="Arial" w:hAnsi="Arial"/>
                <w:b w:val="0"/>
                <w:sz w:val="17"/>
              </w:rPr>
              <w:t>Authoritative only when synchronized to approved sources.</w:t>
            </w:r>
          </w:p>
        </w:tc>
      </w:tr>
      <w:tr>
        <w:tc>
          <w:tcPr>
            <w:tcW w:type="dxa" w:w="2592"/>
            <w:vAlign w:val="top"/>
          </w:tcPr>
          <w:p>
            <w:pPr>
              <w:spacing w:after="0"/>
            </w:pPr>
            <w:r/>
            <w:r>
              <w:rPr>
                <w:rFonts w:ascii="Arial" w:hAnsi="Arial"/>
                <w:b w:val="0"/>
                <w:sz w:val="17"/>
              </w:rPr>
              <w:t>LLM Wiki</w:t>
            </w:r>
          </w:p>
        </w:tc>
        <w:tc>
          <w:tcPr>
            <w:tcW w:type="dxa" w:w="5184"/>
            <w:vAlign w:val="top"/>
          </w:tcPr>
          <w:p>
            <w:pPr>
              <w:spacing w:after="0"/>
            </w:pPr>
            <w:r/>
            <w:r>
              <w:rPr>
                <w:rFonts w:ascii="Arial" w:hAnsi="Arial"/>
                <w:b w:val="0"/>
                <w:sz w:val="17"/>
              </w:rPr>
              <w:t>Curated retrieval layer over approved knowledge.</w:t>
            </w:r>
          </w:p>
        </w:tc>
        <w:tc>
          <w:tcPr>
            <w:tcW w:type="dxa" w:w="2880"/>
            <w:vAlign w:val="top"/>
          </w:tcPr>
          <w:p>
            <w:pPr>
              <w:spacing w:after="0"/>
            </w:pPr>
            <w:r/>
            <w:r>
              <w:rPr>
                <w:rFonts w:ascii="Arial" w:hAnsi="Arial"/>
                <w:b w:val="0"/>
                <w:sz w:val="17"/>
              </w:rPr>
              <w:t>Derivative; retrieval authority depends on provenance and freshness.</w:t>
            </w:r>
          </w:p>
        </w:tc>
      </w:tr>
      <w:tr>
        <w:tc>
          <w:tcPr>
            <w:tcW w:type="dxa" w:w="2592"/>
            <w:vAlign w:val="top"/>
            <w:shd w:fill="F7F7F7"/>
          </w:tcPr>
          <w:p>
            <w:pPr>
              <w:spacing w:after="0"/>
            </w:pPr>
            <w:r/>
            <w:r>
              <w:rPr>
                <w:rFonts w:ascii="Arial" w:hAnsi="Arial"/>
                <w:b w:val="0"/>
                <w:sz w:val="17"/>
              </w:rPr>
              <w:t>LightRAG</w:t>
            </w:r>
          </w:p>
        </w:tc>
        <w:tc>
          <w:tcPr>
            <w:tcW w:type="dxa" w:w="5184"/>
            <w:vAlign w:val="top"/>
            <w:shd w:fill="F7F7F7"/>
          </w:tcPr>
          <w:p>
            <w:pPr>
              <w:spacing w:after="0"/>
            </w:pPr>
            <w:r/>
            <w:r>
              <w:rPr>
                <w:rFonts w:ascii="Arial" w:hAnsi="Arial"/>
                <w:b w:val="0"/>
                <w:sz w:val="17"/>
              </w:rPr>
              <w:t>Graph/RAG enhancement across governed knowledge.</w:t>
            </w:r>
          </w:p>
        </w:tc>
        <w:tc>
          <w:tcPr>
            <w:tcW w:type="dxa" w:w="2880"/>
            <w:vAlign w:val="top"/>
            <w:shd w:fill="F7F7F7"/>
          </w:tcPr>
          <w:p>
            <w:pPr>
              <w:spacing w:after="0"/>
            </w:pPr>
            <w:r/>
            <w:r>
              <w:rPr>
                <w:rFonts w:ascii="Arial" w:hAnsi="Arial"/>
                <w:b w:val="0"/>
                <w:sz w:val="17"/>
              </w:rPr>
              <w:t>Derivative; not source of truth.</w:t>
            </w:r>
          </w:p>
        </w:tc>
      </w:tr>
      <w:tr>
        <w:tc>
          <w:tcPr>
            <w:tcW w:type="dxa" w:w="2592"/>
            <w:vAlign w:val="top"/>
          </w:tcPr>
          <w:p>
            <w:pPr>
              <w:spacing w:after="0"/>
            </w:pPr>
            <w:r/>
            <w:r>
              <w:rPr>
                <w:rFonts w:ascii="Arial" w:hAnsi="Arial"/>
                <w:b w:val="0"/>
                <w:sz w:val="17"/>
              </w:rPr>
              <w:t>GitHub/GitLab repository</w:t>
            </w:r>
          </w:p>
        </w:tc>
        <w:tc>
          <w:tcPr>
            <w:tcW w:type="dxa" w:w="5184"/>
            <w:vAlign w:val="top"/>
          </w:tcPr>
          <w:p>
            <w:pPr>
              <w:spacing w:after="0"/>
            </w:pPr>
            <w:r/>
            <w:r>
              <w:rPr>
                <w:rFonts w:ascii="Arial" w:hAnsi="Arial"/>
                <w:b w:val="0"/>
                <w:sz w:val="17"/>
              </w:rPr>
              <w:t>Source code, contracts, tests, configs, IaC, and evidence artifacts.</w:t>
            </w:r>
          </w:p>
        </w:tc>
        <w:tc>
          <w:tcPr>
            <w:tcW w:type="dxa" w:w="2880"/>
            <w:vAlign w:val="top"/>
          </w:tcPr>
          <w:p>
            <w:pPr>
              <w:spacing w:after="0"/>
            </w:pPr>
            <w:r/>
            <w:r>
              <w:rPr>
                <w:rFonts w:ascii="Arial" w:hAnsi="Arial"/>
                <w:b w:val="0"/>
                <w:sz w:val="17"/>
              </w:rPr>
              <w:t>Authoritative for implementation state after approved merge.</w:t>
            </w:r>
          </w:p>
        </w:tc>
      </w:tr>
      <w:tr>
        <w:tc>
          <w:tcPr>
            <w:tcW w:type="dxa" w:w="2592"/>
            <w:vAlign w:val="top"/>
            <w:shd w:fill="F7F7F7"/>
          </w:tcPr>
          <w:p>
            <w:pPr>
              <w:spacing w:after="0"/>
            </w:pPr>
            <w:r/>
            <w:r>
              <w:rPr>
                <w:rFonts w:ascii="Arial" w:hAnsi="Arial"/>
                <w:b w:val="0"/>
                <w:sz w:val="17"/>
              </w:rPr>
              <w:t>GitNexus</w:t>
            </w:r>
          </w:p>
        </w:tc>
        <w:tc>
          <w:tcPr>
            <w:tcW w:type="dxa" w:w="5184"/>
            <w:vAlign w:val="top"/>
            <w:shd w:fill="F7F7F7"/>
          </w:tcPr>
          <w:p>
            <w:pPr>
              <w:spacing w:after="0"/>
            </w:pPr>
            <w:r/>
            <w:r>
              <w:rPr>
                <w:rFonts w:ascii="Arial" w:hAnsi="Arial"/>
                <w:b w:val="0"/>
                <w:sz w:val="17"/>
              </w:rPr>
              <w:t>Code graph, dependency awareness, call-chain analysis, blast-radius evidence, affected-test discovery.</w:t>
            </w:r>
          </w:p>
        </w:tc>
        <w:tc>
          <w:tcPr>
            <w:tcW w:type="dxa" w:w="2880"/>
            <w:vAlign w:val="top"/>
            <w:shd w:fill="F7F7F7"/>
          </w:tcPr>
          <w:p>
            <w:pPr>
              <w:spacing w:after="0"/>
            </w:pPr>
            <w:r/>
            <w:r>
              <w:rPr>
                <w:rFonts w:ascii="Arial" w:hAnsi="Arial"/>
                <w:b w:val="0"/>
                <w:sz w:val="17"/>
              </w:rPr>
              <w:t>Derivative advisory evidence.</w:t>
            </w:r>
          </w:p>
        </w:tc>
      </w:tr>
      <w:tr>
        <w:tc>
          <w:tcPr>
            <w:tcW w:type="dxa" w:w="2592"/>
            <w:vAlign w:val="top"/>
          </w:tcPr>
          <w:p>
            <w:pPr>
              <w:spacing w:after="0"/>
            </w:pPr>
            <w:r/>
            <w:r>
              <w:rPr>
                <w:rFonts w:ascii="Arial" w:hAnsi="Arial"/>
                <w:b w:val="0"/>
                <w:sz w:val="17"/>
              </w:rPr>
              <w:t>Codex / Claude Code / Cursor / Windsurf</w:t>
            </w:r>
          </w:p>
        </w:tc>
        <w:tc>
          <w:tcPr>
            <w:tcW w:type="dxa" w:w="5184"/>
            <w:vAlign w:val="top"/>
          </w:tcPr>
          <w:p>
            <w:pPr>
              <w:spacing w:after="0"/>
            </w:pPr>
            <w:r/>
            <w:r>
              <w:rPr>
                <w:rFonts w:ascii="Arial" w:hAnsi="Arial"/>
                <w:b w:val="0"/>
                <w:sz w:val="17"/>
              </w:rPr>
              <w:t>AI-assisted code generation, review, and explanation under repository rules.</w:t>
            </w:r>
          </w:p>
        </w:tc>
        <w:tc>
          <w:tcPr>
            <w:tcW w:type="dxa" w:w="2880"/>
            <w:vAlign w:val="top"/>
          </w:tcPr>
          <w:p>
            <w:pPr>
              <w:spacing w:after="0"/>
            </w:pPr>
            <w:r/>
            <w:r>
              <w:rPr>
                <w:rFonts w:ascii="Arial" w:hAnsi="Arial"/>
                <w:b w:val="0"/>
                <w:sz w:val="17"/>
              </w:rPr>
              <w:t>Assistant only; humans remain accountable.</w:t>
            </w:r>
          </w:p>
        </w:tc>
      </w:tr>
    </w:tbl>
    <w:p/>
    <w:p>
      <w:pPr>
        <w:pStyle w:val="Heading2"/>
        <w:keepNext w:val="0"/>
        <w:spacing w:after="80" w:line="252" w:lineRule="auto"/>
      </w:pPr>
      <w:r>
        <w:rPr>
          <w:rFonts w:ascii="Arial" w:hAnsi="Arial"/>
          <w:b w:val="0"/>
          <w:i w:val="0"/>
        </w:rPr>
        <w:t>4.1 Classification Statement</w:t>
      </w:r>
    </w:p>
    <w:tbl>
      <w:tblPr>
        <w:tblW w:type="auto" w:w="0"/>
        <w:jc w:val="center"/>
        <w:tblLook w:firstColumn="1" w:firstRow="1" w:lastColumn="0" w:lastRow="0" w:noHBand="0" w:noVBand="1" w:val="04A0"/>
        <w:tblBorders>
          <w:top w:val="single" w:sz="6" w:space="0" w:color="9EADBD"/>
          <w:left w:val="single" w:sz="6" w:space="0" w:color="9EADBD"/>
          <w:bottom w:val="single" w:sz="6" w:space="0" w:color="9EADBD"/>
          <w:right w:val="single" w:sz="6" w:space="0" w:color="9EADBD"/>
          <w:insideH w:val="single" w:sz="6" w:space="0" w:color="9EADBD"/>
          <w:insideV w:val="single" w:sz="6" w:space="0" w:color="9EADBD"/>
        </w:tblBorders>
      </w:tblPr>
      <w:tblGrid>
        <w:gridCol w:w="10368"/>
      </w:tblGrid>
      <w:tr>
        <w:tc>
          <w:tcPr>
            <w:tcW w:type="dxa" w:w="10368"/>
            <w:shd w:fill="D9EAF7"/>
          </w:tcPr>
          <w:p>
            <w:pPr>
              <w:spacing w:after="60"/>
            </w:pPr>
            <w:r>
              <w:rPr>
                <w:rFonts w:ascii="Arial" w:hAnsi="Arial"/>
                <w:b/>
                <w:color w:val="1F4E79"/>
                <w:sz w:val="18"/>
              </w:rPr>
              <w:t>Approved Classification</w:t>
            </w:r>
          </w:p>
          <w:p>
            <w:pPr>
              <w:spacing w:after="0"/>
            </w:pPr>
            <w:r>
              <w:rPr>
                <w:rFonts w:ascii="Arial" w:hAnsi="Arial"/>
                <w:sz w:val="17"/>
              </w:rPr>
              <w:t>GitNexus shall be classified as an AIRA Code Intelligence and Impact Analysis Control. It is not an official policy source, not an official architecture source, not a security scanner replacement, and not a production runtime dependency.</w:t>
            </w:r>
          </w:p>
        </w:tc>
      </w:tr>
    </w:tbl>
    <w:p/>
    <w:p>
      <w:pPr>
        <w:pStyle w:val="Heading1"/>
        <w:keepNext w:val="0"/>
        <w:spacing w:after="80" w:line="252" w:lineRule="auto"/>
      </w:pPr>
      <w:r>
        <w:rPr>
          <w:rFonts w:ascii="Arial" w:hAnsi="Arial"/>
          <w:b w:val="0"/>
          <w:i w:val="0"/>
        </w:rPr>
        <w:t>5. Reference Architecture and Control Flow</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368"/>
      </w:tblGrid>
      <w:tr>
        <w:tc>
          <w:tcPr>
            <w:tcW w:type="dxa" w:w="10368"/>
            <w:shd w:fill="F7F7F7"/>
          </w:tcPr>
          <w:p>
            <w:pPr>
              <w:spacing w:after="0"/>
            </w:pPr>
            <w:r>
              <w:rPr>
                <w:rFonts w:ascii="Courier New" w:hAnsi="Courier New"/>
                <w:sz w:val="16"/>
              </w:rPr>
              <w:t>AIRA Governed Knowledge Layer</w:t>
            </w:r>
            <w:r>
              <w:br/>
            </w:r>
            <w:r>
              <w:rPr>
                <w:rFonts w:ascii="Courier New" w:hAnsi="Courier New"/>
                <w:sz w:val="16"/>
              </w:rPr>
              <w:t>Approved AIRA Docs -&gt; Obsidian -&gt; LLM Wiki / LightRAG</w:t>
            </w:r>
            <w:r>
              <w:br/>
            </w:r>
            <w:r>
              <w:rPr>
                <w:rFonts w:ascii="Courier New" w:hAnsi="Courier New"/>
                <w:sz w:val="16"/>
              </w:rPr>
              <w:t xml:space="preserve">      defines: principles, policies, standards, ADRs, contracts</w:t>
            </w:r>
            <w:r>
              <w:br/>
            </w:r>
            <w:r>
              <w:rPr>
                <w:rFonts w:ascii="Courier New" w:hAnsi="Courier New"/>
                <w:sz w:val="16"/>
              </w:rPr>
            </w:r>
            <w:r>
              <w:br/>
            </w:r>
            <w:r>
              <w:rPr>
                <w:rFonts w:ascii="Courier New" w:hAnsi="Courier New"/>
                <w:sz w:val="16"/>
              </w:rPr>
              <w:t>AIRA Implementation Layer</w:t>
            </w:r>
            <w:r>
              <w:br/>
            </w:r>
            <w:r>
              <w:rPr>
                <w:rFonts w:ascii="Courier New" w:hAnsi="Courier New"/>
                <w:sz w:val="16"/>
              </w:rPr>
              <w:t>GitHub/GitLab Repository -&gt; GitNexus Code Graph</w:t>
            </w:r>
            <w:r>
              <w:br/>
            </w:r>
            <w:r>
              <w:rPr>
                <w:rFonts w:ascii="Courier New" w:hAnsi="Courier New"/>
                <w:sz w:val="16"/>
              </w:rPr>
              <w:t xml:space="preserve">      exposes: dependencies, call chains, symbols, affected tests, blast radius</w:t>
            </w:r>
            <w:r>
              <w:br/>
            </w:r>
            <w:r>
              <w:rPr>
                <w:rFonts w:ascii="Courier New" w:hAnsi="Courier New"/>
                <w:sz w:val="16"/>
              </w:rPr>
            </w:r>
            <w:r>
              <w:br/>
            </w:r>
            <w:r>
              <w:rPr>
                <w:rFonts w:ascii="Courier New" w:hAnsi="Courier New"/>
                <w:sz w:val="16"/>
              </w:rPr>
              <w:t>AIRA DevSecOps Validation Layer</w:t>
            </w:r>
            <w:r>
              <w:br/>
            </w:r>
            <w:r>
              <w:rPr>
                <w:rFonts w:ascii="Courier New" w:hAnsi="Courier New"/>
                <w:sz w:val="16"/>
              </w:rPr>
              <w:t>Tests + ArchUnit + SAST/SCA/DAST + SBOM + OPA/Conftest + CI/CD</w:t>
            </w:r>
            <w:r>
              <w:br/>
            </w:r>
            <w:r>
              <w:rPr>
                <w:rFonts w:ascii="Courier New" w:hAnsi="Courier New"/>
                <w:sz w:val="16"/>
              </w:rPr>
              <w:t xml:space="preserve">      verifies: correctness, security, policy, architecture, evidence</w:t>
            </w:r>
            <w:r>
              <w:br/>
            </w:r>
            <w:r>
              <w:rPr>
                <w:rFonts w:ascii="Courier New" w:hAnsi="Courier New"/>
                <w:sz w:val="16"/>
              </w:rPr>
            </w:r>
            <w:r>
              <w:br/>
            </w:r>
            <w:r>
              <w:rPr>
                <w:rFonts w:ascii="Courier New" w:hAnsi="Courier New"/>
                <w:sz w:val="16"/>
              </w:rPr>
              <w:t>AIRA Human Governance Layer</w:t>
            </w:r>
            <w:r>
              <w:br/>
            </w:r>
            <w:r>
              <w:rPr>
                <w:rFonts w:ascii="Courier New" w:hAnsi="Courier New"/>
                <w:sz w:val="16"/>
              </w:rPr>
              <w:t>CODEOWNERS + Maker-Checker + Security/Architecture Review + CAB/ARB</w:t>
            </w:r>
            <w:r>
              <w:br/>
            </w:r>
            <w:r>
              <w:rPr>
                <w:rFonts w:ascii="Courier New" w:hAnsi="Courier New"/>
                <w:sz w:val="16"/>
              </w:rPr>
              <w:t xml:space="preserve">      approves: merge, release, waiver, production promotion</w:t>
            </w:r>
            <w:r>
              <w:br/>
            </w:r>
          </w:p>
        </w:tc>
      </w:tr>
    </w:tbl>
    <w:p/>
    <w:p>
      <w:pPr>
        <w:pStyle w:val="Heading2"/>
        <w:keepNext w:val="0"/>
        <w:spacing w:after="80" w:line="252" w:lineRule="auto"/>
      </w:pPr>
      <w:r>
        <w:rPr>
          <w:rFonts w:ascii="Arial" w:hAnsi="Arial"/>
          <w:b w:val="0"/>
          <w:i w:val="0"/>
        </w:rPr>
        <w:t>5.1 Developer-Facing Use</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368"/>
      </w:tblGrid>
      <w:tr>
        <w:tc>
          <w:tcPr>
            <w:tcW w:type="dxa" w:w="10368"/>
            <w:shd w:fill="F7F7F7"/>
          </w:tcPr>
          <w:p>
            <w:pPr>
              <w:spacing w:after="0"/>
            </w:pPr>
            <w:r>
              <w:rPr>
                <w:rFonts w:ascii="Courier New" w:hAnsi="Courier New"/>
                <w:sz w:val="16"/>
              </w:rPr>
              <w:t>Developer -&gt; IDE / CLI / Codex / Claude Code -&gt; GitNexus -&gt; Code graph context -&gt; Developer decision -&gt; PR evidence</w:t>
            </w:r>
            <w:r>
              <w:br/>
            </w:r>
          </w:p>
        </w:tc>
      </w:tr>
    </w:tbl>
    <w:p/>
    <w:p>
      <w:pPr>
        <w:pStyle w:val="Heading2"/>
        <w:keepNext w:val="0"/>
        <w:spacing w:after="80" w:line="252" w:lineRule="auto"/>
      </w:pPr>
      <w:r>
        <w:rPr>
          <w:rFonts w:ascii="Arial" w:hAnsi="Arial"/>
          <w:b w:val="0"/>
          <w:i w:val="0"/>
        </w:rPr>
        <w:t>5.2 Agent-Facing Use</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368"/>
      </w:tblGrid>
      <w:tr>
        <w:tc>
          <w:tcPr>
            <w:tcW w:type="dxa" w:w="10368"/>
            <w:shd w:fill="F7F7F7"/>
          </w:tcPr>
          <w:p>
            <w:pPr>
              <w:spacing w:after="0"/>
            </w:pPr>
            <w:r>
              <w:rPr>
                <w:rFonts w:ascii="Courier New" w:hAnsi="Courier New"/>
                <w:sz w:val="16"/>
              </w:rPr>
              <w:t>AIRA DevSecOps Agent -&gt; GitNexus CLI / MCP -&gt; Impact evidence -&gt; CI/CD gate / PR note -&gt; Human approval</w:t>
            </w:r>
            <w:r>
              <w:br/>
            </w:r>
          </w:p>
        </w:tc>
      </w:tr>
    </w:tbl>
    <w:p/>
    <w:tbl>
      <w:tblPr>
        <w:tblW w:type="auto" w:w="0"/>
        <w:jc w:val="center"/>
        <w:tblLook w:firstColumn="1" w:firstRow="1" w:lastColumn="0" w:lastRow="0" w:noHBand="0" w:noVBand="1" w:val="04A0"/>
        <w:tblBorders>
          <w:top w:val="single" w:sz="6" w:space="0" w:color="9EADBD"/>
          <w:left w:val="single" w:sz="6" w:space="0" w:color="9EADBD"/>
          <w:bottom w:val="single" w:sz="6" w:space="0" w:color="9EADBD"/>
          <w:right w:val="single" w:sz="6" w:space="0" w:color="9EADBD"/>
          <w:insideH w:val="single" w:sz="6" w:space="0" w:color="9EADBD"/>
          <w:insideV w:val="single" w:sz="6" w:space="0" w:color="9EADBD"/>
        </w:tblBorders>
      </w:tblPr>
      <w:tblGrid>
        <w:gridCol w:w="10368"/>
      </w:tblGrid>
      <w:tr>
        <w:tc>
          <w:tcPr>
            <w:tcW w:type="dxa" w:w="10368"/>
            <w:shd w:fill="FFF2CC"/>
          </w:tcPr>
          <w:p>
            <w:pPr>
              <w:spacing w:after="60"/>
            </w:pPr>
            <w:r>
              <w:rPr>
                <w:rFonts w:ascii="Arial" w:hAnsi="Arial"/>
                <w:b/>
                <w:color w:val="1F4E79"/>
                <w:sz w:val="18"/>
              </w:rPr>
              <w:t>Execution Boundary</w:t>
            </w:r>
          </w:p>
          <w:p>
            <w:pPr>
              <w:spacing w:after="0"/>
            </w:pPr>
            <w:r>
              <w:rPr>
                <w:rFonts w:ascii="Arial" w:hAnsi="Arial"/>
                <w:sz w:val="17"/>
              </w:rPr>
              <w:t>GitNexus may provide context to an agent. It must not become the executor of protected actions. For state-changing actions, AIRA follows the Hermes-reasons / Harness-executes model with SBAC, OPA, trust score, audit, and human approval.</w:t>
            </w:r>
          </w:p>
        </w:tc>
      </w:tr>
    </w:tbl>
    <w:p/>
    <w:p>
      <w:pPr>
        <w:pStyle w:val="Heading1"/>
        <w:keepNext w:val="0"/>
        <w:spacing w:after="80" w:line="252" w:lineRule="auto"/>
      </w:pPr>
      <w:r>
        <w:rPr>
          <w:rFonts w:ascii="Arial" w:hAnsi="Arial"/>
          <w:b w:val="0"/>
          <w:i w:val="0"/>
        </w:rPr>
        <w:t>6. Non-Negotiable Operating Principles</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c>
          <w:tcPr>
            <w:tcW w:type="dxa" w:w="1152"/>
            <w:shd w:fill="1F4E79"/>
            <w:vAlign w:val="center"/>
          </w:tcPr>
          <w:p>
            <w:pPr>
              <w:spacing w:after="0"/>
            </w:pPr>
            <w:r/>
            <w:r>
              <w:rPr>
                <w:rFonts w:ascii="Arial" w:hAnsi="Arial"/>
                <w:b/>
                <w:color w:val="FFFFFF"/>
                <w:sz w:val="17"/>
              </w:rPr>
              <w:t>ID</w:t>
            </w:r>
          </w:p>
        </w:tc>
        <w:tc>
          <w:tcPr>
            <w:tcW w:type="dxa" w:w="2448"/>
            <w:shd w:fill="1F4E79"/>
            <w:vAlign w:val="center"/>
          </w:tcPr>
          <w:p>
            <w:pPr>
              <w:spacing w:after="0"/>
            </w:pPr>
            <w:r/>
            <w:r>
              <w:rPr>
                <w:rFonts w:ascii="Arial" w:hAnsi="Arial"/>
                <w:b/>
                <w:color w:val="FFFFFF"/>
                <w:sz w:val="17"/>
              </w:rPr>
              <w:t>Principle</w:t>
            </w:r>
          </w:p>
        </w:tc>
        <w:tc>
          <w:tcPr>
            <w:tcW w:type="dxa" w:w="7056"/>
            <w:shd w:fill="1F4E79"/>
            <w:vAlign w:val="center"/>
          </w:tcPr>
          <w:p>
            <w:pPr>
              <w:spacing w:after="0"/>
            </w:pPr>
            <w:r/>
            <w:r>
              <w:rPr>
                <w:rFonts w:ascii="Arial" w:hAnsi="Arial"/>
                <w:b/>
                <w:color w:val="FFFFFF"/>
                <w:sz w:val="17"/>
              </w:rPr>
              <w:t>Mandatory Rule</w:t>
            </w:r>
          </w:p>
        </w:tc>
      </w:tr>
      <w:tr>
        <w:tc>
          <w:tcPr>
            <w:tcW w:type="dxa" w:w="1152"/>
            <w:vAlign w:val="top"/>
          </w:tcPr>
          <w:p>
            <w:pPr>
              <w:spacing w:after="0"/>
            </w:pPr>
            <w:r/>
            <w:r>
              <w:rPr>
                <w:rFonts w:ascii="Arial" w:hAnsi="Arial"/>
                <w:b w:val="0"/>
                <w:sz w:val="17"/>
              </w:rPr>
              <w:t>GNX-01</w:t>
            </w:r>
          </w:p>
        </w:tc>
        <w:tc>
          <w:tcPr>
            <w:tcW w:type="dxa" w:w="2448"/>
            <w:vAlign w:val="top"/>
          </w:tcPr>
          <w:p>
            <w:pPr>
              <w:spacing w:after="0"/>
            </w:pPr>
            <w:r/>
            <w:r>
              <w:rPr>
                <w:rFonts w:ascii="Arial" w:hAnsi="Arial"/>
                <w:b w:val="0"/>
                <w:sz w:val="17"/>
              </w:rPr>
              <w:t>Derivative, not authoritative</w:t>
            </w:r>
          </w:p>
        </w:tc>
        <w:tc>
          <w:tcPr>
            <w:tcW w:type="dxa" w:w="7056"/>
            <w:vAlign w:val="top"/>
          </w:tcPr>
          <w:p>
            <w:pPr>
              <w:spacing w:after="0"/>
            </w:pPr>
            <w:r/>
            <w:r>
              <w:rPr>
                <w:rFonts w:ascii="Arial" w:hAnsi="Arial"/>
                <w:b w:val="0"/>
                <w:sz w:val="17"/>
              </w:rPr>
              <w:t>GitNexus output is evidence support only. Approved AIRA standards, source code, tests, CI/CD, policy decisions, and human approvals remain authoritative.</w:t>
            </w:r>
          </w:p>
        </w:tc>
      </w:tr>
      <w:tr>
        <w:tc>
          <w:tcPr>
            <w:tcW w:type="dxa" w:w="1152"/>
            <w:vAlign w:val="top"/>
            <w:shd w:fill="F7F7F7"/>
          </w:tcPr>
          <w:p>
            <w:pPr>
              <w:spacing w:after="0"/>
            </w:pPr>
            <w:r/>
            <w:r>
              <w:rPr>
                <w:rFonts w:ascii="Arial" w:hAnsi="Arial"/>
                <w:b w:val="0"/>
                <w:sz w:val="17"/>
              </w:rPr>
              <w:t>GNX-02</w:t>
            </w:r>
          </w:p>
        </w:tc>
        <w:tc>
          <w:tcPr>
            <w:tcW w:type="dxa" w:w="2448"/>
            <w:vAlign w:val="top"/>
            <w:shd w:fill="F7F7F7"/>
          </w:tcPr>
          <w:p>
            <w:pPr>
              <w:spacing w:after="0"/>
            </w:pPr>
            <w:r/>
            <w:r>
              <w:rPr>
                <w:rFonts w:ascii="Arial" w:hAnsi="Arial"/>
                <w:b w:val="0"/>
                <w:sz w:val="17"/>
              </w:rPr>
              <w:t>Local-first and controlled hosting</w:t>
            </w:r>
          </w:p>
        </w:tc>
        <w:tc>
          <w:tcPr>
            <w:tcW w:type="dxa" w:w="7056"/>
            <w:vAlign w:val="top"/>
            <w:shd w:fill="F7F7F7"/>
          </w:tcPr>
          <w:p>
            <w:pPr>
              <w:spacing w:after="0"/>
            </w:pPr>
            <w:r/>
            <w:r>
              <w:rPr>
                <w:rFonts w:ascii="Arial" w:hAnsi="Arial"/>
                <w:b w:val="0"/>
                <w:sz w:val="17"/>
              </w:rPr>
              <w:t>Use local CLI mode for AIRA repositories by default. Hosted/public web use is prohibited for Confidential or Restricted code unless formally approved.</w:t>
            </w:r>
          </w:p>
        </w:tc>
      </w:tr>
      <w:tr>
        <w:tc>
          <w:tcPr>
            <w:tcW w:type="dxa" w:w="1152"/>
            <w:vAlign w:val="top"/>
          </w:tcPr>
          <w:p>
            <w:pPr>
              <w:spacing w:after="0"/>
            </w:pPr>
            <w:r/>
            <w:r>
              <w:rPr>
                <w:rFonts w:ascii="Arial" w:hAnsi="Arial"/>
                <w:b w:val="0"/>
                <w:sz w:val="17"/>
              </w:rPr>
              <w:t>GNX-03</w:t>
            </w:r>
          </w:p>
        </w:tc>
        <w:tc>
          <w:tcPr>
            <w:tcW w:type="dxa" w:w="2448"/>
            <w:vAlign w:val="top"/>
          </w:tcPr>
          <w:p>
            <w:pPr>
              <w:spacing w:after="0"/>
            </w:pPr>
            <w:r/>
            <w:r>
              <w:rPr>
                <w:rFonts w:ascii="Arial" w:hAnsi="Arial"/>
                <w:b w:val="0"/>
                <w:sz w:val="17"/>
              </w:rPr>
              <w:t>No sensitive source upload</w:t>
            </w:r>
          </w:p>
        </w:tc>
        <w:tc>
          <w:tcPr>
            <w:tcW w:type="dxa" w:w="7056"/>
            <w:vAlign w:val="top"/>
          </w:tcPr>
          <w:p>
            <w:pPr>
              <w:spacing w:after="0"/>
            </w:pPr>
            <w:r/>
            <w:r>
              <w:rPr>
                <w:rFonts w:ascii="Arial" w:hAnsi="Arial"/>
                <w:b w:val="0"/>
                <w:sz w:val="17"/>
              </w:rPr>
              <w:t>Proprietary code, secrets, customer data, production logs, or restricted artifacts must not be uploaded to unmanaged public services.</w:t>
            </w:r>
          </w:p>
        </w:tc>
      </w:tr>
      <w:tr>
        <w:tc>
          <w:tcPr>
            <w:tcW w:type="dxa" w:w="1152"/>
            <w:vAlign w:val="top"/>
            <w:shd w:fill="F7F7F7"/>
          </w:tcPr>
          <w:p>
            <w:pPr>
              <w:spacing w:after="0"/>
            </w:pPr>
            <w:r/>
            <w:r>
              <w:rPr>
                <w:rFonts w:ascii="Arial" w:hAnsi="Arial"/>
                <w:b w:val="0"/>
                <w:sz w:val="17"/>
              </w:rPr>
              <w:t>GNX-04</w:t>
            </w:r>
          </w:p>
        </w:tc>
        <w:tc>
          <w:tcPr>
            <w:tcW w:type="dxa" w:w="2448"/>
            <w:vAlign w:val="top"/>
            <w:shd w:fill="F7F7F7"/>
          </w:tcPr>
          <w:p>
            <w:pPr>
              <w:spacing w:after="0"/>
            </w:pPr>
            <w:r/>
            <w:r>
              <w:rPr>
                <w:rFonts w:ascii="Arial" w:hAnsi="Arial"/>
                <w:b w:val="0"/>
                <w:sz w:val="17"/>
              </w:rPr>
              <w:t>Version pinning</w:t>
            </w:r>
          </w:p>
        </w:tc>
        <w:tc>
          <w:tcPr>
            <w:tcW w:type="dxa" w:w="7056"/>
            <w:vAlign w:val="top"/>
            <w:shd w:fill="F7F7F7"/>
          </w:tcPr>
          <w:p>
            <w:pPr>
              <w:spacing w:after="0"/>
            </w:pPr>
            <w:r/>
            <w:r>
              <w:rPr>
                <w:rFonts w:ascii="Arial" w:hAnsi="Arial"/>
                <w:b w:val="0"/>
                <w:sz w:val="17"/>
              </w:rPr>
              <w:t>The approved GitNexus version must be pinned in Golden Source, devcontainer, and CI configuration. Avoid unpinned @latest in controlled environments.</w:t>
            </w:r>
          </w:p>
        </w:tc>
      </w:tr>
      <w:tr>
        <w:tc>
          <w:tcPr>
            <w:tcW w:type="dxa" w:w="1152"/>
            <w:vAlign w:val="top"/>
          </w:tcPr>
          <w:p>
            <w:pPr>
              <w:spacing w:after="0"/>
            </w:pPr>
            <w:r/>
            <w:r>
              <w:rPr>
                <w:rFonts w:ascii="Arial" w:hAnsi="Arial"/>
                <w:b w:val="0"/>
                <w:sz w:val="17"/>
              </w:rPr>
              <w:t>GNX-05</w:t>
            </w:r>
          </w:p>
        </w:tc>
        <w:tc>
          <w:tcPr>
            <w:tcW w:type="dxa" w:w="2448"/>
            <w:vAlign w:val="top"/>
          </w:tcPr>
          <w:p>
            <w:pPr>
              <w:spacing w:after="0"/>
            </w:pPr>
            <w:r/>
            <w:r>
              <w:rPr>
                <w:rFonts w:ascii="Arial" w:hAnsi="Arial"/>
                <w:b w:val="0"/>
                <w:sz w:val="17"/>
              </w:rPr>
              <w:t>Index freshness</w:t>
            </w:r>
          </w:p>
        </w:tc>
        <w:tc>
          <w:tcPr>
            <w:tcW w:type="dxa" w:w="7056"/>
            <w:vAlign w:val="top"/>
          </w:tcPr>
          <w:p>
            <w:pPr>
              <w:spacing w:after="0"/>
            </w:pPr>
            <w:r/>
            <w:r>
              <w:rPr>
                <w:rFonts w:ascii="Arial" w:hAnsi="Arial"/>
                <w:b w:val="0"/>
                <w:sz w:val="17"/>
              </w:rPr>
              <w:t>Re-index before major PR review, release readiness, refactoring, or agent-assisted remediation. Stale indexes are a defect.</w:t>
            </w:r>
          </w:p>
        </w:tc>
      </w:tr>
      <w:tr>
        <w:tc>
          <w:tcPr>
            <w:tcW w:type="dxa" w:w="1152"/>
            <w:vAlign w:val="top"/>
            <w:shd w:fill="F7F7F7"/>
          </w:tcPr>
          <w:p>
            <w:pPr>
              <w:spacing w:after="0"/>
            </w:pPr>
            <w:r/>
            <w:r>
              <w:rPr>
                <w:rFonts w:ascii="Arial" w:hAnsi="Arial"/>
                <w:b w:val="0"/>
                <w:sz w:val="17"/>
              </w:rPr>
              <w:t>GNX-06</w:t>
            </w:r>
          </w:p>
        </w:tc>
        <w:tc>
          <w:tcPr>
            <w:tcW w:type="dxa" w:w="2448"/>
            <w:vAlign w:val="top"/>
            <w:shd w:fill="F7F7F7"/>
          </w:tcPr>
          <w:p>
            <w:pPr>
              <w:spacing w:after="0"/>
            </w:pPr>
            <w:r/>
            <w:r>
              <w:rPr>
                <w:rFonts w:ascii="Arial" w:hAnsi="Arial"/>
                <w:b w:val="0"/>
                <w:sz w:val="17"/>
              </w:rPr>
              <w:t>Generated file control</w:t>
            </w:r>
          </w:p>
        </w:tc>
        <w:tc>
          <w:tcPr>
            <w:tcW w:type="dxa" w:w="7056"/>
            <w:vAlign w:val="top"/>
            <w:shd w:fill="F7F7F7"/>
          </w:tcPr>
          <w:p>
            <w:pPr>
              <w:spacing w:after="0"/>
            </w:pPr>
            <w:r/>
            <w:r>
              <w:rPr>
                <w:rFonts w:ascii="Arial" w:hAnsi="Arial"/>
                <w:b w:val="0"/>
                <w:sz w:val="17"/>
              </w:rPr>
              <w:t>AGENTS.md, CLAUDE.md, hooks, and generated files must not be accepted automatically. AIRA canonical templates and stricter parent rules prevail.</w:t>
            </w:r>
          </w:p>
        </w:tc>
      </w:tr>
      <w:tr>
        <w:tc>
          <w:tcPr>
            <w:tcW w:type="dxa" w:w="1152"/>
            <w:vAlign w:val="top"/>
          </w:tcPr>
          <w:p>
            <w:pPr>
              <w:spacing w:after="0"/>
            </w:pPr>
            <w:r/>
            <w:r>
              <w:rPr>
                <w:rFonts w:ascii="Arial" w:hAnsi="Arial"/>
                <w:b w:val="0"/>
                <w:sz w:val="17"/>
              </w:rPr>
              <w:t>GNX-07</w:t>
            </w:r>
          </w:p>
        </w:tc>
        <w:tc>
          <w:tcPr>
            <w:tcW w:type="dxa" w:w="2448"/>
            <w:vAlign w:val="top"/>
          </w:tcPr>
          <w:p>
            <w:pPr>
              <w:spacing w:after="0"/>
            </w:pPr>
            <w:r/>
            <w:r>
              <w:rPr>
                <w:rFonts w:ascii="Arial" w:hAnsi="Arial"/>
                <w:b w:val="0"/>
                <w:sz w:val="17"/>
              </w:rPr>
              <w:t>No direct production action</w:t>
            </w:r>
          </w:p>
        </w:tc>
        <w:tc>
          <w:tcPr>
            <w:tcW w:type="dxa" w:w="7056"/>
            <w:vAlign w:val="top"/>
          </w:tcPr>
          <w:p>
            <w:pPr>
              <w:spacing w:after="0"/>
            </w:pPr>
            <w:r/>
            <w:r>
              <w:rPr>
                <w:rFonts w:ascii="Arial" w:hAnsi="Arial"/>
                <w:b w:val="0"/>
                <w:sz w:val="17"/>
              </w:rPr>
              <w:t>GitNexus must not directly mutate source control main branches, CI/CD, production systems, secrets, databases, or Kubernetes resources.</w:t>
            </w:r>
          </w:p>
        </w:tc>
      </w:tr>
      <w:tr>
        <w:tc>
          <w:tcPr>
            <w:tcW w:type="dxa" w:w="1152"/>
            <w:vAlign w:val="top"/>
            <w:shd w:fill="F7F7F7"/>
          </w:tcPr>
          <w:p>
            <w:pPr>
              <w:spacing w:after="0"/>
            </w:pPr>
            <w:r/>
            <w:r>
              <w:rPr>
                <w:rFonts w:ascii="Arial" w:hAnsi="Arial"/>
                <w:b w:val="0"/>
                <w:sz w:val="17"/>
              </w:rPr>
              <w:t>GNX-08</w:t>
            </w:r>
          </w:p>
        </w:tc>
        <w:tc>
          <w:tcPr>
            <w:tcW w:type="dxa" w:w="2448"/>
            <w:vAlign w:val="top"/>
            <w:shd w:fill="F7F7F7"/>
          </w:tcPr>
          <w:p>
            <w:pPr>
              <w:spacing w:after="0"/>
            </w:pPr>
            <w:r/>
            <w:r>
              <w:rPr>
                <w:rFonts w:ascii="Arial" w:hAnsi="Arial"/>
                <w:b w:val="0"/>
                <w:sz w:val="17"/>
              </w:rPr>
              <w:t>Security scanner complement</w:t>
            </w:r>
          </w:p>
        </w:tc>
        <w:tc>
          <w:tcPr>
            <w:tcW w:type="dxa" w:w="7056"/>
            <w:vAlign w:val="top"/>
            <w:shd w:fill="F7F7F7"/>
          </w:tcPr>
          <w:p>
            <w:pPr>
              <w:spacing w:after="0"/>
            </w:pPr>
            <w:r/>
            <w:r>
              <w:rPr>
                <w:rFonts w:ascii="Arial" w:hAnsi="Arial"/>
                <w:b w:val="0"/>
                <w:sz w:val="17"/>
              </w:rPr>
              <w:t>GitNexus complements but does not replace SonarQube, Semgrep, Trivy, ZAP, secret scanning, SCA, OPA, unit tests, contract tests, or human review.</w:t>
            </w:r>
          </w:p>
        </w:tc>
      </w:tr>
      <w:tr>
        <w:tc>
          <w:tcPr>
            <w:tcW w:type="dxa" w:w="1152"/>
            <w:vAlign w:val="top"/>
          </w:tcPr>
          <w:p>
            <w:pPr>
              <w:spacing w:after="0"/>
            </w:pPr>
            <w:r/>
            <w:r>
              <w:rPr>
                <w:rFonts w:ascii="Arial" w:hAnsi="Arial"/>
                <w:b w:val="0"/>
                <w:sz w:val="17"/>
              </w:rPr>
              <w:t>GNX-09</w:t>
            </w:r>
          </w:p>
        </w:tc>
        <w:tc>
          <w:tcPr>
            <w:tcW w:type="dxa" w:w="2448"/>
            <w:vAlign w:val="top"/>
          </w:tcPr>
          <w:p>
            <w:pPr>
              <w:spacing w:after="0"/>
            </w:pPr>
            <w:r/>
            <w:r>
              <w:rPr>
                <w:rFonts w:ascii="Arial" w:hAnsi="Arial"/>
                <w:b w:val="0"/>
                <w:sz w:val="17"/>
              </w:rPr>
              <w:t>Evidence by construction</w:t>
            </w:r>
          </w:p>
        </w:tc>
        <w:tc>
          <w:tcPr>
            <w:tcW w:type="dxa" w:w="7056"/>
            <w:vAlign w:val="top"/>
          </w:tcPr>
          <w:p>
            <w:pPr>
              <w:spacing w:after="0"/>
            </w:pPr>
            <w:r/>
            <w:r>
              <w:rPr>
                <w:rFonts w:ascii="Arial" w:hAnsi="Arial"/>
                <w:b w:val="0"/>
                <w:sz w:val="17"/>
              </w:rPr>
              <w:t>All material GitNexus use in PR/release/auto-heal contexts must produce an evidence record: repo, commit, index version, query, result, reviewer, and decision.</w:t>
            </w:r>
          </w:p>
        </w:tc>
      </w:tr>
      <w:tr>
        <w:tc>
          <w:tcPr>
            <w:tcW w:type="dxa" w:w="1152"/>
            <w:vAlign w:val="top"/>
            <w:shd w:fill="F7F7F7"/>
          </w:tcPr>
          <w:p>
            <w:pPr>
              <w:spacing w:after="0"/>
            </w:pPr>
            <w:r/>
            <w:r>
              <w:rPr>
                <w:rFonts w:ascii="Arial" w:hAnsi="Arial"/>
                <w:b w:val="0"/>
                <w:sz w:val="17"/>
              </w:rPr>
              <w:t>GNX-10</w:t>
            </w:r>
          </w:p>
        </w:tc>
        <w:tc>
          <w:tcPr>
            <w:tcW w:type="dxa" w:w="2448"/>
            <w:vAlign w:val="top"/>
            <w:shd w:fill="F7F7F7"/>
          </w:tcPr>
          <w:p>
            <w:pPr>
              <w:spacing w:after="0"/>
            </w:pPr>
            <w:r/>
            <w:r>
              <w:rPr>
                <w:rFonts w:ascii="Arial" w:hAnsi="Arial"/>
                <w:b w:val="0"/>
                <w:sz w:val="17"/>
              </w:rPr>
              <w:t>Fail-safe behavior</w:t>
            </w:r>
          </w:p>
        </w:tc>
        <w:tc>
          <w:tcPr>
            <w:tcW w:type="dxa" w:w="7056"/>
            <w:vAlign w:val="top"/>
            <w:shd w:fill="F7F7F7"/>
          </w:tcPr>
          <w:p>
            <w:pPr>
              <w:spacing w:after="0"/>
            </w:pPr>
            <w:r/>
            <w:r>
              <w:rPr>
                <w:rFonts w:ascii="Arial" w:hAnsi="Arial"/>
                <w:b w:val="0"/>
                <w:sz w:val="17"/>
              </w:rPr>
              <w:t>If GitNexus, MCP, index, or report generation fails, protected merge or production promotion must not rely on missing evidence.</w:t>
            </w:r>
          </w:p>
        </w:tc>
      </w:tr>
    </w:tbl>
    <w:p/>
    <w:p>
      <w:pPr>
        <w:pStyle w:val="Heading1"/>
        <w:keepNext w:val="0"/>
        <w:spacing w:after="80" w:line="252" w:lineRule="auto"/>
      </w:pPr>
      <w:r>
        <w:rPr>
          <w:rFonts w:ascii="Arial" w:hAnsi="Arial"/>
          <w:b w:val="0"/>
          <w:i w:val="0"/>
        </w:rPr>
        <w:t>7. Approved Use Cases and Prohibited Uses</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c>
          <w:tcPr>
            <w:tcW w:type="dxa" w:w="2160"/>
            <w:shd w:fill="1F4E79"/>
            <w:vAlign w:val="center"/>
          </w:tcPr>
          <w:p>
            <w:pPr>
              <w:spacing w:after="0"/>
            </w:pPr>
            <w:r/>
            <w:r>
              <w:rPr>
                <w:rFonts w:ascii="Arial" w:hAnsi="Arial"/>
                <w:b/>
                <w:color w:val="FFFFFF"/>
                <w:sz w:val="17"/>
              </w:rPr>
              <w:t>Use Case</w:t>
            </w:r>
          </w:p>
        </w:tc>
        <w:tc>
          <w:tcPr>
            <w:tcW w:type="dxa" w:w="5184"/>
            <w:shd w:fill="1F4E79"/>
            <w:vAlign w:val="center"/>
          </w:tcPr>
          <w:p>
            <w:pPr>
              <w:spacing w:after="0"/>
            </w:pPr>
            <w:r/>
            <w:r>
              <w:rPr>
                <w:rFonts w:ascii="Arial" w:hAnsi="Arial"/>
                <w:b/>
                <w:color w:val="FFFFFF"/>
                <w:sz w:val="17"/>
              </w:rPr>
              <w:t>Approved Use</w:t>
            </w:r>
          </w:p>
        </w:tc>
        <w:tc>
          <w:tcPr>
            <w:tcW w:type="dxa" w:w="3311"/>
            <w:shd w:fill="1F4E79"/>
            <w:vAlign w:val="center"/>
          </w:tcPr>
          <w:p>
            <w:pPr>
              <w:spacing w:after="0"/>
            </w:pPr>
            <w:r/>
            <w:r>
              <w:rPr>
                <w:rFonts w:ascii="Arial" w:hAnsi="Arial"/>
                <w:b/>
                <w:color w:val="FFFFFF"/>
                <w:sz w:val="17"/>
              </w:rPr>
              <w:t>Required Gate</w:t>
            </w:r>
          </w:p>
        </w:tc>
      </w:tr>
      <w:tr>
        <w:tc>
          <w:tcPr>
            <w:tcW w:type="dxa" w:w="2160"/>
            <w:vAlign w:val="top"/>
          </w:tcPr>
          <w:p>
            <w:pPr>
              <w:spacing w:after="0"/>
            </w:pPr>
            <w:r/>
            <w:r>
              <w:rPr>
                <w:rFonts w:ascii="Arial" w:hAnsi="Arial"/>
                <w:b w:val="0"/>
                <w:sz w:val="17"/>
              </w:rPr>
              <w:t>Developer onboarding</w:t>
            </w:r>
          </w:p>
        </w:tc>
        <w:tc>
          <w:tcPr>
            <w:tcW w:type="dxa" w:w="5184"/>
            <w:vAlign w:val="top"/>
          </w:tcPr>
          <w:p>
            <w:pPr>
              <w:spacing w:after="0"/>
            </w:pPr>
            <w:r/>
            <w:r>
              <w:rPr>
                <w:rFonts w:ascii="Arial" w:hAnsi="Arial"/>
                <w:b w:val="0"/>
                <w:sz w:val="17"/>
              </w:rPr>
              <w:t>Explore service structure, modules, dependencies, and call chains.</w:t>
            </w:r>
          </w:p>
        </w:tc>
        <w:tc>
          <w:tcPr>
            <w:tcW w:type="dxa" w:w="3311"/>
            <w:vAlign w:val="top"/>
          </w:tcPr>
          <w:p>
            <w:pPr>
              <w:spacing w:after="0"/>
            </w:pPr>
            <w:r/>
            <w:r>
              <w:rPr>
                <w:rFonts w:ascii="Arial" w:hAnsi="Arial"/>
                <w:b w:val="0"/>
                <w:sz w:val="17"/>
              </w:rPr>
              <w:t>Repository access, onboarding acknowledgement, classification rule awareness.</w:t>
            </w:r>
          </w:p>
        </w:tc>
      </w:tr>
      <w:tr>
        <w:tc>
          <w:tcPr>
            <w:tcW w:type="dxa" w:w="2160"/>
            <w:vAlign w:val="top"/>
            <w:shd w:fill="F7F7F7"/>
          </w:tcPr>
          <w:p>
            <w:pPr>
              <w:spacing w:after="0"/>
            </w:pPr>
            <w:r/>
            <w:r>
              <w:rPr>
                <w:rFonts w:ascii="Arial" w:hAnsi="Arial"/>
                <w:b w:val="0"/>
                <w:sz w:val="17"/>
              </w:rPr>
              <w:t>AI-assisted coding</w:t>
            </w:r>
          </w:p>
        </w:tc>
        <w:tc>
          <w:tcPr>
            <w:tcW w:type="dxa" w:w="5184"/>
            <w:vAlign w:val="top"/>
            <w:shd w:fill="F7F7F7"/>
          </w:tcPr>
          <w:p>
            <w:pPr>
              <w:spacing w:after="0"/>
            </w:pPr>
            <w:r/>
            <w:r>
              <w:rPr>
                <w:rFonts w:ascii="Arial" w:hAnsi="Arial"/>
                <w:b w:val="0"/>
                <w:sz w:val="17"/>
              </w:rPr>
              <w:t>Provide structural context to Codex, Claude Code, Cursor, Windsurf, or equivalent approved tools.</w:t>
            </w:r>
          </w:p>
        </w:tc>
        <w:tc>
          <w:tcPr>
            <w:tcW w:type="dxa" w:w="3311"/>
            <w:vAlign w:val="top"/>
            <w:shd w:fill="F7F7F7"/>
          </w:tcPr>
          <w:p>
            <w:pPr>
              <w:spacing w:after="0"/>
            </w:pPr>
            <w:r/>
            <w:r>
              <w:rPr>
                <w:rFonts w:ascii="Arial" w:hAnsi="Arial"/>
                <w:b w:val="0"/>
                <w:sz w:val="17"/>
              </w:rPr>
              <w:t>CLAUDE.md rules, AI usage declaration, no direct provider or tool bypass.</w:t>
            </w:r>
          </w:p>
        </w:tc>
      </w:tr>
      <w:tr>
        <w:tc>
          <w:tcPr>
            <w:tcW w:type="dxa" w:w="2160"/>
            <w:vAlign w:val="top"/>
          </w:tcPr>
          <w:p>
            <w:pPr>
              <w:spacing w:after="0"/>
            </w:pPr>
            <w:r/>
            <w:r>
              <w:rPr>
                <w:rFonts w:ascii="Arial" w:hAnsi="Arial"/>
                <w:b w:val="0"/>
                <w:sz w:val="17"/>
              </w:rPr>
              <w:t>Pull request review</w:t>
            </w:r>
          </w:p>
        </w:tc>
        <w:tc>
          <w:tcPr>
            <w:tcW w:type="dxa" w:w="5184"/>
            <w:vAlign w:val="top"/>
          </w:tcPr>
          <w:p>
            <w:pPr>
              <w:spacing w:after="0"/>
            </w:pPr>
            <w:r/>
            <w:r>
              <w:rPr>
                <w:rFonts w:ascii="Arial" w:hAnsi="Arial"/>
                <w:b w:val="0"/>
                <w:sz w:val="17"/>
              </w:rPr>
              <w:t>Generate blast-radius, dependency, and affected-test reports.</w:t>
            </w:r>
          </w:p>
        </w:tc>
        <w:tc>
          <w:tcPr>
            <w:tcW w:type="dxa" w:w="3311"/>
            <w:vAlign w:val="top"/>
          </w:tcPr>
          <w:p>
            <w:pPr>
              <w:spacing w:after="0"/>
            </w:pPr>
            <w:r/>
            <w:r>
              <w:rPr>
                <w:rFonts w:ascii="Arial" w:hAnsi="Arial"/>
                <w:b w:val="0"/>
                <w:sz w:val="17"/>
              </w:rPr>
              <w:t>PR template, CI evidence, CODEOWNERS review, human checker.</w:t>
            </w:r>
          </w:p>
        </w:tc>
      </w:tr>
      <w:tr>
        <w:tc>
          <w:tcPr>
            <w:tcW w:type="dxa" w:w="2160"/>
            <w:vAlign w:val="top"/>
            <w:shd w:fill="F7F7F7"/>
          </w:tcPr>
          <w:p>
            <w:pPr>
              <w:spacing w:after="0"/>
            </w:pPr>
            <w:r/>
            <w:r>
              <w:rPr>
                <w:rFonts w:ascii="Arial" w:hAnsi="Arial"/>
                <w:b w:val="0"/>
                <w:sz w:val="17"/>
              </w:rPr>
              <w:t>Refactoring</w:t>
            </w:r>
          </w:p>
        </w:tc>
        <w:tc>
          <w:tcPr>
            <w:tcW w:type="dxa" w:w="5184"/>
            <w:vAlign w:val="top"/>
            <w:shd w:fill="F7F7F7"/>
          </w:tcPr>
          <w:p>
            <w:pPr>
              <w:spacing w:after="0"/>
            </w:pPr>
            <w:r/>
            <w:r>
              <w:rPr>
                <w:rFonts w:ascii="Arial" w:hAnsi="Arial"/>
                <w:b w:val="0"/>
                <w:sz w:val="17"/>
              </w:rPr>
              <w:t>Identify callers, adapters, tests, contracts, and downstream impact before change.</w:t>
            </w:r>
          </w:p>
        </w:tc>
        <w:tc>
          <w:tcPr>
            <w:tcW w:type="dxa" w:w="3311"/>
            <w:vAlign w:val="top"/>
            <w:shd w:fill="F7F7F7"/>
          </w:tcPr>
          <w:p>
            <w:pPr>
              <w:spacing w:after="0"/>
            </w:pPr>
            <w:r/>
            <w:r>
              <w:rPr>
                <w:rFonts w:ascii="Arial" w:hAnsi="Arial"/>
                <w:b w:val="0"/>
                <w:sz w:val="17"/>
              </w:rPr>
              <w:t>ADR/TDL if material; architecture review for boundary changes.</w:t>
            </w:r>
          </w:p>
        </w:tc>
      </w:tr>
      <w:tr>
        <w:tc>
          <w:tcPr>
            <w:tcW w:type="dxa" w:w="2160"/>
            <w:vAlign w:val="top"/>
          </w:tcPr>
          <w:p>
            <w:pPr>
              <w:spacing w:after="0"/>
            </w:pPr>
            <w:r/>
            <w:r>
              <w:rPr>
                <w:rFonts w:ascii="Arial" w:hAnsi="Arial"/>
                <w:b w:val="0"/>
                <w:sz w:val="17"/>
              </w:rPr>
              <w:t>Auto-Heal</w:t>
            </w:r>
          </w:p>
        </w:tc>
        <w:tc>
          <w:tcPr>
            <w:tcW w:type="dxa" w:w="5184"/>
            <w:vAlign w:val="top"/>
          </w:tcPr>
          <w:p>
            <w:pPr>
              <w:spacing w:after="0"/>
            </w:pPr>
            <w:r/>
            <w:r>
              <w:rPr>
                <w:rFonts w:ascii="Arial" w:hAnsi="Arial"/>
                <w:b w:val="0"/>
                <w:sz w:val="17"/>
              </w:rPr>
              <w:t>Analyze probable impacted code and propose patch scope.</w:t>
            </w:r>
          </w:p>
        </w:tc>
        <w:tc>
          <w:tcPr>
            <w:tcW w:type="dxa" w:w="3311"/>
            <w:vAlign w:val="top"/>
          </w:tcPr>
          <w:p>
            <w:pPr>
              <w:spacing w:after="0"/>
            </w:pPr>
            <w:r/>
            <w:r>
              <w:rPr>
                <w:rFonts w:ascii="Arial" w:hAnsi="Arial"/>
                <w:b w:val="0"/>
                <w:sz w:val="17"/>
              </w:rPr>
              <w:t>Agent cannot push to main; PR, tests, scans, OPA, human approval required.</w:t>
            </w:r>
          </w:p>
        </w:tc>
      </w:tr>
      <w:tr>
        <w:tc>
          <w:tcPr>
            <w:tcW w:type="dxa" w:w="2160"/>
            <w:vAlign w:val="top"/>
            <w:shd w:fill="F7F7F7"/>
          </w:tcPr>
          <w:p>
            <w:pPr>
              <w:spacing w:after="0"/>
            </w:pPr>
            <w:r/>
            <w:r>
              <w:rPr>
                <w:rFonts w:ascii="Arial" w:hAnsi="Arial"/>
                <w:b w:val="0"/>
                <w:sz w:val="17"/>
              </w:rPr>
              <w:t>Auto-Learn</w:t>
            </w:r>
          </w:p>
        </w:tc>
        <w:tc>
          <w:tcPr>
            <w:tcW w:type="dxa" w:w="5184"/>
            <w:vAlign w:val="top"/>
            <w:shd w:fill="F7F7F7"/>
          </w:tcPr>
          <w:p>
            <w:pPr>
              <w:spacing w:after="0"/>
            </w:pPr>
            <w:r/>
            <w:r>
              <w:rPr>
                <w:rFonts w:ascii="Arial" w:hAnsi="Arial"/>
                <w:b w:val="0"/>
                <w:sz w:val="17"/>
              </w:rPr>
              <w:t>Detect recurring failure patterns or architecture drift candidates.</w:t>
            </w:r>
          </w:p>
        </w:tc>
        <w:tc>
          <w:tcPr>
            <w:tcW w:type="dxa" w:w="3311"/>
            <w:vAlign w:val="top"/>
            <w:shd w:fill="F7F7F7"/>
          </w:tcPr>
          <w:p>
            <w:pPr>
              <w:spacing w:after="0"/>
            </w:pPr>
            <w:r/>
            <w:r>
              <w:rPr>
                <w:rFonts w:ascii="Arial" w:hAnsi="Arial"/>
                <w:b w:val="0"/>
                <w:sz w:val="17"/>
              </w:rPr>
              <w:t>Human-reviewed knowledge promotion and citation before LLM Wiki eligibility.</w:t>
            </w:r>
          </w:p>
        </w:tc>
      </w:tr>
      <w:tr>
        <w:tc>
          <w:tcPr>
            <w:tcW w:type="dxa" w:w="2160"/>
            <w:vAlign w:val="top"/>
          </w:tcPr>
          <w:p>
            <w:pPr>
              <w:spacing w:after="0"/>
            </w:pPr>
            <w:r/>
            <w:r>
              <w:rPr>
                <w:rFonts w:ascii="Arial" w:hAnsi="Arial"/>
                <w:b w:val="0"/>
                <w:sz w:val="17"/>
              </w:rPr>
              <w:t>Auto-Improve</w:t>
            </w:r>
          </w:p>
        </w:tc>
        <w:tc>
          <w:tcPr>
            <w:tcW w:type="dxa" w:w="5184"/>
            <w:vAlign w:val="top"/>
          </w:tcPr>
          <w:p>
            <w:pPr>
              <w:spacing w:after="0"/>
            </w:pPr>
            <w:r/>
            <w:r>
              <w:rPr>
                <w:rFonts w:ascii="Arial" w:hAnsi="Arial"/>
                <w:b w:val="0"/>
                <w:sz w:val="17"/>
              </w:rPr>
              <w:t>Recommend refactoring, missing tests, modularization, or architecture fitness improvements.</w:t>
            </w:r>
          </w:p>
        </w:tc>
        <w:tc>
          <w:tcPr>
            <w:tcW w:type="dxa" w:w="3311"/>
            <w:vAlign w:val="top"/>
          </w:tcPr>
          <w:p>
            <w:pPr>
              <w:spacing w:after="0"/>
            </w:pPr>
            <w:r/>
            <w:r>
              <w:rPr>
                <w:rFonts w:ascii="Arial" w:hAnsi="Arial"/>
                <w:b w:val="0"/>
                <w:sz w:val="17"/>
              </w:rPr>
              <w:t>Backlog item, measurable benefit, rollback/forward-fix path, reviewer approval.</w:t>
            </w:r>
          </w:p>
        </w:tc>
      </w:tr>
      <w:tr>
        <w:tc>
          <w:tcPr>
            <w:tcW w:type="dxa" w:w="2160"/>
            <w:vAlign w:val="top"/>
            <w:shd w:fill="F7F7F7"/>
          </w:tcPr>
          <w:p>
            <w:pPr>
              <w:spacing w:after="0"/>
            </w:pPr>
            <w:r/>
            <w:r>
              <w:rPr>
                <w:rFonts w:ascii="Arial" w:hAnsi="Arial"/>
                <w:b w:val="0"/>
                <w:sz w:val="17"/>
              </w:rPr>
              <w:t>Release readiness</w:t>
            </w:r>
          </w:p>
        </w:tc>
        <w:tc>
          <w:tcPr>
            <w:tcW w:type="dxa" w:w="5184"/>
            <w:vAlign w:val="top"/>
            <w:shd w:fill="F7F7F7"/>
          </w:tcPr>
          <w:p>
            <w:pPr>
              <w:spacing w:after="0"/>
            </w:pPr>
            <w:r/>
            <w:r>
              <w:rPr>
                <w:rFonts w:ascii="Arial" w:hAnsi="Arial"/>
                <w:b w:val="0"/>
                <w:sz w:val="17"/>
              </w:rPr>
              <w:t>Confirm affected services, tests, contracts, and dependency risk.</w:t>
            </w:r>
          </w:p>
        </w:tc>
        <w:tc>
          <w:tcPr>
            <w:tcW w:type="dxa" w:w="3311"/>
            <w:vAlign w:val="top"/>
            <w:shd w:fill="F7F7F7"/>
          </w:tcPr>
          <w:p>
            <w:pPr>
              <w:spacing w:after="0"/>
            </w:pPr>
            <w:r/>
            <w:r>
              <w:rPr>
                <w:rFonts w:ascii="Arial" w:hAnsi="Arial"/>
                <w:b w:val="0"/>
                <w:sz w:val="17"/>
              </w:rPr>
              <w:t>Release evidence pack and CAB/ARB controls as applicable.</w:t>
            </w:r>
          </w:p>
        </w:tc>
      </w:tr>
    </w:tbl>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c>
          <w:tcPr>
            <w:tcW w:type="dxa" w:w="3311"/>
            <w:shd w:fill="1F4E79"/>
            <w:vAlign w:val="center"/>
          </w:tcPr>
          <w:p>
            <w:pPr>
              <w:spacing w:after="0"/>
            </w:pPr>
            <w:r/>
            <w:r>
              <w:rPr>
                <w:rFonts w:ascii="Arial" w:hAnsi="Arial"/>
                <w:b/>
                <w:color w:val="FFFFFF"/>
                <w:sz w:val="17"/>
              </w:rPr>
              <w:t>Prohibited Use</w:t>
            </w:r>
          </w:p>
        </w:tc>
        <w:tc>
          <w:tcPr>
            <w:tcW w:type="dxa" w:w="3744"/>
            <w:shd w:fill="1F4E79"/>
            <w:vAlign w:val="center"/>
          </w:tcPr>
          <w:p>
            <w:pPr>
              <w:spacing w:after="0"/>
            </w:pPr>
            <w:r/>
            <w:r>
              <w:rPr>
                <w:rFonts w:ascii="Arial" w:hAnsi="Arial"/>
                <w:b/>
                <w:color w:val="FFFFFF"/>
                <w:sz w:val="17"/>
              </w:rPr>
              <w:t>Reason</w:t>
            </w:r>
          </w:p>
        </w:tc>
        <w:tc>
          <w:tcPr>
            <w:tcW w:type="dxa" w:w="3600"/>
            <w:shd w:fill="1F4E79"/>
            <w:vAlign w:val="center"/>
          </w:tcPr>
          <w:p>
            <w:pPr>
              <w:spacing w:after="0"/>
            </w:pPr>
            <w:r/>
            <w:r>
              <w:rPr>
                <w:rFonts w:ascii="Arial" w:hAnsi="Arial"/>
                <w:b/>
                <w:color w:val="FFFFFF"/>
                <w:sz w:val="17"/>
              </w:rPr>
              <w:t>Correct AIRA Pattern</w:t>
            </w:r>
          </w:p>
        </w:tc>
      </w:tr>
      <w:tr>
        <w:tc>
          <w:tcPr>
            <w:tcW w:type="dxa" w:w="3311"/>
            <w:vAlign w:val="top"/>
          </w:tcPr>
          <w:p>
            <w:pPr>
              <w:spacing w:after="0"/>
            </w:pPr>
            <w:r/>
            <w:r>
              <w:rPr>
                <w:rFonts w:ascii="Arial" w:hAnsi="Arial"/>
                <w:b w:val="0"/>
                <w:sz w:val="17"/>
              </w:rPr>
              <w:t>Upload Confidential/Restricted source code to unmanaged public tool or demo.</w:t>
            </w:r>
          </w:p>
        </w:tc>
        <w:tc>
          <w:tcPr>
            <w:tcW w:type="dxa" w:w="3744"/>
            <w:vAlign w:val="top"/>
          </w:tcPr>
          <w:p>
            <w:pPr>
              <w:spacing w:after="0"/>
            </w:pPr>
            <w:r/>
            <w:r>
              <w:rPr>
                <w:rFonts w:ascii="Arial" w:hAnsi="Arial"/>
                <w:b w:val="0"/>
                <w:sz w:val="17"/>
              </w:rPr>
              <w:t>Data leakage and IP exposure risk.</w:t>
            </w:r>
          </w:p>
        </w:tc>
        <w:tc>
          <w:tcPr>
            <w:tcW w:type="dxa" w:w="3600"/>
            <w:vAlign w:val="top"/>
          </w:tcPr>
          <w:p>
            <w:pPr>
              <w:spacing w:after="0"/>
            </w:pPr>
            <w:r/>
            <w:r>
              <w:rPr>
                <w:rFonts w:ascii="Arial" w:hAnsi="Arial"/>
                <w:b w:val="0"/>
                <w:sz w:val="17"/>
              </w:rPr>
              <w:t>Use local CLI or approved self-hosted/enterprise deployment only.</w:t>
            </w:r>
          </w:p>
        </w:tc>
      </w:tr>
      <w:tr>
        <w:tc>
          <w:tcPr>
            <w:tcW w:type="dxa" w:w="3311"/>
            <w:vAlign w:val="top"/>
            <w:shd w:fill="F7F7F7"/>
          </w:tcPr>
          <w:p>
            <w:pPr>
              <w:spacing w:after="0"/>
            </w:pPr>
            <w:r/>
            <w:r>
              <w:rPr>
                <w:rFonts w:ascii="Arial" w:hAnsi="Arial"/>
                <w:b w:val="0"/>
                <w:sz w:val="17"/>
              </w:rPr>
              <w:t>Allow an agent to auto-commit to main after GitNexus analysis.</w:t>
            </w:r>
          </w:p>
        </w:tc>
        <w:tc>
          <w:tcPr>
            <w:tcW w:type="dxa" w:w="3744"/>
            <w:vAlign w:val="top"/>
            <w:shd w:fill="F7F7F7"/>
          </w:tcPr>
          <w:p>
            <w:pPr>
              <w:spacing w:after="0"/>
            </w:pPr>
            <w:r/>
            <w:r>
              <w:rPr>
                <w:rFonts w:ascii="Arial" w:hAnsi="Arial"/>
                <w:b w:val="0"/>
                <w:sz w:val="17"/>
              </w:rPr>
              <w:t>Violates maker-checker, branch protection, and human accountability.</w:t>
            </w:r>
          </w:p>
        </w:tc>
        <w:tc>
          <w:tcPr>
            <w:tcW w:type="dxa" w:w="3600"/>
            <w:vAlign w:val="top"/>
            <w:shd w:fill="F7F7F7"/>
          </w:tcPr>
          <w:p>
            <w:pPr>
              <w:spacing w:after="0"/>
            </w:pPr>
            <w:r/>
            <w:r>
              <w:rPr>
                <w:rFonts w:ascii="Arial" w:hAnsi="Arial"/>
                <w:b w:val="0"/>
                <w:sz w:val="17"/>
              </w:rPr>
              <w:t>Agent creates PR with evidence; human reviews and approves.</w:t>
            </w:r>
          </w:p>
        </w:tc>
      </w:tr>
      <w:tr>
        <w:tc>
          <w:tcPr>
            <w:tcW w:type="dxa" w:w="3311"/>
            <w:vAlign w:val="top"/>
          </w:tcPr>
          <w:p>
            <w:pPr>
              <w:spacing w:after="0"/>
            </w:pPr>
            <w:r/>
            <w:r>
              <w:rPr>
                <w:rFonts w:ascii="Arial" w:hAnsi="Arial"/>
                <w:b w:val="0"/>
                <w:sz w:val="17"/>
              </w:rPr>
              <w:t>Treat GitNexus as architecture authority.</w:t>
            </w:r>
          </w:p>
        </w:tc>
        <w:tc>
          <w:tcPr>
            <w:tcW w:type="dxa" w:w="3744"/>
            <w:vAlign w:val="top"/>
          </w:tcPr>
          <w:p>
            <w:pPr>
              <w:spacing w:after="0"/>
            </w:pPr>
            <w:r/>
            <w:r>
              <w:rPr>
                <w:rFonts w:ascii="Arial" w:hAnsi="Arial"/>
                <w:b w:val="0"/>
                <w:sz w:val="17"/>
              </w:rPr>
              <w:t>Code graph describes implementation; it does not define approved architecture.</w:t>
            </w:r>
          </w:p>
        </w:tc>
        <w:tc>
          <w:tcPr>
            <w:tcW w:type="dxa" w:w="3600"/>
            <w:vAlign w:val="top"/>
          </w:tcPr>
          <w:p>
            <w:pPr>
              <w:spacing w:after="0"/>
            </w:pPr>
            <w:r/>
            <w:r>
              <w:rPr>
                <w:rFonts w:ascii="Arial" w:hAnsi="Arial"/>
                <w:b w:val="0"/>
                <w:sz w:val="17"/>
              </w:rPr>
              <w:t>Compare GitNexus findings against Engineering Blueprint, CLAUDE.md, ADRs, and standards.</w:t>
            </w:r>
          </w:p>
        </w:tc>
      </w:tr>
      <w:tr>
        <w:tc>
          <w:tcPr>
            <w:tcW w:type="dxa" w:w="3311"/>
            <w:vAlign w:val="top"/>
            <w:shd w:fill="F7F7F7"/>
          </w:tcPr>
          <w:p>
            <w:pPr>
              <w:spacing w:after="0"/>
            </w:pPr>
            <w:r/>
            <w:r>
              <w:rPr>
                <w:rFonts w:ascii="Arial" w:hAnsi="Arial"/>
                <w:b w:val="0"/>
                <w:sz w:val="17"/>
              </w:rPr>
              <w:t>Skip SAST/SCA/secret scans because GitNexus found no issue.</w:t>
            </w:r>
          </w:p>
        </w:tc>
        <w:tc>
          <w:tcPr>
            <w:tcW w:type="dxa" w:w="3744"/>
            <w:vAlign w:val="top"/>
            <w:shd w:fill="F7F7F7"/>
          </w:tcPr>
          <w:p>
            <w:pPr>
              <w:spacing w:after="0"/>
            </w:pPr>
            <w:r/>
            <w:r>
              <w:rPr>
                <w:rFonts w:ascii="Arial" w:hAnsi="Arial"/>
                <w:b w:val="0"/>
                <w:sz w:val="17"/>
              </w:rPr>
              <w:t>GitNexus is not a security scanner replacement.</w:t>
            </w:r>
          </w:p>
        </w:tc>
        <w:tc>
          <w:tcPr>
            <w:tcW w:type="dxa" w:w="3600"/>
            <w:vAlign w:val="top"/>
            <w:shd w:fill="F7F7F7"/>
          </w:tcPr>
          <w:p>
            <w:pPr>
              <w:spacing w:after="0"/>
            </w:pPr>
            <w:r/>
            <w:r>
              <w:rPr>
                <w:rFonts w:ascii="Arial" w:hAnsi="Arial"/>
                <w:b w:val="0"/>
                <w:sz w:val="17"/>
              </w:rPr>
              <w:t>Run full CI/CD evidence pipeline.</w:t>
            </w:r>
          </w:p>
        </w:tc>
      </w:tr>
      <w:tr>
        <w:tc>
          <w:tcPr>
            <w:tcW w:type="dxa" w:w="3311"/>
            <w:vAlign w:val="top"/>
          </w:tcPr>
          <w:p>
            <w:pPr>
              <w:spacing w:after="0"/>
            </w:pPr>
            <w:r/>
            <w:r>
              <w:rPr>
                <w:rFonts w:ascii="Arial" w:hAnsi="Arial"/>
                <w:b w:val="0"/>
                <w:sz w:val="17"/>
              </w:rPr>
              <w:t>Accept generated AGENTS.md / CLAUDE.md without review.</w:t>
            </w:r>
          </w:p>
        </w:tc>
        <w:tc>
          <w:tcPr>
            <w:tcW w:type="dxa" w:w="3744"/>
            <w:vAlign w:val="top"/>
          </w:tcPr>
          <w:p>
            <w:pPr>
              <w:spacing w:after="0"/>
            </w:pPr>
            <w:r/>
            <w:r>
              <w:rPr>
                <w:rFonts w:ascii="Arial" w:hAnsi="Arial"/>
                <w:b w:val="0"/>
                <w:sz w:val="17"/>
              </w:rPr>
              <w:t>May weaken or conflict with AIRA rules.</w:t>
            </w:r>
          </w:p>
        </w:tc>
        <w:tc>
          <w:tcPr>
            <w:tcW w:type="dxa" w:w="3600"/>
            <w:vAlign w:val="top"/>
          </w:tcPr>
          <w:p>
            <w:pPr>
              <w:spacing w:after="0"/>
            </w:pPr>
            <w:r/>
            <w:r>
              <w:rPr>
                <w:rFonts w:ascii="Arial" w:hAnsi="Arial"/>
                <w:b w:val="0"/>
                <w:sz w:val="17"/>
              </w:rPr>
              <w:t>Generate only from canonical AIRA templates or review diffs through PR.</w:t>
            </w:r>
          </w:p>
        </w:tc>
      </w:tr>
      <w:tr>
        <w:tc>
          <w:tcPr>
            <w:tcW w:type="dxa" w:w="3311"/>
            <w:vAlign w:val="top"/>
            <w:shd w:fill="F7F7F7"/>
          </w:tcPr>
          <w:p>
            <w:pPr>
              <w:spacing w:after="0"/>
            </w:pPr>
            <w:r/>
            <w:r>
              <w:rPr>
                <w:rFonts w:ascii="Arial" w:hAnsi="Arial"/>
                <w:b w:val="0"/>
                <w:sz w:val="17"/>
              </w:rPr>
              <w:t>Use stale index for release or remediation decisions.</w:t>
            </w:r>
          </w:p>
        </w:tc>
        <w:tc>
          <w:tcPr>
            <w:tcW w:type="dxa" w:w="3744"/>
            <w:vAlign w:val="top"/>
            <w:shd w:fill="F7F7F7"/>
          </w:tcPr>
          <w:p>
            <w:pPr>
              <w:spacing w:after="0"/>
            </w:pPr>
            <w:r/>
            <w:r>
              <w:rPr>
                <w:rFonts w:ascii="Arial" w:hAnsi="Arial"/>
                <w:b w:val="0"/>
                <w:sz w:val="17"/>
              </w:rPr>
              <w:t>Agent may reason from outdated dependency graph.</w:t>
            </w:r>
          </w:p>
        </w:tc>
        <w:tc>
          <w:tcPr>
            <w:tcW w:type="dxa" w:w="3600"/>
            <w:vAlign w:val="top"/>
            <w:shd w:fill="F7F7F7"/>
          </w:tcPr>
          <w:p>
            <w:pPr>
              <w:spacing w:after="0"/>
            </w:pPr>
            <w:r/>
            <w:r>
              <w:rPr>
                <w:rFonts w:ascii="Arial" w:hAnsi="Arial"/>
                <w:b w:val="0"/>
                <w:sz w:val="17"/>
              </w:rPr>
              <w:t>Re-index and attach index freshness evidence.</w:t>
            </w:r>
          </w:p>
        </w:tc>
      </w:tr>
    </w:tbl>
    <w:p/>
    <w:p>
      <w:pPr>
        <w:pStyle w:val="Heading1"/>
        <w:keepNext w:val="0"/>
        <w:spacing w:after="80" w:line="252" w:lineRule="auto"/>
      </w:pPr>
      <w:r>
        <w:rPr>
          <w:rFonts w:ascii="Arial" w:hAnsi="Arial"/>
          <w:b w:val="0"/>
          <w:i w:val="0"/>
        </w:rPr>
        <w:t>8. Agent-Callable GitNexus Workflow</w:t>
      </w:r>
    </w:p>
    <w:p>
      <w:pPr>
        <w:keepNext w:val="0"/>
        <w:spacing w:after="80" w:line="252" w:lineRule="auto"/>
      </w:pPr>
      <w:r>
        <w:rPr>
          <w:rFonts w:ascii="Arial" w:hAnsi="Arial"/>
          <w:b w:val="0"/>
          <w:i w:val="0"/>
        </w:rPr>
        <w:t>AIRA agents may call GitNexus as part of analysis and evidence generation. The agent must not treat GitNexus as an executor or as an authority that bypasses standards. The pattern below applies to Auto-Heal, Auto-Learn, Auto-Improve, and AI-assisted PR review.</w:t>
      </w:r>
    </w:p>
    <w:p>
      <w:pPr>
        <w:pStyle w:val="ListNumber"/>
        <w:spacing w:after="40"/>
      </w:pPr>
      <w:r>
        <w:rPr>
          <w:rFonts w:ascii="Arial" w:hAnsi="Arial"/>
          <w:sz w:val="18"/>
        </w:rPr>
        <w:t>Receive trigger from observability, PR event, ticket, release readiness check, or approved manual request.</w:t>
      </w:r>
    </w:p>
    <w:p>
      <w:pPr>
        <w:pStyle w:val="ListNumber"/>
        <w:spacing w:after="40"/>
      </w:pPr>
      <w:r>
        <w:rPr>
          <w:rFonts w:ascii="Arial" w:hAnsi="Arial"/>
          <w:sz w:val="18"/>
        </w:rPr>
        <w:t>Resolve repository, bounded context, service, branch, commit SHA, classification, actor, and authorization scope.</w:t>
      </w:r>
    </w:p>
    <w:p>
      <w:pPr>
        <w:pStyle w:val="ListNumber"/>
        <w:spacing w:after="40"/>
      </w:pPr>
      <w:r>
        <w:rPr>
          <w:rFonts w:ascii="Arial" w:hAnsi="Arial"/>
          <w:sz w:val="18"/>
        </w:rPr>
        <w:t>Check GitNexus availability, approved version, index freshness, and repository eligibility.</w:t>
      </w:r>
    </w:p>
    <w:p>
      <w:pPr>
        <w:pStyle w:val="ListNumber"/>
        <w:spacing w:after="40"/>
      </w:pPr>
      <w:r>
        <w:rPr>
          <w:rFonts w:ascii="Arial" w:hAnsi="Arial"/>
          <w:sz w:val="18"/>
        </w:rPr>
        <w:t>Run or refresh GitNexus index when authorized and required.</w:t>
      </w:r>
    </w:p>
    <w:p>
      <w:pPr>
        <w:pStyle w:val="ListNumber"/>
        <w:spacing w:after="40"/>
      </w:pPr>
      <w:r>
        <w:rPr>
          <w:rFonts w:ascii="Arial" w:hAnsi="Arial"/>
          <w:sz w:val="18"/>
        </w:rPr>
        <w:t>Perform impact analysis: changed files, symbols, call chains, dependency paths, downstream services, contracts, and affected tests.</w:t>
      </w:r>
    </w:p>
    <w:p>
      <w:pPr>
        <w:pStyle w:val="ListNumber"/>
        <w:spacing w:after="40"/>
      </w:pPr>
      <w:r>
        <w:rPr>
          <w:rFonts w:ascii="Arial" w:hAnsi="Arial"/>
          <w:sz w:val="18"/>
        </w:rPr>
        <w:t>Cross-check results against AIRA standards in Obsidian / LLM Wiki / LightRAG and repository CLAUDE.md rules.</w:t>
      </w:r>
    </w:p>
    <w:p>
      <w:pPr>
        <w:pStyle w:val="ListNumber"/>
        <w:spacing w:after="40"/>
      </w:pPr>
      <w:r>
        <w:rPr>
          <w:rFonts w:ascii="Arial" w:hAnsi="Arial"/>
          <w:sz w:val="18"/>
        </w:rPr>
        <w:t>Run or request applicable tests and gates: unit, architecture, contract, SAST/SCA, secret scan, OPA/Conftest, SBOM, and AI evaluation where applicable.</w:t>
      </w:r>
    </w:p>
    <w:p>
      <w:pPr>
        <w:pStyle w:val="ListNumber"/>
        <w:spacing w:after="40"/>
      </w:pPr>
      <w:r>
        <w:rPr>
          <w:rFonts w:ascii="Arial" w:hAnsi="Arial"/>
          <w:sz w:val="18"/>
        </w:rPr>
        <w:t>Create evidence output: PR comment, pipeline artifact, ADR/TDL input, technical debt item, or release readiness evidence.</w:t>
      </w:r>
    </w:p>
    <w:p>
      <w:pPr>
        <w:pStyle w:val="ListNumber"/>
        <w:spacing w:after="40"/>
      </w:pPr>
      <w:r>
        <w:rPr>
          <w:rFonts w:ascii="Arial" w:hAnsi="Arial"/>
          <w:sz w:val="18"/>
        </w:rPr>
        <w:t>Escalate high-risk, low-confidence, security, data, AI, workflow, database, and production-impacting changes to named human reviewer.</w:t>
      </w:r>
    </w:p>
    <w:p>
      <w:pPr>
        <w:pStyle w:val="ListNumber"/>
        <w:spacing w:after="40"/>
      </w:pPr>
      <w:r>
        <w:rPr>
          <w:rFonts w:ascii="Arial" w:hAnsi="Arial"/>
          <w:sz w:val="18"/>
        </w:rPr>
        <w:t>Block, warn, or approve-as-evidence only according to the configured gate mode and human decision.</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2"/>
        <w:gridCol w:w="2592"/>
        <w:gridCol w:w="2592"/>
        <w:gridCol w:w="2592"/>
      </w:tblGrid>
      <w:tr>
        <w:tc>
          <w:tcPr>
            <w:tcW w:type="dxa" w:w="1872"/>
            <w:shd w:fill="1F4E79"/>
            <w:vAlign w:val="center"/>
          </w:tcPr>
          <w:p>
            <w:pPr>
              <w:spacing w:after="0"/>
            </w:pPr>
            <w:r/>
            <w:r>
              <w:rPr>
                <w:rFonts w:ascii="Arial" w:hAnsi="Arial"/>
                <w:b/>
                <w:color w:val="FFFFFF"/>
                <w:sz w:val="17"/>
              </w:rPr>
              <w:t>Auto Loop</w:t>
            </w:r>
          </w:p>
        </w:tc>
        <w:tc>
          <w:tcPr>
            <w:tcW w:type="dxa" w:w="3600"/>
            <w:shd w:fill="1F4E79"/>
            <w:vAlign w:val="center"/>
          </w:tcPr>
          <w:p>
            <w:pPr>
              <w:spacing w:after="0"/>
            </w:pPr>
            <w:r/>
            <w:r>
              <w:rPr>
                <w:rFonts w:ascii="Arial" w:hAnsi="Arial"/>
                <w:b/>
                <w:color w:val="FFFFFF"/>
                <w:sz w:val="17"/>
              </w:rPr>
              <w:t>GitNexus Role</w:t>
            </w:r>
          </w:p>
        </w:tc>
        <w:tc>
          <w:tcPr>
            <w:tcW w:type="dxa" w:w="3024"/>
            <w:shd w:fill="1F4E79"/>
            <w:vAlign w:val="center"/>
          </w:tcPr>
          <w:p>
            <w:pPr>
              <w:spacing w:after="0"/>
            </w:pPr>
            <w:r/>
            <w:r>
              <w:rPr>
                <w:rFonts w:ascii="Arial" w:hAnsi="Arial"/>
                <w:b/>
                <w:color w:val="FFFFFF"/>
                <w:sz w:val="17"/>
              </w:rPr>
              <w:t>Accepted Output</w:t>
            </w:r>
          </w:p>
        </w:tc>
        <w:tc>
          <w:tcPr>
            <w:tcW w:type="dxa" w:w="2160"/>
            <w:shd w:fill="1F4E79"/>
            <w:vAlign w:val="center"/>
          </w:tcPr>
          <w:p>
            <w:pPr>
              <w:spacing w:after="0"/>
            </w:pPr>
            <w:r/>
            <w:r>
              <w:rPr>
                <w:rFonts w:ascii="Arial" w:hAnsi="Arial"/>
                <w:b/>
                <w:color w:val="FFFFFF"/>
                <w:sz w:val="17"/>
              </w:rPr>
              <w:t>Rejected Behavior</w:t>
            </w:r>
          </w:p>
        </w:tc>
      </w:tr>
      <w:tr>
        <w:tc>
          <w:tcPr>
            <w:tcW w:type="dxa" w:w="1872"/>
            <w:vAlign w:val="top"/>
          </w:tcPr>
          <w:p>
            <w:pPr>
              <w:spacing w:after="0"/>
            </w:pPr>
            <w:r/>
            <w:r>
              <w:rPr>
                <w:rFonts w:ascii="Arial" w:hAnsi="Arial"/>
                <w:b w:val="0"/>
                <w:sz w:val="17"/>
              </w:rPr>
              <w:t>Auto-Heal</w:t>
            </w:r>
          </w:p>
        </w:tc>
        <w:tc>
          <w:tcPr>
            <w:tcW w:type="dxa" w:w="3600"/>
            <w:vAlign w:val="top"/>
          </w:tcPr>
          <w:p>
            <w:pPr>
              <w:spacing w:after="0"/>
            </w:pPr>
            <w:r/>
            <w:r>
              <w:rPr>
                <w:rFonts w:ascii="Arial" w:hAnsi="Arial"/>
                <w:b w:val="0"/>
                <w:sz w:val="17"/>
              </w:rPr>
              <w:t>Identify impacted code paths, dependencies, tests, and likely blast radius before a fix.</w:t>
            </w:r>
          </w:p>
        </w:tc>
        <w:tc>
          <w:tcPr>
            <w:tcW w:type="dxa" w:w="3024"/>
            <w:vAlign w:val="top"/>
          </w:tcPr>
          <w:p>
            <w:pPr>
              <w:spacing w:after="0"/>
            </w:pPr>
            <w:r/>
            <w:r>
              <w:rPr>
                <w:rFonts w:ascii="Arial" w:hAnsi="Arial"/>
                <w:b w:val="0"/>
                <w:sz w:val="17"/>
              </w:rPr>
              <w:t>Patch proposal, PR, test plan, impact evidence, rollback/forward-fix recommendation.</w:t>
            </w:r>
          </w:p>
        </w:tc>
        <w:tc>
          <w:tcPr>
            <w:tcW w:type="dxa" w:w="2160"/>
            <w:vAlign w:val="top"/>
          </w:tcPr>
          <w:p>
            <w:pPr>
              <w:spacing w:after="0"/>
            </w:pPr>
            <w:r/>
            <w:r>
              <w:rPr>
                <w:rFonts w:ascii="Arial" w:hAnsi="Arial"/>
                <w:b w:val="0"/>
                <w:sz w:val="17"/>
              </w:rPr>
              <w:t>Direct production fix, direct main push, disabling tests, bypassing policy gates.</w:t>
            </w:r>
          </w:p>
        </w:tc>
      </w:tr>
      <w:tr>
        <w:tc>
          <w:tcPr>
            <w:tcW w:type="dxa" w:w="1872"/>
            <w:vAlign w:val="top"/>
            <w:shd w:fill="F7F7F7"/>
          </w:tcPr>
          <w:p>
            <w:pPr>
              <w:spacing w:after="0"/>
            </w:pPr>
            <w:r/>
            <w:r>
              <w:rPr>
                <w:rFonts w:ascii="Arial" w:hAnsi="Arial"/>
                <w:b w:val="0"/>
                <w:sz w:val="17"/>
              </w:rPr>
              <w:t>Auto-Learn</w:t>
            </w:r>
          </w:p>
        </w:tc>
        <w:tc>
          <w:tcPr>
            <w:tcW w:type="dxa" w:w="3600"/>
            <w:vAlign w:val="top"/>
            <w:shd w:fill="F7F7F7"/>
          </w:tcPr>
          <w:p>
            <w:pPr>
              <w:spacing w:after="0"/>
            </w:pPr>
            <w:r/>
            <w:r>
              <w:rPr>
                <w:rFonts w:ascii="Arial" w:hAnsi="Arial"/>
                <w:b w:val="0"/>
                <w:sz w:val="17"/>
              </w:rPr>
              <w:t>Identify recurring hotspots, coupled modules, missing tests, and drift patterns.</w:t>
            </w:r>
          </w:p>
        </w:tc>
        <w:tc>
          <w:tcPr>
            <w:tcW w:type="dxa" w:w="3024"/>
            <w:vAlign w:val="top"/>
            <w:shd w:fill="F7F7F7"/>
          </w:tcPr>
          <w:p>
            <w:pPr>
              <w:spacing w:after="0"/>
            </w:pPr>
            <w:r/>
            <w:r>
              <w:rPr>
                <w:rFonts w:ascii="Arial" w:hAnsi="Arial"/>
                <w:b w:val="0"/>
                <w:sz w:val="17"/>
              </w:rPr>
              <w:t>Human-reviewed learning candidate, architecture drift finding, knowledge artifact, backlog item.</w:t>
            </w:r>
          </w:p>
        </w:tc>
        <w:tc>
          <w:tcPr>
            <w:tcW w:type="dxa" w:w="2160"/>
            <w:vAlign w:val="top"/>
            <w:shd w:fill="F7F7F7"/>
          </w:tcPr>
          <w:p>
            <w:pPr>
              <w:spacing w:after="0"/>
            </w:pPr>
            <w:r/>
            <w:r>
              <w:rPr>
                <w:rFonts w:ascii="Arial" w:hAnsi="Arial"/>
                <w:b w:val="0"/>
                <w:sz w:val="17"/>
              </w:rPr>
              <w:t>Promoting unreviewed GitNexus findings into LLM Wiki as authoritative knowledge.</w:t>
            </w:r>
          </w:p>
        </w:tc>
      </w:tr>
      <w:tr>
        <w:tc>
          <w:tcPr>
            <w:tcW w:type="dxa" w:w="1872"/>
            <w:vAlign w:val="top"/>
          </w:tcPr>
          <w:p>
            <w:pPr>
              <w:spacing w:after="0"/>
            </w:pPr>
            <w:r/>
            <w:r>
              <w:rPr>
                <w:rFonts w:ascii="Arial" w:hAnsi="Arial"/>
                <w:b w:val="0"/>
                <w:sz w:val="17"/>
              </w:rPr>
              <w:t>Auto-Improve</w:t>
            </w:r>
          </w:p>
        </w:tc>
        <w:tc>
          <w:tcPr>
            <w:tcW w:type="dxa" w:w="3600"/>
            <w:vAlign w:val="top"/>
          </w:tcPr>
          <w:p>
            <w:pPr>
              <w:spacing w:after="0"/>
            </w:pPr>
            <w:r/>
            <w:r>
              <w:rPr>
                <w:rFonts w:ascii="Arial" w:hAnsi="Arial"/>
                <w:b w:val="0"/>
                <w:sz w:val="17"/>
              </w:rPr>
              <w:t>Compare intended architecture with actual implementation and propose improvements.</w:t>
            </w:r>
          </w:p>
        </w:tc>
        <w:tc>
          <w:tcPr>
            <w:tcW w:type="dxa" w:w="3024"/>
            <w:vAlign w:val="top"/>
          </w:tcPr>
          <w:p>
            <w:pPr>
              <w:spacing w:after="0"/>
            </w:pPr>
            <w:r/>
            <w:r>
              <w:rPr>
                <w:rFonts w:ascii="Arial" w:hAnsi="Arial"/>
                <w:b w:val="0"/>
                <w:sz w:val="17"/>
              </w:rPr>
              <w:t>Refactoring proposal, ADR/TDL, fitness function improvement, technical debt item.</w:t>
            </w:r>
          </w:p>
        </w:tc>
        <w:tc>
          <w:tcPr>
            <w:tcW w:type="dxa" w:w="2160"/>
            <w:vAlign w:val="top"/>
          </w:tcPr>
          <w:p>
            <w:pPr>
              <w:spacing w:after="0"/>
            </w:pPr>
            <w:r/>
            <w:r>
              <w:rPr>
                <w:rFonts w:ascii="Arial" w:hAnsi="Arial"/>
                <w:b w:val="0"/>
                <w:sz w:val="17"/>
              </w:rPr>
              <w:t>Speculative complexity, uncontrolled framework expansion, boundary-weakening refactor.</w:t>
            </w:r>
          </w:p>
        </w:tc>
      </w:tr>
    </w:tbl>
    <w:p/>
    <w:p>
      <w:pPr>
        <w:pStyle w:val="Heading1"/>
        <w:keepNext w:val="0"/>
        <w:spacing w:after="80" w:line="252" w:lineRule="auto"/>
      </w:pPr>
      <w:r>
        <w:rPr>
          <w:rFonts w:ascii="Arial" w:hAnsi="Arial"/>
          <w:b w:val="0"/>
          <w:i w:val="0"/>
        </w:rPr>
        <w:t>9. DevSecOps and CI/CD Integration Model</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2"/>
        <w:gridCol w:w="2592"/>
        <w:gridCol w:w="2592"/>
        <w:gridCol w:w="2592"/>
      </w:tblGrid>
      <w:tr>
        <w:tc>
          <w:tcPr>
            <w:tcW w:type="dxa" w:w="2304"/>
            <w:shd w:fill="1F4E79"/>
            <w:vAlign w:val="center"/>
          </w:tcPr>
          <w:p>
            <w:pPr>
              <w:spacing w:after="0"/>
            </w:pPr>
            <w:r/>
            <w:r>
              <w:rPr>
                <w:rFonts w:ascii="Arial" w:hAnsi="Arial"/>
                <w:b/>
                <w:color w:val="FFFFFF"/>
                <w:sz w:val="17"/>
              </w:rPr>
              <w:t>Lifecycle Stage</w:t>
            </w:r>
          </w:p>
        </w:tc>
        <w:tc>
          <w:tcPr>
            <w:tcW w:type="dxa" w:w="3600"/>
            <w:shd w:fill="1F4E79"/>
            <w:vAlign w:val="center"/>
          </w:tcPr>
          <w:p>
            <w:pPr>
              <w:spacing w:after="0"/>
            </w:pPr>
            <w:r/>
            <w:r>
              <w:rPr>
                <w:rFonts w:ascii="Arial" w:hAnsi="Arial"/>
                <w:b/>
                <w:color w:val="FFFFFF"/>
                <w:sz w:val="17"/>
              </w:rPr>
              <w:t>GitNexus Use</w:t>
            </w:r>
          </w:p>
        </w:tc>
        <w:tc>
          <w:tcPr>
            <w:tcW w:type="dxa" w:w="2304"/>
            <w:shd w:fill="1F4E79"/>
            <w:vAlign w:val="center"/>
          </w:tcPr>
          <w:p>
            <w:pPr>
              <w:spacing w:after="0"/>
            </w:pPr>
            <w:r/>
            <w:r>
              <w:rPr>
                <w:rFonts w:ascii="Arial" w:hAnsi="Arial"/>
                <w:b/>
                <w:color w:val="FFFFFF"/>
                <w:sz w:val="17"/>
              </w:rPr>
              <w:t>Gate Mode v1.0</w:t>
            </w:r>
          </w:p>
        </w:tc>
        <w:tc>
          <w:tcPr>
            <w:tcW w:type="dxa" w:w="2448"/>
            <w:shd w:fill="1F4E79"/>
            <w:vAlign w:val="center"/>
          </w:tcPr>
          <w:p>
            <w:pPr>
              <w:spacing w:after="0"/>
            </w:pPr>
            <w:r/>
            <w:r>
              <w:rPr>
                <w:rFonts w:ascii="Arial" w:hAnsi="Arial"/>
                <w:b/>
                <w:color w:val="FFFFFF"/>
                <w:sz w:val="17"/>
              </w:rPr>
              <w:t>Required Evidence</w:t>
            </w:r>
          </w:p>
        </w:tc>
      </w:tr>
      <w:tr>
        <w:tc>
          <w:tcPr>
            <w:tcW w:type="dxa" w:w="2304"/>
            <w:vAlign w:val="top"/>
          </w:tcPr>
          <w:p>
            <w:pPr>
              <w:spacing w:after="0"/>
            </w:pPr>
            <w:r/>
            <w:r>
              <w:rPr>
                <w:rFonts w:ascii="Arial" w:hAnsi="Arial"/>
                <w:b w:val="0"/>
                <w:sz w:val="17"/>
              </w:rPr>
              <w:t>Local development</w:t>
            </w:r>
          </w:p>
        </w:tc>
        <w:tc>
          <w:tcPr>
            <w:tcW w:type="dxa" w:w="3600"/>
            <w:vAlign w:val="top"/>
          </w:tcPr>
          <w:p>
            <w:pPr>
              <w:spacing w:after="0"/>
            </w:pPr>
            <w:r/>
            <w:r>
              <w:rPr>
                <w:rFonts w:ascii="Arial" w:hAnsi="Arial"/>
                <w:b w:val="0"/>
                <w:sz w:val="17"/>
              </w:rPr>
              <w:t>Developer runs analysis before high-impact edits.</w:t>
            </w:r>
          </w:p>
        </w:tc>
        <w:tc>
          <w:tcPr>
            <w:tcW w:type="dxa" w:w="2304"/>
            <w:vAlign w:val="top"/>
          </w:tcPr>
          <w:p>
            <w:pPr>
              <w:spacing w:after="0"/>
            </w:pPr>
            <w:r/>
            <w:r>
              <w:rPr>
                <w:rFonts w:ascii="Arial" w:hAnsi="Arial"/>
                <w:b w:val="0"/>
                <w:sz w:val="17"/>
              </w:rPr>
              <w:t>Advisory</w:t>
            </w:r>
          </w:p>
        </w:tc>
        <w:tc>
          <w:tcPr>
            <w:tcW w:type="dxa" w:w="2448"/>
            <w:vAlign w:val="top"/>
          </w:tcPr>
          <w:p>
            <w:pPr>
              <w:spacing w:after="0"/>
            </w:pPr>
            <w:r/>
            <w:r>
              <w:rPr>
                <w:rFonts w:ascii="Arial" w:hAnsi="Arial"/>
                <w:b w:val="0"/>
                <w:sz w:val="17"/>
              </w:rPr>
              <w:t>Local command output or attached note when material.</w:t>
            </w:r>
          </w:p>
        </w:tc>
      </w:tr>
      <w:tr>
        <w:tc>
          <w:tcPr>
            <w:tcW w:type="dxa" w:w="2304"/>
            <w:vAlign w:val="top"/>
            <w:shd w:fill="F7F7F7"/>
          </w:tcPr>
          <w:p>
            <w:pPr>
              <w:spacing w:after="0"/>
            </w:pPr>
            <w:r/>
            <w:r>
              <w:rPr>
                <w:rFonts w:ascii="Arial" w:hAnsi="Arial"/>
                <w:b w:val="0"/>
                <w:sz w:val="17"/>
              </w:rPr>
              <w:t>PR creation</w:t>
            </w:r>
          </w:p>
        </w:tc>
        <w:tc>
          <w:tcPr>
            <w:tcW w:type="dxa" w:w="3600"/>
            <w:vAlign w:val="top"/>
            <w:shd w:fill="F7F7F7"/>
          </w:tcPr>
          <w:p>
            <w:pPr>
              <w:spacing w:after="0"/>
            </w:pPr>
            <w:r/>
            <w:r>
              <w:rPr>
                <w:rFonts w:ascii="Arial" w:hAnsi="Arial"/>
                <w:b w:val="0"/>
                <w:sz w:val="17"/>
              </w:rPr>
              <w:t>Generate blast-radius and affected-test report.</w:t>
            </w:r>
          </w:p>
        </w:tc>
        <w:tc>
          <w:tcPr>
            <w:tcW w:type="dxa" w:w="2304"/>
            <w:vAlign w:val="top"/>
            <w:shd w:fill="F7F7F7"/>
          </w:tcPr>
          <w:p>
            <w:pPr>
              <w:spacing w:after="0"/>
            </w:pPr>
            <w:r/>
            <w:r>
              <w:rPr>
                <w:rFonts w:ascii="Arial" w:hAnsi="Arial"/>
                <w:b w:val="0"/>
                <w:sz w:val="17"/>
              </w:rPr>
              <w:t>Recommended</w:t>
            </w:r>
          </w:p>
        </w:tc>
        <w:tc>
          <w:tcPr>
            <w:tcW w:type="dxa" w:w="2448"/>
            <w:vAlign w:val="top"/>
            <w:shd w:fill="F7F7F7"/>
          </w:tcPr>
          <w:p>
            <w:pPr>
              <w:spacing w:after="0"/>
            </w:pPr>
            <w:r/>
            <w:r>
              <w:rPr>
                <w:rFonts w:ascii="Arial" w:hAnsi="Arial"/>
                <w:b w:val="0"/>
                <w:sz w:val="17"/>
              </w:rPr>
              <w:t>GitNexus report path, commit SHA, index timestamp.</w:t>
            </w:r>
          </w:p>
        </w:tc>
      </w:tr>
      <w:tr>
        <w:tc>
          <w:tcPr>
            <w:tcW w:type="dxa" w:w="2304"/>
            <w:vAlign w:val="top"/>
          </w:tcPr>
          <w:p>
            <w:pPr>
              <w:spacing w:after="0"/>
            </w:pPr>
            <w:r/>
            <w:r>
              <w:rPr>
                <w:rFonts w:ascii="Arial" w:hAnsi="Arial"/>
                <w:b w:val="0"/>
                <w:sz w:val="17"/>
              </w:rPr>
              <w:t>Code review</w:t>
            </w:r>
          </w:p>
        </w:tc>
        <w:tc>
          <w:tcPr>
            <w:tcW w:type="dxa" w:w="3600"/>
            <w:vAlign w:val="top"/>
          </w:tcPr>
          <w:p>
            <w:pPr>
              <w:spacing w:after="0"/>
            </w:pPr>
            <w:r/>
            <w:r>
              <w:rPr>
                <w:rFonts w:ascii="Arial" w:hAnsi="Arial"/>
                <w:b w:val="0"/>
                <w:sz w:val="17"/>
              </w:rPr>
              <w:t>Reviewer uses graph to verify dependencies and boundary risks.</w:t>
            </w:r>
          </w:p>
        </w:tc>
        <w:tc>
          <w:tcPr>
            <w:tcW w:type="dxa" w:w="2304"/>
            <w:vAlign w:val="top"/>
          </w:tcPr>
          <w:p>
            <w:pPr>
              <w:spacing w:after="0"/>
            </w:pPr>
            <w:r/>
            <w:r>
              <w:rPr>
                <w:rFonts w:ascii="Arial" w:hAnsi="Arial"/>
                <w:b w:val="0"/>
                <w:sz w:val="17"/>
              </w:rPr>
              <w:t>Advisory</w:t>
            </w:r>
          </w:p>
        </w:tc>
        <w:tc>
          <w:tcPr>
            <w:tcW w:type="dxa" w:w="2448"/>
            <w:vAlign w:val="top"/>
          </w:tcPr>
          <w:p>
            <w:pPr>
              <w:spacing w:after="0"/>
            </w:pPr>
            <w:r/>
            <w:r>
              <w:rPr>
                <w:rFonts w:ascii="Arial" w:hAnsi="Arial"/>
                <w:b w:val="0"/>
                <w:sz w:val="17"/>
              </w:rPr>
              <w:t>Reviewer signoff and PR comment.</w:t>
            </w:r>
          </w:p>
        </w:tc>
      </w:tr>
      <w:tr>
        <w:tc>
          <w:tcPr>
            <w:tcW w:type="dxa" w:w="2304"/>
            <w:vAlign w:val="top"/>
            <w:shd w:fill="F7F7F7"/>
          </w:tcPr>
          <w:p>
            <w:pPr>
              <w:spacing w:after="0"/>
            </w:pPr>
            <w:r/>
            <w:r>
              <w:rPr>
                <w:rFonts w:ascii="Arial" w:hAnsi="Arial"/>
                <w:b w:val="0"/>
                <w:sz w:val="17"/>
              </w:rPr>
              <w:t>CI quality gate</w:t>
            </w:r>
          </w:p>
        </w:tc>
        <w:tc>
          <w:tcPr>
            <w:tcW w:type="dxa" w:w="3600"/>
            <w:vAlign w:val="top"/>
            <w:shd w:fill="F7F7F7"/>
          </w:tcPr>
          <w:p>
            <w:pPr>
              <w:spacing w:after="0"/>
            </w:pPr>
            <w:r/>
            <w:r>
              <w:rPr>
                <w:rFonts w:ascii="Arial" w:hAnsi="Arial"/>
                <w:b w:val="0"/>
                <w:sz w:val="17"/>
              </w:rPr>
              <w:t>Run controlled analysis for risky change classes.</w:t>
            </w:r>
          </w:p>
        </w:tc>
        <w:tc>
          <w:tcPr>
            <w:tcW w:type="dxa" w:w="2304"/>
            <w:vAlign w:val="top"/>
            <w:shd w:fill="F7F7F7"/>
          </w:tcPr>
          <w:p>
            <w:pPr>
              <w:spacing w:after="0"/>
            </w:pPr>
            <w:r/>
            <w:r>
              <w:rPr>
                <w:rFonts w:ascii="Arial" w:hAnsi="Arial"/>
                <w:b w:val="0"/>
                <w:sz w:val="17"/>
              </w:rPr>
              <w:t>Advisory first; gated after maturity approval.</w:t>
            </w:r>
          </w:p>
        </w:tc>
        <w:tc>
          <w:tcPr>
            <w:tcW w:type="dxa" w:w="2448"/>
            <w:vAlign w:val="top"/>
            <w:shd w:fill="F7F7F7"/>
          </w:tcPr>
          <w:p>
            <w:pPr>
              <w:spacing w:after="0"/>
            </w:pPr>
            <w:r/>
            <w:r>
              <w:rPr>
                <w:rFonts w:ascii="Arial" w:hAnsi="Arial"/>
                <w:b w:val="0"/>
                <w:sz w:val="17"/>
              </w:rPr>
              <w:t>Pipeline artifact, status, policy decision.</w:t>
            </w:r>
          </w:p>
        </w:tc>
      </w:tr>
      <w:tr>
        <w:tc>
          <w:tcPr>
            <w:tcW w:type="dxa" w:w="2304"/>
            <w:vAlign w:val="top"/>
          </w:tcPr>
          <w:p>
            <w:pPr>
              <w:spacing w:after="0"/>
            </w:pPr>
            <w:r/>
            <w:r>
              <w:rPr>
                <w:rFonts w:ascii="Arial" w:hAnsi="Arial"/>
                <w:b w:val="0"/>
                <w:sz w:val="17"/>
              </w:rPr>
              <w:t>Release readiness</w:t>
            </w:r>
          </w:p>
        </w:tc>
        <w:tc>
          <w:tcPr>
            <w:tcW w:type="dxa" w:w="3600"/>
            <w:vAlign w:val="top"/>
          </w:tcPr>
          <w:p>
            <w:pPr>
              <w:spacing w:after="0"/>
            </w:pPr>
            <w:r/>
            <w:r>
              <w:rPr>
                <w:rFonts w:ascii="Arial" w:hAnsi="Arial"/>
                <w:b w:val="0"/>
                <w:sz w:val="17"/>
              </w:rPr>
              <w:t>Confirm affected services, contracts, tests, and rollout risk.</w:t>
            </w:r>
          </w:p>
        </w:tc>
        <w:tc>
          <w:tcPr>
            <w:tcW w:type="dxa" w:w="2304"/>
            <w:vAlign w:val="top"/>
          </w:tcPr>
          <w:p>
            <w:pPr>
              <w:spacing w:after="0"/>
            </w:pPr>
            <w:r/>
            <w:r>
              <w:rPr>
                <w:rFonts w:ascii="Arial" w:hAnsi="Arial"/>
                <w:b w:val="0"/>
                <w:sz w:val="17"/>
              </w:rPr>
              <w:t>Required for selected high-risk repositories after Phase 3.</w:t>
            </w:r>
          </w:p>
        </w:tc>
        <w:tc>
          <w:tcPr>
            <w:tcW w:type="dxa" w:w="2448"/>
            <w:vAlign w:val="top"/>
          </w:tcPr>
          <w:p>
            <w:pPr>
              <w:spacing w:after="0"/>
            </w:pPr>
            <w:r/>
            <w:r>
              <w:rPr>
                <w:rFonts w:ascii="Arial" w:hAnsi="Arial"/>
                <w:b w:val="0"/>
                <w:sz w:val="17"/>
              </w:rPr>
              <w:t>Release evidence pack reference.</w:t>
            </w:r>
          </w:p>
        </w:tc>
      </w:tr>
      <w:tr>
        <w:tc>
          <w:tcPr>
            <w:tcW w:type="dxa" w:w="2304"/>
            <w:vAlign w:val="top"/>
            <w:shd w:fill="F7F7F7"/>
          </w:tcPr>
          <w:p>
            <w:pPr>
              <w:spacing w:after="0"/>
            </w:pPr>
            <w:r/>
            <w:r>
              <w:rPr>
                <w:rFonts w:ascii="Arial" w:hAnsi="Arial"/>
                <w:b w:val="0"/>
                <w:sz w:val="17"/>
              </w:rPr>
              <w:t>Incident Auto-Heal</w:t>
            </w:r>
          </w:p>
        </w:tc>
        <w:tc>
          <w:tcPr>
            <w:tcW w:type="dxa" w:w="3600"/>
            <w:vAlign w:val="top"/>
            <w:shd w:fill="F7F7F7"/>
          </w:tcPr>
          <w:p>
            <w:pPr>
              <w:spacing w:after="0"/>
            </w:pPr>
            <w:r/>
            <w:r>
              <w:rPr>
                <w:rFonts w:ascii="Arial" w:hAnsi="Arial"/>
                <w:b w:val="0"/>
                <w:sz w:val="17"/>
              </w:rPr>
              <w:t>Analyze probable source area and proposed fix scope.</w:t>
            </w:r>
          </w:p>
        </w:tc>
        <w:tc>
          <w:tcPr>
            <w:tcW w:type="dxa" w:w="2304"/>
            <w:vAlign w:val="top"/>
            <w:shd w:fill="F7F7F7"/>
          </w:tcPr>
          <w:p>
            <w:pPr>
              <w:spacing w:after="0"/>
            </w:pPr>
            <w:r/>
            <w:r>
              <w:rPr>
                <w:rFonts w:ascii="Arial" w:hAnsi="Arial"/>
                <w:b w:val="0"/>
                <w:sz w:val="17"/>
              </w:rPr>
              <w:t>Required evidence before PR.</w:t>
            </w:r>
          </w:p>
        </w:tc>
        <w:tc>
          <w:tcPr>
            <w:tcW w:type="dxa" w:w="2448"/>
            <w:vAlign w:val="top"/>
            <w:shd w:fill="F7F7F7"/>
          </w:tcPr>
          <w:p>
            <w:pPr>
              <w:spacing w:after="0"/>
            </w:pPr>
            <w:r/>
            <w:r>
              <w:rPr>
                <w:rFonts w:ascii="Arial" w:hAnsi="Arial"/>
                <w:b w:val="0"/>
                <w:sz w:val="17"/>
              </w:rPr>
              <w:t>Incident ID, trace_id, analysis output, proposed PR.</w:t>
            </w:r>
          </w:p>
        </w:tc>
      </w:tr>
      <w:tr>
        <w:tc>
          <w:tcPr>
            <w:tcW w:type="dxa" w:w="2304"/>
            <w:vAlign w:val="top"/>
          </w:tcPr>
          <w:p>
            <w:pPr>
              <w:spacing w:after="0"/>
            </w:pPr>
            <w:r/>
            <w:r>
              <w:rPr>
                <w:rFonts w:ascii="Arial" w:hAnsi="Arial"/>
                <w:b w:val="0"/>
                <w:sz w:val="17"/>
              </w:rPr>
              <w:t>Direct production change</w:t>
            </w:r>
          </w:p>
        </w:tc>
        <w:tc>
          <w:tcPr>
            <w:tcW w:type="dxa" w:w="3600"/>
            <w:vAlign w:val="top"/>
          </w:tcPr>
          <w:p>
            <w:pPr>
              <w:spacing w:after="0"/>
            </w:pPr>
            <w:r/>
            <w:r>
              <w:rPr>
                <w:rFonts w:ascii="Arial" w:hAnsi="Arial"/>
                <w:b w:val="0"/>
                <w:sz w:val="17"/>
              </w:rPr>
              <w:t>No GitNexus-driven direct mutation.</w:t>
            </w:r>
          </w:p>
        </w:tc>
        <w:tc>
          <w:tcPr>
            <w:tcW w:type="dxa" w:w="2304"/>
            <w:vAlign w:val="top"/>
          </w:tcPr>
          <w:p>
            <w:pPr>
              <w:spacing w:after="0"/>
            </w:pPr>
            <w:r/>
            <w:r>
              <w:rPr>
                <w:rFonts w:ascii="Arial" w:hAnsi="Arial"/>
                <w:b w:val="0"/>
                <w:sz w:val="17"/>
              </w:rPr>
              <w:t>Prohibited</w:t>
            </w:r>
          </w:p>
        </w:tc>
        <w:tc>
          <w:tcPr>
            <w:tcW w:type="dxa" w:w="2448"/>
            <w:vAlign w:val="top"/>
          </w:tcPr>
          <w:p>
            <w:pPr>
              <w:spacing w:after="0"/>
            </w:pPr>
            <w:r/>
            <w:r>
              <w:rPr>
                <w:rFonts w:ascii="Arial" w:hAnsi="Arial"/>
                <w:b w:val="0"/>
                <w:sz w:val="17"/>
              </w:rPr>
              <w:t>N/A; use CAB/emergency process.</w:t>
            </w:r>
          </w:p>
        </w:tc>
      </w:tr>
    </w:tbl>
    <w:p/>
    <w:p>
      <w:pPr>
        <w:pStyle w:val="Heading2"/>
        <w:keepNext w:val="0"/>
        <w:spacing w:after="80" w:line="252" w:lineRule="auto"/>
      </w:pPr>
      <w:r>
        <w:rPr>
          <w:rFonts w:ascii="Arial" w:hAnsi="Arial"/>
          <w:b w:val="0"/>
          <w:i w:val="0"/>
        </w:rPr>
        <w:t>9.1 Recommended CI Gate Progression</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c>
          <w:tcPr>
            <w:tcW w:type="dxa" w:w="2304"/>
            <w:shd w:fill="1F4E79"/>
            <w:vAlign w:val="center"/>
          </w:tcPr>
          <w:p>
            <w:pPr>
              <w:spacing w:after="0"/>
            </w:pPr>
            <w:r/>
            <w:r>
              <w:rPr>
                <w:rFonts w:ascii="Arial" w:hAnsi="Arial"/>
                <w:b/>
                <w:color w:val="FFFFFF"/>
                <w:sz w:val="17"/>
              </w:rPr>
              <w:t>Gate Level</w:t>
            </w:r>
          </w:p>
        </w:tc>
        <w:tc>
          <w:tcPr>
            <w:tcW w:type="dxa" w:w="4320"/>
            <w:shd w:fill="1F4E79"/>
            <w:vAlign w:val="center"/>
          </w:tcPr>
          <w:p>
            <w:pPr>
              <w:spacing w:after="0"/>
            </w:pPr>
            <w:r/>
            <w:r>
              <w:rPr>
                <w:rFonts w:ascii="Arial" w:hAnsi="Arial"/>
                <w:b/>
                <w:color w:val="FFFFFF"/>
                <w:sz w:val="17"/>
              </w:rPr>
              <w:t>Meaning</w:t>
            </w:r>
          </w:p>
        </w:tc>
        <w:tc>
          <w:tcPr>
            <w:tcW w:type="dxa" w:w="4031"/>
            <w:shd w:fill="1F4E79"/>
            <w:vAlign w:val="center"/>
          </w:tcPr>
          <w:p>
            <w:pPr>
              <w:spacing w:after="0"/>
            </w:pPr>
            <w:r/>
            <w:r>
              <w:rPr>
                <w:rFonts w:ascii="Arial" w:hAnsi="Arial"/>
                <w:b/>
                <w:color w:val="FFFFFF"/>
                <w:sz w:val="17"/>
              </w:rPr>
              <w:t>Exit Criteria to Advance</w:t>
            </w:r>
          </w:p>
        </w:tc>
      </w:tr>
      <w:tr>
        <w:tc>
          <w:tcPr>
            <w:tcW w:type="dxa" w:w="2304"/>
            <w:vAlign w:val="top"/>
          </w:tcPr>
          <w:p>
            <w:pPr>
              <w:spacing w:after="0"/>
            </w:pPr>
            <w:r/>
            <w:r>
              <w:rPr>
                <w:rFonts w:ascii="Arial" w:hAnsi="Arial"/>
                <w:b w:val="0"/>
                <w:sz w:val="17"/>
              </w:rPr>
              <w:t>G0 - Disabled</w:t>
            </w:r>
          </w:p>
        </w:tc>
        <w:tc>
          <w:tcPr>
            <w:tcW w:type="dxa" w:w="4320"/>
            <w:vAlign w:val="top"/>
          </w:tcPr>
          <w:p>
            <w:pPr>
              <w:spacing w:after="0"/>
            </w:pPr>
            <w:r/>
            <w:r>
              <w:rPr>
                <w:rFonts w:ascii="Arial" w:hAnsi="Arial"/>
                <w:b w:val="0"/>
                <w:sz w:val="17"/>
              </w:rPr>
              <w:t>Not used in CI; manual developer use only.</w:t>
            </w:r>
          </w:p>
        </w:tc>
        <w:tc>
          <w:tcPr>
            <w:tcW w:type="dxa" w:w="4031"/>
            <w:vAlign w:val="top"/>
          </w:tcPr>
          <w:p>
            <w:pPr>
              <w:spacing w:after="0"/>
            </w:pPr>
            <w:r/>
            <w:r>
              <w:rPr>
                <w:rFonts w:ascii="Arial" w:hAnsi="Arial"/>
                <w:b w:val="0"/>
                <w:sz w:val="17"/>
              </w:rPr>
              <w:t>PoC repository selected and security review completed.</w:t>
            </w:r>
          </w:p>
        </w:tc>
      </w:tr>
      <w:tr>
        <w:tc>
          <w:tcPr>
            <w:tcW w:type="dxa" w:w="2304"/>
            <w:vAlign w:val="top"/>
            <w:shd w:fill="F7F7F7"/>
          </w:tcPr>
          <w:p>
            <w:pPr>
              <w:spacing w:after="0"/>
            </w:pPr>
            <w:r/>
            <w:r>
              <w:rPr>
                <w:rFonts w:ascii="Arial" w:hAnsi="Arial"/>
                <w:b w:val="0"/>
                <w:sz w:val="17"/>
              </w:rPr>
              <w:t>G1 - Advisory</w:t>
            </w:r>
          </w:p>
        </w:tc>
        <w:tc>
          <w:tcPr>
            <w:tcW w:type="dxa" w:w="4320"/>
            <w:vAlign w:val="top"/>
            <w:shd w:fill="F7F7F7"/>
          </w:tcPr>
          <w:p>
            <w:pPr>
              <w:spacing w:after="0"/>
            </w:pPr>
            <w:r/>
            <w:r>
              <w:rPr>
                <w:rFonts w:ascii="Arial" w:hAnsi="Arial"/>
                <w:b w:val="0"/>
                <w:sz w:val="17"/>
              </w:rPr>
              <w:t>CI publishes report but does not block.</w:t>
            </w:r>
          </w:p>
        </w:tc>
        <w:tc>
          <w:tcPr>
            <w:tcW w:type="dxa" w:w="4031"/>
            <w:vAlign w:val="top"/>
            <w:shd w:fill="F7F7F7"/>
          </w:tcPr>
          <w:p>
            <w:pPr>
              <w:spacing w:after="0"/>
            </w:pPr>
            <w:r/>
            <w:r>
              <w:rPr>
                <w:rFonts w:ascii="Arial" w:hAnsi="Arial"/>
                <w:b w:val="0"/>
                <w:sz w:val="17"/>
              </w:rPr>
              <w:t>False positive/negative rate understood; run-time acceptable; report useful to reviewers.</w:t>
            </w:r>
          </w:p>
        </w:tc>
      </w:tr>
      <w:tr>
        <w:tc>
          <w:tcPr>
            <w:tcW w:type="dxa" w:w="2304"/>
            <w:vAlign w:val="top"/>
          </w:tcPr>
          <w:p>
            <w:pPr>
              <w:spacing w:after="0"/>
            </w:pPr>
            <w:r/>
            <w:r>
              <w:rPr>
                <w:rFonts w:ascii="Arial" w:hAnsi="Arial"/>
                <w:b w:val="0"/>
                <w:sz w:val="17"/>
              </w:rPr>
              <w:t>G2 - Warning</w:t>
            </w:r>
          </w:p>
        </w:tc>
        <w:tc>
          <w:tcPr>
            <w:tcW w:type="dxa" w:w="4320"/>
            <w:vAlign w:val="top"/>
          </w:tcPr>
          <w:p>
            <w:pPr>
              <w:spacing w:after="0"/>
            </w:pPr>
            <w:r/>
            <w:r>
              <w:rPr>
                <w:rFonts w:ascii="Arial" w:hAnsi="Arial"/>
                <w:b w:val="0"/>
                <w:sz w:val="17"/>
              </w:rPr>
              <w:t>CI warns and requires reviewer acknowledgement for risky findings.</w:t>
            </w:r>
          </w:p>
        </w:tc>
        <w:tc>
          <w:tcPr>
            <w:tcW w:type="dxa" w:w="4031"/>
            <w:vAlign w:val="top"/>
          </w:tcPr>
          <w:p>
            <w:pPr>
              <w:spacing w:after="0"/>
            </w:pPr>
            <w:r/>
            <w:r>
              <w:rPr>
                <w:rFonts w:ascii="Arial" w:hAnsi="Arial"/>
                <w:b w:val="0"/>
                <w:sz w:val="17"/>
              </w:rPr>
              <w:t>Findings mapped to AIRA controls; waiver process tested.</w:t>
            </w:r>
          </w:p>
        </w:tc>
      </w:tr>
      <w:tr>
        <w:tc>
          <w:tcPr>
            <w:tcW w:type="dxa" w:w="2304"/>
            <w:vAlign w:val="top"/>
            <w:shd w:fill="F7F7F7"/>
          </w:tcPr>
          <w:p>
            <w:pPr>
              <w:spacing w:after="0"/>
            </w:pPr>
            <w:r/>
            <w:r>
              <w:rPr>
                <w:rFonts w:ascii="Arial" w:hAnsi="Arial"/>
                <w:b w:val="0"/>
                <w:sz w:val="17"/>
              </w:rPr>
              <w:t>G3 - Blocking for Critical Findings</w:t>
            </w:r>
          </w:p>
        </w:tc>
        <w:tc>
          <w:tcPr>
            <w:tcW w:type="dxa" w:w="4320"/>
            <w:vAlign w:val="top"/>
            <w:shd w:fill="F7F7F7"/>
          </w:tcPr>
          <w:p>
            <w:pPr>
              <w:spacing w:after="0"/>
            </w:pPr>
            <w:r/>
            <w:r>
              <w:rPr>
                <w:rFonts w:ascii="Arial" w:hAnsi="Arial"/>
                <w:b w:val="0"/>
                <w:sz w:val="17"/>
              </w:rPr>
              <w:t>CI blocks only approved critical violations such as stale index, generated-rule drift, or severe boundary risk.</w:t>
            </w:r>
          </w:p>
        </w:tc>
        <w:tc>
          <w:tcPr>
            <w:tcW w:type="dxa" w:w="4031"/>
            <w:vAlign w:val="top"/>
            <w:shd w:fill="F7F7F7"/>
          </w:tcPr>
          <w:p>
            <w:pPr>
              <w:spacing w:after="0"/>
            </w:pPr>
            <w:r/>
            <w:r>
              <w:rPr>
                <w:rFonts w:ascii="Arial" w:hAnsi="Arial"/>
                <w:b w:val="0"/>
                <w:sz w:val="17"/>
              </w:rPr>
              <w:t>ARB/CAB approval; rollback and support procedure ready.</w:t>
            </w:r>
          </w:p>
        </w:tc>
      </w:tr>
      <w:tr>
        <w:tc>
          <w:tcPr>
            <w:tcW w:type="dxa" w:w="2304"/>
            <w:vAlign w:val="top"/>
          </w:tcPr>
          <w:p>
            <w:pPr>
              <w:spacing w:after="0"/>
            </w:pPr>
            <w:r/>
            <w:r>
              <w:rPr>
                <w:rFonts w:ascii="Arial" w:hAnsi="Arial"/>
                <w:b w:val="0"/>
                <w:sz w:val="17"/>
              </w:rPr>
              <w:t>G4 - Integrated Evidence Gate</w:t>
            </w:r>
          </w:p>
        </w:tc>
        <w:tc>
          <w:tcPr>
            <w:tcW w:type="dxa" w:w="4320"/>
            <w:vAlign w:val="top"/>
          </w:tcPr>
          <w:p>
            <w:pPr>
              <w:spacing w:after="0"/>
            </w:pPr>
            <w:r/>
            <w:r>
              <w:rPr>
                <w:rFonts w:ascii="Arial" w:hAnsi="Arial"/>
                <w:b w:val="0"/>
                <w:sz w:val="17"/>
              </w:rPr>
              <w:t>GitNexus results become one input to release and Auto-Heal readiness.</w:t>
            </w:r>
          </w:p>
        </w:tc>
        <w:tc>
          <w:tcPr>
            <w:tcW w:type="dxa" w:w="4031"/>
            <w:vAlign w:val="top"/>
          </w:tcPr>
          <w:p>
            <w:pPr>
              <w:spacing w:after="0"/>
            </w:pPr>
            <w:r/>
            <w:r>
              <w:rPr>
                <w:rFonts w:ascii="Arial" w:hAnsi="Arial"/>
                <w:b w:val="0"/>
                <w:sz w:val="17"/>
              </w:rPr>
              <w:t>Operational maturity, dashboards, and audit sampling established.</w:t>
            </w:r>
          </w:p>
        </w:tc>
      </w:tr>
    </w:tbl>
    <w:p/>
    <w:p>
      <w:pPr>
        <w:pStyle w:val="Heading1"/>
        <w:keepNext w:val="0"/>
        <w:spacing w:after="80" w:line="252" w:lineRule="auto"/>
      </w:pPr>
      <w:r>
        <w:rPr>
          <w:rFonts w:ascii="Arial" w:hAnsi="Arial"/>
          <w:b w:val="0"/>
          <w:i w:val="0"/>
        </w:rPr>
        <w:t>10. Security, Privacy, Classification, and Licensing Controls</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c>
          <w:tcPr>
            <w:tcW w:type="dxa" w:w="2160"/>
            <w:shd w:fill="1F4E79"/>
            <w:vAlign w:val="center"/>
          </w:tcPr>
          <w:p>
            <w:pPr>
              <w:spacing w:after="0"/>
            </w:pPr>
            <w:r/>
            <w:r>
              <w:rPr>
                <w:rFonts w:ascii="Arial" w:hAnsi="Arial"/>
                <w:b/>
                <w:color w:val="FFFFFF"/>
                <w:sz w:val="17"/>
              </w:rPr>
              <w:t>Control Area</w:t>
            </w:r>
          </w:p>
        </w:tc>
        <w:tc>
          <w:tcPr>
            <w:tcW w:type="dxa" w:w="5903"/>
            <w:shd w:fill="1F4E79"/>
            <w:vAlign w:val="center"/>
          </w:tcPr>
          <w:p>
            <w:pPr>
              <w:spacing w:after="0"/>
            </w:pPr>
            <w:r/>
            <w:r>
              <w:rPr>
                <w:rFonts w:ascii="Arial" w:hAnsi="Arial"/>
                <w:b/>
                <w:color w:val="FFFFFF"/>
                <w:sz w:val="17"/>
              </w:rPr>
              <w:t>Requirement</w:t>
            </w:r>
          </w:p>
        </w:tc>
        <w:tc>
          <w:tcPr>
            <w:tcW w:type="dxa" w:w="2592"/>
            <w:shd w:fill="1F4E79"/>
            <w:vAlign w:val="center"/>
          </w:tcPr>
          <w:p>
            <w:pPr>
              <w:spacing w:after="0"/>
            </w:pPr>
            <w:r/>
            <w:r>
              <w:rPr>
                <w:rFonts w:ascii="Arial" w:hAnsi="Arial"/>
                <w:b/>
                <w:color w:val="FFFFFF"/>
                <w:sz w:val="17"/>
              </w:rPr>
              <w:t>Evidence</w:t>
            </w:r>
          </w:p>
        </w:tc>
      </w:tr>
      <w:tr>
        <w:tc>
          <w:tcPr>
            <w:tcW w:type="dxa" w:w="2160"/>
            <w:vAlign w:val="top"/>
          </w:tcPr>
          <w:p>
            <w:pPr>
              <w:spacing w:after="0"/>
            </w:pPr>
            <w:r/>
            <w:r>
              <w:rPr>
                <w:rFonts w:ascii="Arial" w:hAnsi="Arial"/>
                <w:b w:val="0"/>
                <w:sz w:val="17"/>
              </w:rPr>
              <w:t>Classification</w:t>
            </w:r>
          </w:p>
        </w:tc>
        <w:tc>
          <w:tcPr>
            <w:tcW w:type="dxa" w:w="5903"/>
            <w:vAlign w:val="top"/>
          </w:tcPr>
          <w:p>
            <w:pPr>
              <w:spacing w:after="0"/>
            </w:pPr>
            <w:r/>
            <w:r>
              <w:rPr>
                <w:rFonts w:ascii="Arial" w:hAnsi="Arial"/>
                <w:b w:val="0"/>
                <w:sz w:val="17"/>
              </w:rPr>
              <w:t>Repository and index inherit the highest classification of indexed source. Confidential or Restricted code requires controlled route and storage.</w:t>
            </w:r>
          </w:p>
        </w:tc>
        <w:tc>
          <w:tcPr>
            <w:tcW w:type="dxa" w:w="2592"/>
            <w:vAlign w:val="top"/>
          </w:tcPr>
          <w:p>
            <w:pPr>
              <w:spacing w:after="0"/>
            </w:pPr>
            <w:r/>
            <w:r>
              <w:rPr>
                <w:rFonts w:ascii="Arial" w:hAnsi="Arial"/>
                <w:b w:val="0"/>
                <w:sz w:val="17"/>
              </w:rPr>
              <w:t>Classification metadata and access approval.</w:t>
            </w:r>
          </w:p>
        </w:tc>
      </w:tr>
      <w:tr>
        <w:tc>
          <w:tcPr>
            <w:tcW w:type="dxa" w:w="2160"/>
            <w:vAlign w:val="top"/>
            <w:shd w:fill="F7F7F7"/>
          </w:tcPr>
          <w:p>
            <w:pPr>
              <w:spacing w:after="0"/>
            </w:pPr>
            <w:r/>
            <w:r>
              <w:rPr>
                <w:rFonts w:ascii="Arial" w:hAnsi="Arial"/>
                <w:b w:val="0"/>
                <w:sz w:val="17"/>
              </w:rPr>
              <w:t>Secrets and PII</w:t>
            </w:r>
          </w:p>
        </w:tc>
        <w:tc>
          <w:tcPr>
            <w:tcW w:type="dxa" w:w="5903"/>
            <w:vAlign w:val="top"/>
            <w:shd w:fill="F7F7F7"/>
          </w:tcPr>
          <w:p>
            <w:pPr>
              <w:spacing w:after="0"/>
            </w:pPr>
            <w:r/>
            <w:r>
              <w:rPr>
                <w:rFonts w:ascii="Arial" w:hAnsi="Arial"/>
                <w:b w:val="0"/>
                <w:sz w:val="17"/>
              </w:rPr>
              <w:t>No secrets, credentials, raw PII, production data, prompt secrets, or restricted logs in GitNexus prompts, generated docs, reports, or logs.</w:t>
            </w:r>
          </w:p>
        </w:tc>
        <w:tc>
          <w:tcPr>
            <w:tcW w:type="dxa" w:w="2592"/>
            <w:vAlign w:val="top"/>
            <w:shd w:fill="F7F7F7"/>
          </w:tcPr>
          <w:p>
            <w:pPr>
              <w:spacing w:after="0"/>
            </w:pPr>
            <w:r/>
            <w:r>
              <w:rPr>
                <w:rFonts w:ascii="Arial" w:hAnsi="Arial"/>
                <w:b w:val="0"/>
                <w:sz w:val="17"/>
              </w:rPr>
              <w:t>Secret scan; reviewer attestation.</w:t>
            </w:r>
          </w:p>
        </w:tc>
      </w:tr>
      <w:tr>
        <w:tc>
          <w:tcPr>
            <w:tcW w:type="dxa" w:w="2160"/>
            <w:vAlign w:val="top"/>
          </w:tcPr>
          <w:p>
            <w:pPr>
              <w:spacing w:after="0"/>
            </w:pPr>
            <w:r/>
            <w:r>
              <w:rPr>
                <w:rFonts w:ascii="Arial" w:hAnsi="Arial"/>
                <w:b w:val="0"/>
                <w:sz w:val="17"/>
              </w:rPr>
              <w:t>Local execution</w:t>
            </w:r>
          </w:p>
        </w:tc>
        <w:tc>
          <w:tcPr>
            <w:tcW w:type="dxa" w:w="5903"/>
            <w:vAlign w:val="top"/>
          </w:tcPr>
          <w:p>
            <w:pPr>
              <w:spacing w:after="0"/>
            </w:pPr>
            <w:r/>
            <w:r>
              <w:rPr>
                <w:rFonts w:ascii="Arial" w:hAnsi="Arial"/>
                <w:b w:val="0"/>
                <w:sz w:val="17"/>
              </w:rPr>
              <w:t>Default use is local CLI. Any hosted or self-hosted mode requires security, license, network, and data-flow review.</w:t>
            </w:r>
          </w:p>
        </w:tc>
        <w:tc>
          <w:tcPr>
            <w:tcW w:type="dxa" w:w="2592"/>
            <w:vAlign w:val="top"/>
          </w:tcPr>
          <w:p>
            <w:pPr>
              <w:spacing w:after="0"/>
            </w:pPr>
            <w:r/>
            <w:r>
              <w:rPr>
                <w:rFonts w:ascii="Arial" w:hAnsi="Arial"/>
                <w:b w:val="0"/>
                <w:sz w:val="17"/>
              </w:rPr>
              <w:t>Security review and ADR/TDL.</w:t>
            </w:r>
          </w:p>
        </w:tc>
      </w:tr>
      <w:tr>
        <w:tc>
          <w:tcPr>
            <w:tcW w:type="dxa" w:w="2160"/>
            <w:vAlign w:val="top"/>
            <w:shd w:fill="F7F7F7"/>
          </w:tcPr>
          <w:p>
            <w:pPr>
              <w:spacing w:after="0"/>
            </w:pPr>
            <w:r/>
            <w:r>
              <w:rPr>
                <w:rFonts w:ascii="Arial" w:hAnsi="Arial"/>
                <w:b w:val="0"/>
                <w:sz w:val="17"/>
              </w:rPr>
              <w:t>MCP security</w:t>
            </w:r>
          </w:p>
        </w:tc>
        <w:tc>
          <w:tcPr>
            <w:tcW w:type="dxa" w:w="5903"/>
            <w:vAlign w:val="top"/>
            <w:shd w:fill="F7F7F7"/>
          </w:tcPr>
          <w:p>
            <w:pPr>
              <w:spacing w:after="0"/>
            </w:pPr>
            <w:r/>
            <w:r>
              <w:rPr>
                <w:rFonts w:ascii="Arial" w:hAnsi="Arial"/>
                <w:b w:val="0"/>
                <w:sz w:val="17"/>
              </w:rPr>
              <w:t>MCP tools must be registered through approved configuration, not ad hoc user-managed integrations for AIRA repositories.</w:t>
            </w:r>
          </w:p>
        </w:tc>
        <w:tc>
          <w:tcPr>
            <w:tcW w:type="dxa" w:w="2592"/>
            <w:vAlign w:val="top"/>
            <w:shd w:fill="F7F7F7"/>
          </w:tcPr>
          <w:p>
            <w:pPr>
              <w:spacing w:after="0"/>
            </w:pPr>
            <w:r/>
            <w:r>
              <w:rPr>
                <w:rFonts w:ascii="Arial" w:hAnsi="Arial"/>
                <w:b w:val="0"/>
                <w:sz w:val="17"/>
              </w:rPr>
              <w:t>MCP config review; tool registry entry.</w:t>
            </w:r>
          </w:p>
        </w:tc>
      </w:tr>
      <w:tr>
        <w:tc>
          <w:tcPr>
            <w:tcW w:type="dxa" w:w="2160"/>
            <w:vAlign w:val="top"/>
          </w:tcPr>
          <w:p>
            <w:pPr>
              <w:spacing w:after="0"/>
            </w:pPr>
            <w:r/>
            <w:r>
              <w:rPr>
                <w:rFonts w:ascii="Arial" w:hAnsi="Arial"/>
                <w:b w:val="0"/>
                <w:sz w:val="17"/>
              </w:rPr>
              <w:t>Network control</w:t>
            </w:r>
          </w:p>
        </w:tc>
        <w:tc>
          <w:tcPr>
            <w:tcW w:type="dxa" w:w="5903"/>
            <w:vAlign w:val="top"/>
          </w:tcPr>
          <w:p>
            <w:pPr>
              <w:spacing w:after="0"/>
            </w:pPr>
            <w:r/>
            <w:r>
              <w:rPr>
                <w:rFonts w:ascii="Arial" w:hAnsi="Arial"/>
                <w:b w:val="0"/>
                <w:sz w:val="17"/>
              </w:rPr>
              <w:t>CI or self-hosted GitNexus must not exfiltrate code or telemetry to unapproved endpoints.</w:t>
            </w:r>
          </w:p>
        </w:tc>
        <w:tc>
          <w:tcPr>
            <w:tcW w:type="dxa" w:w="2592"/>
            <w:vAlign w:val="top"/>
          </w:tcPr>
          <w:p>
            <w:pPr>
              <w:spacing w:after="0"/>
            </w:pPr>
            <w:r/>
            <w:r>
              <w:rPr>
                <w:rFonts w:ascii="Arial" w:hAnsi="Arial"/>
                <w:b w:val="0"/>
                <w:sz w:val="17"/>
              </w:rPr>
              <w:t>Firewall/proxy logs or network policy evidence.</w:t>
            </w:r>
          </w:p>
        </w:tc>
      </w:tr>
      <w:tr>
        <w:tc>
          <w:tcPr>
            <w:tcW w:type="dxa" w:w="2160"/>
            <w:vAlign w:val="top"/>
            <w:shd w:fill="F7F7F7"/>
          </w:tcPr>
          <w:p>
            <w:pPr>
              <w:spacing w:after="0"/>
            </w:pPr>
            <w:r/>
            <w:r>
              <w:rPr>
                <w:rFonts w:ascii="Arial" w:hAnsi="Arial"/>
                <w:b w:val="0"/>
                <w:sz w:val="17"/>
              </w:rPr>
              <w:t>Index storage</w:t>
            </w:r>
          </w:p>
        </w:tc>
        <w:tc>
          <w:tcPr>
            <w:tcW w:type="dxa" w:w="5903"/>
            <w:vAlign w:val="top"/>
            <w:shd w:fill="F7F7F7"/>
          </w:tcPr>
          <w:p>
            <w:pPr>
              <w:spacing w:after="0"/>
            </w:pPr>
            <w:r/>
            <w:r>
              <w:rPr>
                <w:rFonts w:ascii="Arial" w:hAnsi="Arial"/>
                <w:b w:val="0"/>
                <w:sz w:val="17"/>
              </w:rPr>
              <w:t>.gitnexus/ and derived indexes are excluded from Git unless formally approved. Retention and disposal must follow classification rules.</w:t>
            </w:r>
          </w:p>
        </w:tc>
        <w:tc>
          <w:tcPr>
            <w:tcW w:type="dxa" w:w="2592"/>
            <w:vAlign w:val="top"/>
            <w:shd w:fill="F7F7F7"/>
          </w:tcPr>
          <w:p>
            <w:pPr>
              <w:spacing w:after="0"/>
            </w:pPr>
            <w:r/>
            <w:r>
              <w:rPr>
                <w:rFonts w:ascii="Arial" w:hAnsi="Arial"/>
                <w:b w:val="0"/>
                <w:sz w:val="17"/>
              </w:rPr>
              <w:t>.gitignore evidence; disposal procedure.</w:t>
            </w:r>
          </w:p>
        </w:tc>
      </w:tr>
      <w:tr>
        <w:tc>
          <w:tcPr>
            <w:tcW w:type="dxa" w:w="2160"/>
            <w:vAlign w:val="top"/>
          </w:tcPr>
          <w:p>
            <w:pPr>
              <w:spacing w:after="0"/>
            </w:pPr>
            <w:r/>
            <w:r>
              <w:rPr>
                <w:rFonts w:ascii="Arial" w:hAnsi="Arial"/>
                <w:b w:val="0"/>
                <w:sz w:val="17"/>
              </w:rPr>
              <w:t>Generated files</w:t>
            </w:r>
          </w:p>
        </w:tc>
        <w:tc>
          <w:tcPr>
            <w:tcW w:type="dxa" w:w="5903"/>
            <w:vAlign w:val="top"/>
          </w:tcPr>
          <w:p>
            <w:pPr>
              <w:spacing w:after="0"/>
            </w:pPr>
            <w:r/>
            <w:r>
              <w:rPr>
                <w:rFonts w:ascii="Arial" w:hAnsi="Arial"/>
                <w:b w:val="0"/>
                <w:sz w:val="17"/>
              </w:rPr>
              <w:t>Generated AGENTS.md, CLAUDE.md, hooks, or skills must be diff-reviewed and cannot weaken AIRA canonical rules.</w:t>
            </w:r>
          </w:p>
        </w:tc>
        <w:tc>
          <w:tcPr>
            <w:tcW w:type="dxa" w:w="2592"/>
            <w:vAlign w:val="top"/>
          </w:tcPr>
          <w:p>
            <w:pPr>
              <w:spacing w:after="0"/>
            </w:pPr>
            <w:r/>
            <w:r>
              <w:rPr>
                <w:rFonts w:ascii="Arial" w:hAnsi="Arial"/>
                <w:b w:val="0"/>
                <w:sz w:val="17"/>
              </w:rPr>
              <w:t>PR diff and CODEOWNERS approval.</w:t>
            </w:r>
          </w:p>
        </w:tc>
      </w:tr>
      <w:tr>
        <w:tc>
          <w:tcPr>
            <w:tcW w:type="dxa" w:w="2160"/>
            <w:vAlign w:val="top"/>
            <w:shd w:fill="F7F7F7"/>
          </w:tcPr>
          <w:p>
            <w:pPr>
              <w:spacing w:after="0"/>
            </w:pPr>
            <w:r/>
            <w:r>
              <w:rPr>
                <w:rFonts w:ascii="Arial" w:hAnsi="Arial"/>
                <w:b w:val="0"/>
                <w:sz w:val="17"/>
              </w:rPr>
              <w:t>License and procurement</w:t>
            </w:r>
          </w:p>
        </w:tc>
        <w:tc>
          <w:tcPr>
            <w:tcW w:type="dxa" w:w="5903"/>
            <w:vAlign w:val="top"/>
            <w:shd w:fill="F7F7F7"/>
          </w:tcPr>
          <w:p>
            <w:pPr>
              <w:spacing w:after="0"/>
            </w:pPr>
            <w:r/>
            <w:r>
              <w:rPr>
                <w:rFonts w:ascii="Arial" w:hAnsi="Arial"/>
                <w:b w:val="0"/>
                <w:sz w:val="17"/>
              </w:rPr>
              <w:t>Commercial use, enterprise use, SaaS, and self-hosted deployment require license review before enterprise adoption.</w:t>
            </w:r>
          </w:p>
        </w:tc>
        <w:tc>
          <w:tcPr>
            <w:tcW w:type="dxa" w:w="2592"/>
            <w:vAlign w:val="top"/>
            <w:shd w:fill="F7F7F7"/>
          </w:tcPr>
          <w:p>
            <w:pPr>
              <w:spacing w:after="0"/>
            </w:pPr>
            <w:r/>
            <w:r>
              <w:rPr>
                <w:rFonts w:ascii="Arial" w:hAnsi="Arial"/>
                <w:b w:val="0"/>
                <w:sz w:val="17"/>
              </w:rPr>
              <w:t>Legal/procurement review record.</w:t>
            </w:r>
          </w:p>
        </w:tc>
      </w:tr>
      <w:tr>
        <w:tc>
          <w:tcPr>
            <w:tcW w:type="dxa" w:w="2160"/>
            <w:vAlign w:val="top"/>
          </w:tcPr>
          <w:p>
            <w:pPr>
              <w:spacing w:after="0"/>
            </w:pPr>
            <w:r/>
            <w:r>
              <w:rPr>
                <w:rFonts w:ascii="Arial" w:hAnsi="Arial"/>
                <w:b w:val="0"/>
                <w:sz w:val="17"/>
              </w:rPr>
              <w:t>Supply chain</w:t>
            </w:r>
          </w:p>
        </w:tc>
        <w:tc>
          <w:tcPr>
            <w:tcW w:type="dxa" w:w="5903"/>
            <w:vAlign w:val="top"/>
          </w:tcPr>
          <w:p>
            <w:pPr>
              <w:spacing w:after="0"/>
            </w:pPr>
            <w:r/>
            <w:r>
              <w:rPr>
                <w:rFonts w:ascii="Arial" w:hAnsi="Arial"/>
                <w:b w:val="0"/>
                <w:sz w:val="17"/>
              </w:rPr>
              <w:t>Install only from approved package source, pinned version, checksum/digest where available, and controlled devcontainer/CI image.</w:t>
            </w:r>
          </w:p>
        </w:tc>
        <w:tc>
          <w:tcPr>
            <w:tcW w:type="dxa" w:w="2592"/>
            <w:vAlign w:val="top"/>
          </w:tcPr>
          <w:p>
            <w:pPr>
              <w:spacing w:after="0"/>
            </w:pPr>
            <w:r/>
            <w:r>
              <w:rPr>
                <w:rFonts w:ascii="Arial" w:hAnsi="Arial"/>
                <w:b w:val="0"/>
                <w:sz w:val="17"/>
              </w:rPr>
              <w:t>Golden Source registry entry; SBOM.</w:t>
            </w:r>
          </w:p>
        </w:tc>
      </w:tr>
    </w:tbl>
    <w:p/>
    <w:tbl>
      <w:tblPr>
        <w:tblW w:type="auto" w:w="0"/>
        <w:jc w:val="center"/>
        <w:tblLook w:firstColumn="1" w:firstRow="1" w:lastColumn="0" w:lastRow="0" w:noHBand="0" w:noVBand="1" w:val="04A0"/>
        <w:tblBorders>
          <w:top w:val="single" w:sz="6" w:space="0" w:color="9EADBD"/>
          <w:left w:val="single" w:sz="6" w:space="0" w:color="9EADBD"/>
          <w:bottom w:val="single" w:sz="6" w:space="0" w:color="9EADBD"/>
          <w:right w:val="single" w:sz="6" w:space="0" w:color="9EADBD"/>
          <w:insideH w:val="single" w:sz="6" w:space="0" w:color="9EADBD"/>
          <w:insideV w:val="single" w:sz="6" w:space="0" w:color="9EADBD"/>
        </w:tblBorders>
      </w:tblPr>
      <w:tblGrid>
        <w:gridCol w:w="10368"/>
      </w:tblGrid>
      <w:tr>
        <w:tc>
          <w:tcPr>
            <w:tcW w:type="dxa" w:w="10368"/>
            <w:shd w:fill="FFF2CC"/>
          </w:tcPr>
          <w:p>
            <w:pPr>
              <w:spacing w:after="60"/>
            </w:pPr>
            <w:r>
              <w:rPr>
                <w:rFonts w:ascii="Arial" w:hAnsi="Arial"/>
                <w:b/>
                <w:color w:val="1F4E79"/>
                <w:sz w:val="18"/>
              </w:rPr>
              <w:t>License Review Note</w:t>
            </w:r>
          </w:p>
          <w:p>
            <w:pPr>
              <w:spacing w:after="0"/>
            </w:pPr>
            <w:r>
              <w:rPr>
                <w:rFonts w:ascii="Arial" w:hAnsi="Arial"/>
                <w:sz w:val="17"/>
              </w:rPr>
              <w:t>The public GitHub page indicates GitNexus has enterprise SaaS/self-hosted options and commercial licensing considerations. AIRA must complete legal/procurement review before using GitNexus beyond evaluation or individual non-production assessment.</w:t>
            </w:r>
          </w:p>
        </w:tc>
      </w:tr>
    </w:tbl>
    <w:p/>
    <w:p>
      <w:pPr>
        <w:pStyle w:val="Heading1"/>
        <w:keepNext w:val="0"/>
        <w:spacing w:after="80" w:line="252" w:lineRule="auto"/>
      </w:pPr>
      <w:r>
        <w:rPr>
          <w:rFonts w:ascii="Arial" w:hAnsi="Arial"/>
          <w:b w:val="0"/>
          <w:i w:val="0"/>
        </w:rPr>
        <w:t>11. Enterprise Design Principles and SOLID Enforcement Matrix</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c>
          <w:tcPr>
            <w:tcW w:type="dxa" w:w="720"/>
            <w:shd w:fill="1F4E79"/>
            <w:vAlign w:val="center"/>
          </w:tcPr>
          <w:p>
            <w:pPr>
              <w:spacing w:after="0"/>
            </w:pPr>
            <w:r/>
            <w:r>
              <w:rPr>
                <w:rFonts w:ascii="Arial" w:hAnsi="Arial"/>
                <w:b/>
                <w:color w:val="FFFFFF"/>
                <w:sz w:val="16"/>
              </w:rPr>
              <w:t>No.</w:t>
            </w:r>
          </w:p>
        </w:tc>
        <w:tc>
          <w:tcPr>
            <w:tcW w:type="dxa" w:w="2592"/>
            <w:shd w:fill="1F4E79"/>
            <w:vAlign w:val="center"/>
          </w:tcPr>
          <w:p>
            <w:pPr>
              <w:spacing w:after="0"/>
            </w:pPr>
            <w:r/>
            <w:r>
              <w:rPr>
                <w:rFonts w:ascii="Arial" w:hAnsi="Arial"/>
                <w:b/>
                <w:color w:val="FFFFFF"/>
                <w:sz w:val="16"/>
              </w:rPr>
              <w:t>Principle</w:t>
            </w:r>
          </w:p>
        </w:tc>
        <w:tc>
          <w:tcPr>
            <w:tcW w:type="dxa" w:w="7343"/>
            <w:shd w:fill="1F4E79"/>
            <w:vAlign w:val="center"/>
          </w:tcPr>
          <w:p>
            <w:pPr>
              <w:spacing w:after="0"/>
            </w:pPr>
            <w:r/>
            <w:r>
              <w:rPr>
                <w:rFonts w:ascii="Arial" w:hAnsi="Arial"/>
                <w:b/>
                <w:color w:val="FFFFFF"/>
                <w:sz w:val="16"/>
              </w:rPr>
              <w:t>GitNexus Enforcement Meaning</w:t>
            </w:r>
          </w:p>
        </w:tc>
      </w:tr>
      <w:tr>
        <w:tc>
          <w:tcPr>
            <w:tcW w:type="dxa" w:w="720"/>
            <w:vAlign w:val="top"/>
          </w:tcPr>
          <w:p>
            <w:pPr>
              <w:spacing w:after="0"/>
            </w:pPr>
            <w:r/>
            <w:r>
              <w:rPr>
                <w:rFonts w:ascii="Arial" w:hAnsi="Arial"/>
                <w:b w:val="0"/>
                <w:sz w:val="16"/>
              </w:rPr>
              <w:t>1</w:t>
            </w:r>
          </w:p>
        </w:tc>
        <w:tc>
          <w:tcPr>
            <w:tcW w:type="dxa" w:w="2592"/>
            <w:vAlign w:val="top"/>
          </w:tcPr>
          <w:p>
            <w:pPr>
              <w:spacing w:after="0"/>
            </w:pPr>
            <w:r/>
            <w:r>
              <w:rPr>
                <w:rFonts w:ascii="Arial" w:hAnsi="Arial"/>
                <w:b w:val="0"/>
                <w:sz w:val="16"/>
              </w:rPr>
              <w:t>SOLID</w:t>
            </w:r>
          </w:p>
        </w:tc>
        <w:tc>
          <w:tcPr>
            <w:tcW w:type="dxa" w:w="7343"/>
            <w:vAlign w:val="top"/>
          </w:tcPr>
          <w:p>
            <w:pPr>
              <w:spacing w:after="0"/>
            </w:pPr>
            <w:r/>
            <w:r>
              <w:rPr>
                <w:rFonts w:ascii="Arial" w:hAnsi="Arial"/>
                <w:b w:val="0"/>
                <w:sz w:val="16"/>
              </w:rPr>
              <w:t>Use GitNexus to detect large responsibility clusters, dependency sprawl, concrete coupling, interface abuse, and refactoring blast radius. Do not let generated refactors weaken SRP/OCP/LSP/ISP/DIP.</w:t>
            </w:r>
          </w:p>
        </w:tc>
      </w:tr>
      <w:tr>
        <w:tc>
          <w:tcPr>
            <w:tcW w:type="dxa" w:w="720"/>
            <w:vAlign w:val="top"/>
            <w:shd w:fill="F7F7F7"/>
          </w:tcPr>
          <w:p>
            <w:pPr>
              <w:spacing w:after="0"/>
            </w:pPr>
            <w:r/>
            <w:r>
              <w:rPr>
                <w:rFonts w:ascii="Arial" w:hAnsi="Arial"/>
                <w:b w:val="0"/>
                <w:sz w:val="16"/>
              </w:rPr>
              <w:t>2</w:t>
            </w:r>
          </w:p>
        </w:tc>
        <w:tc>
          <w:tcPr>
            <w:tcW w:type="dxa" w:w="2592"/>
            <w:vAlign w:val="top"/>
            <w:shd w:fill="F7F7F7"/>
          </w:tcPr>
          <w:p>
            <w:pPr>
              <w:spacing w:after="0"/>
            </w:pPr>
            <w:r/>
            <w:r>
              <w:rPr>
                <w:rFonts w:ascii="Arial" w:hAnsi="Arial"/>
                <w:b w:val="0"/>
                <w:sz w:val="16"/>
              </w:rPr>
              <w:t>Clean Architecture</w:t>
            </w:r>
          </w:p>
        </w:tc>
        <w:tc>
          <w:tcPr>
            <w:tcW w:type="dxa" w:w="7343"/>
            <w:vAlign w:val="top"/>
            <w:shd w:fill="F7F7F7"/>
          </w:tcPr>
          <w:p>
            <w:pPr>
              <w:spacing w:after="0"/>
            </w:pPr>
            <w:r/>
            <w:r>
              <w:rPr>
                <w:rFonts w:ascii="Arial" w:hAnsi="Arial"/>
                <w:b w:val="0"/>
                <w:sz w:val="16"/>
              </w:rPr>
              <w:t>Use dependency graph checks to confirm domain/application code does not depend on infrastructure, UI, provider SDKs, persistence clients, or uncontrolled adapters.</w:t>
            </w:r>
          </w:p>
        </w:tc>
      </w:tr>
      <w:tr>
        <w:tc>
          <w:tcPr>
            <w:tcW w:type="dxa" w:w="720"/>
            <w:vAlign w:val="top"/>
          </w:tcPr>
          <w:p>
            <w:pPr>
              <w:spacing w:after="0"/>
            </w:pPr>
            <w:r/>
            <w:r>
              <w:rPr>
                <w:rFonts w:ascii="Arial" w:hAnsi="Arial"/>
                <w:b w:val="0"/>
                <w:sz w:val="16"/>
              </w:rPr>
              <w:t>3</w:t>
            </w:r>
          </w:p>
        </w:tc>
        <w:tc>
          <w:tcPr>
            <w:tcW w:type="dxa" w:w="2592"/>
            <w:vAlign w:val="top"/>
          </w:tcPr>
          <w:p>
            <w:pPr>
              <w:spacing w:after="0"/>
            </w:pPr>
            <w:r/>
            <w:r>
              <w:rPr>
                <w:rFonts w:ascii="Arial" w:hAnsi="Arial"/>
                <w:b w:val="0"/>
                <w:sz w:val="16"/>
              </w:rPr>
              <w:t>DDD / Bounded Contexts</w:t>
            </w:r>
          </w:p>
        </w:tc>
        <w:tc>
          <w:tcPr>
            <w:tcW w:type="dxa" w:w="7343"/>
            <w:vAlign w:val="top"/>
          </w:tcPr>
          <w:p>
            <w:pPr>
              <w:spacing w:after="0"/>
            </w:pPr>
            <w:r/>
            <w:r>
              <w:rPr>
                <w:rFonts w:ascii="Arial" w:hAnsi="Arial"/>
                <w:b w:val="0"/>
                <w:sz w:val="16"/>
              </w:rPr>
              <w:t>Use graph evidence to detect cross-context calls, shared model leakage, cross-schema writes, and ambiguous ownership.</w:t>
            </w:r>
          </w:p>
        </w:tc>
      </w:tr>
      <w:tr>
        <w:tc>
          <w:tcPr>
            <w:tcW w:type="dxa" w:w="720"/>
            <w:vAlign w:val="top"/>
            <w:shd w:fill="F7F7F7"/>
          </w:tcPr>
          <w:p>
            <w:pPr>
              <w:spacing w:after="0"/>
            </w:pPr>
            <w:r/>
            <w:r>
              <w:rPr>
                <w:rFonts w:ascii="Arial" w:hAnsi="Arial"/>
                <w:b w:val="0"/>
                <w:sz w:val="16"/>
              </w:rPr>
              <w:t>4</w:t>
            </w:r>
          </w:p>
        </w:tc>
        <w:tc>
          <w:tcPr>
            <w:tcW w:type="dxa" w:w="2592"/>
            <w:vAlign w:val="top"/>
            <w:shd w:fill="F7F7F7"/>
          </w:tcPr>
          <w:p>
            <w:pPr>
              <w:spacing w:after="0"/>
            </w:pPr>
            <w:r/>
            <w:r>
              <w:rPr>
                <w:rFonts w:ascii="Arial" w:hAnsi="Arial"/>
                <w:b w:val="0"/>
                <w:sz w:val="16"/>
              </w:rPr>
              <w:t>Ports and Adapters</w:t>
            </w:r>
          </w:p>
        </w:tc>
        <w:tc>
          <w:tcPr>
            <w:tcW w:type="dxa" w:w="7343"/>
            <w:vAlign w:val="top"/>
            <w:shd w:fill="F7F7F7"/>
          </w:tcPr>
          <w:p>
            <w:pPr>
              <w:spacing w:after="0"/>
            </w:pPr>
            <w:r/>
            <w:r>
              <w:rPr>
                <w:rFonts w:ascii="Arial" w:hAnsi="Arial"/>
                <w:b w:val="0"/>
                <w:sz w:val="16"/>
              </w:rPr>
              <w:t>Validate that external systems, AI providers, databases, queues, and document stores remain behind approved ports/adapters.</w:t>
            </w:r>
          </w:p>
        </w:tc>
      </w:tr>
      <w:tr>
        <w:tc>
          <w:tcPr>
            <w:tcW w:type="dxa" w:w="720"/>
            <w:vAlign w:val="top"/>
          </w:tcPr>
          <w:p>
            <w:pPr>
              <w:spacing w:after="0"/>
            </w:pPr>
            <w:r/>
            <w:r>
              <w:rPr>
                <w:rFonts w:ascii="Arial" w:hAnsi="Arial"/>
                <w:b w:val="0"/>
                <w:sz w:val="16"/>
              </w:rPr>
              <w:t>5</w:t>
            </w:r>
          </w:p>
        </w:tc>
        <w:tc>
          <w:tcPr>
            <w:tcW w:type="dxa" w:w="2592"/>
            <w:vAlign w:val="top"/>
          </w:tcPr>
          <w:p>
            <w:pPr>
              <w:spacing w:after="0"/>
            </w:pPr>
            <w:r/>
            <w:r>
              <w:rPr>
                <w:rFonts w:ascii="Arial" w:hAnsi="Arial"/>
                <w:b w:val="0"/>
                <w:sz w:val="16"/>
              </w:rPr>
              <w:t>DRY, KISS, YAGNI</w:t>
            </w:r>
          </w:p>
        </w:tc>
        <w:tc>
          <w:tcPr>
            <w:tcW w:type="dxa" w:w="7343"/>
            <w:vAlign w:val="top"/>
          </w:tcPr>
          <w:p>
            <w:pPr>
              <w:spacing w:after="0"/>
            </w:pPr>
            <w:r/>
            <w:r>
              <w:rPr>
                <w:rFonts w:ascii="Arial" w:hAnsi="Arial"/>
                <w:b w:val="0"/>
                <w:sz w:val="16"/>
              </w:rPr>
              <w:t>Use structural analysis to find duplicated plumbing and unnecessary abstractions, but reject speculative tool-driven redesign.</w:t>
            </w:r>
          </w:p>
        </w:tc>
      </w:tr>
      <w:tr>
        <w:tc>
          <w:tcPr>
            <w:tcW w:type="dxa" w:w="720"/>
            <w:vAlign w:val="top"/>
            <w:shd w:fill="F7F7F7"/>
          </w:tcPr>
          <w:p>
            <w:pPr>
              <w:spacing w:after="0"/>
            </w:pPr>
            <w:r/>
            <w:r>
              <w:rPr>
                <w:rFonts w:ascii="Arial" w:hAnsi="Arial"/>
                <w:b w:val="0"/>
                <w:sz w:val="16"/>
              </w:rPr>
              <w:t>6</w:t>
            </w:r>
          </w:p>
        </w:tc>
        <w:tc>
          <w:tcPr>
            <w:tcW w:type="dxa" w:w="2592"/>
            <w:vAlign w:val="top"/>
            <w:shd w:fill="F7F7F7"/>
          </w:tcPr>
          <w:p>
            <w:pPr>
              <w:spacing w:after="0"/>
            </w:pPr>
            <w:r/>
            <w:r>
              <w:rPr>
                <w:rFonts w:ascii="Arial" w:hAnsi="Arial"/>
                <w:b w:val="0"/>
                <w:sz w:val="16"/>
              </w:rPr>
              <w:t>Idempotency by Design</w:t>
            </w:r>
          </w:p>
        </w:tc>
        <w:tc>
          <w:tcPr>
            <w:tcW w:type="dxa" w:w="7343"/>
            <w:vAlign w:val="top"/>
            <w:shd w:fill="F7F7F7"/>
          </w:tcPr>
          <w:p>
            <w:pPr>
              <w:spacing w:after="0"/>
            </w:pPr>
            <w:r/>
            <w:r>
              <w:rPr>
                <w:rFonts w:ascii="Arial" w:hAnsi="Arial"/>
                <w:b w:val="0"/>
                <w:sz w:val="16"/>
              </w:rPr>
              <w:t>Identify mutating callers, event consumers, workflow paths, and retry-sensitive code before remediation or refactoring.</w:t>
            </w:r>
          </w:p>
        </w:tc>
      </w:tr>
      <w:tr>
        <w:tc>
          <w:tcPr>
            <w:tcW w:type="dxa" w:w="720"/>
            <w:vAlign w:val="top"/>
          </w:tcPr>
          <w:p>
            <w:pPr>
              <w:spacing w:after="0"/>
            </w:pPr>
            <w:r/>
            <w:r>
              <w:rPr>
                <w:rFonts w:ascii="Arial" w:hAnsi="Arial"/>
                <w:b w:val="0"/>
                <w:sz w:val="16"/>
              </w:rPr>
              <w:t>7</w:t>
            </w:r>
          </w:p>
        </w:tc>
        <w:tc>
          <w:tcPr>
            <w:tcW w:type="dxa" w:w="2592"/>
            <w:vAlign w:val="top"/>
          </w:tcPr>
          <w:p>
            <w:pPr>
              <w:spacing w:after="0"/>
            </w:pPr>
            <w:r/>
            <w:r>
              <w:rPr>
                <w:rFonts w:ascii="Arial" w:hAnsi="Arial"/>
                <w:b w:val="0"/>
                <w:sz w:val="16"/>
              </w:rPr>
              <w:t>Determinism and Reproducibility</w:t>
            </w:r>
          </w:p>
        </w:tc>
        <w:tc>
          <w:tcPr>
            <w:tcW w:type="dxa" w:w="7343"/>
            <w:vAlign w:val="top"/>
          </w:tcPr>
          <w:p>
            <w:pPr>
              <w:spacing w:after="0"/>
            </w:pPr>
            <w:r/>
            <w:r>
              <w:rPr>
                <w:rFonts w:ascii="Arial" w:hAnsi="Arial"/>
                <w:b w:val="0"/>
                <w:sz w:val="16"/>
              </w:rPr>
              <w:t>Pin GitNexus version and index inputs. Reports must include commit SHA, branch, index timestamp, and command/config used.</w:t>
            </w:r>
          </w:p>
        </w:tc>
      </w:tr>
      <w:tr>
        <w:tc>
          <w:tcPr>
            <w:tcW w:type="dxa" w:w="720"/>
            <w:vAlign w:val="top"/>
            <w:shd w:fill="F7F7F7"/>
          </w:tcPr>
          <w:p>
            <w:pPr>
              <w:spacing w:after="0"/>
            </w:pPr>
            <w:r/>
            <w:r>
              <w:rPr>
                <w:rFonts w:ascii="Arial" w:hAnsi="Arial"/>
                <w:b w:val="0"/>
                <w:sz w:val="16"/>
              </w:rPr>
              <w:t>8</w:t>
            </w:r>
          </w:p>
        </w:tc>
        <w:tc>
          <w:tcPr>
            <w:tcW w:type="dxa" w:w="2592"/>
            <w:vAlign w:val="top"/>
            <w:shd w:fill="F7F7F7"/>
          </w:tcPr>
          <w:p>
            <w:pPr>
              <w:spacing w:after="0"/>
            </w:pPr>
            <w:r/>
            <w:r>
              <w:rPr>
                <w:rFonts w:ascii="Arial" w:hAnsi="Arial"/>
                <w:b w:val="0"/>
                <w:sz w:val="16"/>
              </w:rPr>
              <w:t>Fail-Safe, Not Fail-Open</w:t>
            </w:r>
          </w:p>
        </w:tc>
        <w:tc>
          <w:tcPr>
            <w:tcW w:type="dxa" w:w="7343"/>
            <w:vAlign w:val="top"/>
            <w:shd w:fill="F7F7F7"/>
          </w:tcPr>
          <w:p>
            <w:pPr>
              <w:spacing w:after="0"/>
            </w:pPr>
            <w:r/>
            <w:r>
              <w:rPr>
                <w:rFonts w:ascii="Arial" w:hAnsi="Arial"/>
                <w:b w:val="0"/>
                <w:sz w:val="16"/>
              </w:rPr>
              <w:t>If GitNexus evidence is required and unavailable, do not treat missing analysis as approval. Escalate or block according to gate mode.</w:t>
            </w:r>
          </w:p>
        </w:tc>
      </w:tr>
      <w:tr>
        <w:tc>
          <w:tcPr>
            <w:tcW w:type="dxa" w:w="720"/>
            <w:vAlign w:val="top"/>
          </w:tcPr>
          <w:p>
            <w:pPr>
              <w:spacing w:after="0"/>
            </w:pPr>
            <w:r/>
            <w:r>
              <w:rPr>
                <w:rFonts w:ascii="Arial" w:hAnsi="Arial"/>
                <w:b w:val="0"/>
                <w:sz w:val="16"/>
              </w:rPr>
              <w:t>9</w:t>
            </w:r>
          </w:p>
        </w:tc>
        <w:tc>
          <w:tcPr>
            <w:tcW w:type="dxa" w:w="2592"/>
            <w:vAlign w:val="top"/>
          </w:tcPr>
          <w:p>
            <w:pPr>
              <w:spacing w:after="0"/>
            </w:pPr>
            <w:r/>
            <w:r>
              <w:rPr>
                <w:rFonts w:ascii="Arial" w:hAnsi="Arial"/>
                <w:b w:val="0"/>
                <w:sz w:val="16"/>
              </w:rPr>
              <w:t>Human-in-the-Loop</w:t>
            </w:r>
          </w:p>
        </w:tc>
        <w:tc>
          <w:tcPr>
            <w:tcW w:type="dxa" w:w="7343"/>
            <w:vAlign w:val="top"/>
          </w:tcPr>
          <w:p>
            <w:pPr>
              <w:spacing w:after="0"/>
            </w:pPr>
            <w:r/>
            <w:r>
              <w:rPr>
                <w:rFonts w:ascii="Arial" w:hAnsi="Arial"/>
                <w:b w:val="0"/>
                <w:sz w:val="16"/>
              </w:rPr>
              <w:t>High-risk, production, security, database, workflow, model-routing, or Restricted findings require named human review.</w:t>
            </w:r>
          </w:p>
        </w:tc>
      </w:tr>
      <w:tr>
        <w:tc>
          <w:tcPr>
            <w:tcW w:type="dxa" w:w="720"/>
            <w:vAlign w:val="top"/>
            <w:shd w:fill="F7F7F7"/>
          </w:tcPr>
          <w:p>
            <w:pPr>
              <w:spacing w:after="0"/>
            </w:pPr>
            <w:r/>
            <w:r>
              <w:rPr>
                <w:rFonts w:ascii="Arial" w:hAnsi="Arial"/>
                <w:b w:val="0"/>
                <w:sz w:val="16"/>
              </w:rPr>
              <w:t>10</w:t>
            </w:r>
          </w:p>
        </w:tc>
        <w:tc>
          <w:tcPr>
            <w:tcW w:type="dxa" w:w="2592"/>
            <w:vAlign w:val="top"/>
            <w:shd w:fill="F7F7F7"/>
          </w:tcPr>
          <w:p>
            <w:pPr>
              <w:spacing w:after="0"/>
            </w:pPr>
            <w:r/>
            <w:r>
              <w:rPr>
                <w:rFonts w:ascii="Arial" w:hAnsi="Arial"/>
                <w:b w:val="0"/>
                <w:sz w:val="16"/>
              </w:rPr>
              <w:t>Least Privilege / SBAC</w:t>
            </w:r>
          </w:p>
        </w:tc>
        <w:tc>
          <w:tcPr>
            <w:tcW w:type="dxa" w:w="7343"/>
            <w:vAlign w:val="top"/>
            <w:shd w:fill="F7F7F7"/>
          </w:tcPr>
          <w:p>
            <w:pPr>
              <w:spacing w:after="0"/>
            </w:pPr>
            <w:r/>
            <w:r>
              <w:rPr>
                <w:rFonts w:ascii="Arial" w:hAnsi="Arial"/>
                <w:b w:val="0"/>
                <w:sz w:val="16"/>
              </w:rPr>
              <w:t>Developer and agent access to GitNexus follows repository permissions, skill scope, and task authorization.</w:t>
            </w:r>
          </w:p>
        </w:tc>
      </w:tr>
      <w:tr>
        <w:tc>
          <w:tcPr>
            <w:tcW w:type="dxa" w:w="720"/>
            <w:vAlign w:val="top"/>
          </w:tcPr>
          <w:p>
            <w:pPr>
              <w:spacing w:after="0"/>
            </w:pPr>
            <w:r/>
            <w:r>
              <w:rPr>
                <w:rFonts w:ascii="Arial" w:hAnsi="Arial"/>
                <w:b w:val="0"/>
                <w:sz w:val="16"/>
              </w:rPr>
              <w:t>11</w:t>
            </w:r>
          </w:p>
        </w:tc>
        <w:tc>
          <w:tcPr>
            <w:tcW w:type="dxa" w:w="2592"/>
            <w:vAlign w:val="top"/>
          </w:tcPr>
          <w:p>
            <w:pPr>
              <w:spacing w:after="0"/>
            </w:pPr>
            <w:r/>
            <w:r>
              <w:rPr>
                <w:rFonts w:ascii="Arial" w:hAnsi="Arial"/>
                <w:b w:val="0"/>
                <w:sz w:val="16"/>
              </w:rPr>
              <w:t>Separation of Duties</w:t>
            </w:r>
          </w:p>
        </w:tc>
        <w:tc>
          <w:tcPr>
            <w:tcW w:type="dxa" w:w="7343"/>
            <w:vAlign w:val="top"/>
          </w:tcPr>
          <w:p>
            <w:pPr>
              <w:spacing w:after="0"/>
            </w:pPr>
            <w:r/>
            <w:r>
              <w:rPr>
                <w:rFonts w:ascii="Arial" w:hAnsi="Arial"/>
                <w:b w:val="0"/>
                <w:sz w:val="16"/>
              </w:rPr>
              <w:t>Agent or developer may generate analysis; reviewer and approver remain separate for material changes.</w:t>
            </w:r>
          </w:p>
        </w:tc>
      </w:tr>
      <w:tr>
        <w:tc>
          <w:tcPr>
            <w:tcW w:type="dxa" w:w="720"/>
            <w:vAlign w:val="top"/>
            <w:shd w:fill="F7F7F7"/>
          </w:tcPr>
          <w:p>
            <w:pPr>
              <w:spacing w:after="0"/>
            </w:pPr>
            <w:r/>
            <w:r>
              <w:rPr>
                <w:rFonts w:ascii="Arial" w:hAnsi="Arial"/>
                <w:b w:val="0"/>
                <w:sz w:val="16"/>
              </w:rPr>
              <w:t>12</w:t>
            </w:r>
          </w:p>
        </w:tc>
        <w:tc>
          <w:tcPr>
            <w:tcW w:type="dxa" w:w="2592"/>
            <w:vAlign w:val="top"/>
            <w:shd w:fill="F7F7F7"/>
          </w:tcPr>
          <w:p>
            <w:pPr>
              <w:spacing w:after="0"/>
            </w:pPr>
            <w:r/>
            <w:r>
              <w:rPr>
                <w:rFonts w:ascii="Arial" w:hAnsi="Arial"/>
                <w:b w:val="0"/>
                <w:sz w:val="16"/>
              </w:rPr>
              <w:t>Observability by Design</w:t>
            </w:r>
          </w:p>
        </w:tc>
        <w:tc>
          <w:tcPr>
            <w:tcW w:type="dxa" w:w="7343"/>
            <w:vAlign w:val="top"/>
            <w:shd w:fill="F7F7F7"/>
          </w:tcPr>
          <w:p>
            <w:pPr>
              <w:spacing w:after="0"/>
            </w:pPr>
            <w:r/>
            <w:r>
              <w:rPr>
                <w:rFonts w:ascii="Arial" w:hAnsi="Arial"/>
                <w:b w:val="0"/>
                <w:sz w:val="16"/>
              </w:rPr>
              <w:t>GitNexus-assisted PRs and Auto-Heal actions include traceable evidence links, not hidden local conclusions.</w:t>
            </w:r>
          </w:p>
        </w:tc>
      </w:tr>
      <w:tr>
        <w:tc>
          <w:tcPr>
            <w:tcW w:type="dxa" w:w="720"/>
            <w:vAlign w:val="top"/>
          </w:tcPr>
          <w:p>
            <w:pPr>
              <w:spacing w:after="0"/>
            </w:pPr>
            <w:r/>
            <w:r>
              <w:rPr>
                <w:rFonts w:ascii="Arial" w:hAnsi="Arial"/>
                <w:b w:val="0"/>
                <w:sz w:val="16"/>
              </w:rPr>
              <w:t>13</w:t>
            </w:r>
          </w:p>
        </w:tc>
        <w:tc>
          <w:tcPr>
            <w:tcW w:type="dxa" w:w="2592"/>
            <w:vAlign w:val="top"/>
          </w:tcPr>
          <w:p>
            <w:pPr>
              <w:spacing w:after="0"/>
            </w:pPr>
            <w:r/>
            <w:r>
              <w:rPr>
                <w:rFonts w:ascii="Arial" w:hAnsi="Arial"/>
                <w:b w:val="0"/>
                <w:sz w:val="16"/>
              </w:rPr>
              <w:t>Policy as Code</w:t>
            </w:r>
          </w:p>
        </w:tc>
        <w:tc>
          <w:tcPr>
            <w:tcW w:type="dxa" w:w="7343"/>
            <w:vAlign w:val="top"/>
          </w:tcPr>
          <w:p>
            <w:pPr>
              <w:spacing w:after="0"/>
            </w:pPr>
            <w:r/>
            <w:r>
              <w:rPr>
                <w:rFonts w:ascii="Arial" w:hAnsi="Arial"/>
                <w:b w:val="0"/>
                <w:sz w:val="16"/>
              </w:rPr>
              <w:t>Critical GitNexus findings should be expressible as CI/OPA/Conftest/ArchUnit checks where deterministic.</w:t>
            </w:r>
          </w:p>
        </w:tc>
      </w:tr>
      <w:tr>
        <w:tc>
          <w:tcPr>
            <w:tcW w:type="dxa" w:w="720"/>
            <w:vAlign w:val="top"/>
            <w:shd w:fill="F7F7F7"/>
          </w:tcPr>
          <w:p>
            <w:pPr>
              <w:spacing w:after="0"/>
            </w:pPr>
            <w:r/>
            <w:r>
              <w:rPr>
                <w:rFonts w:ascii="Arial" w:hAnsi="Arial"/>
                <w:b w:val="0"/>
                <w:sz w:val="16"/>
              </w:rPr>
              <w:t>14</w:t>
            </w:r>
          </w:p>
        </w:tc>
        <w:tc>
          <w:tcPr>
            <w:tcW w:type="dxa" w:w="2592"/>
            <w:vAlign w:val="top"/>
            <w:shd w:fill="F7F7F7"/>
          </w:tcPr>
          <w:p>
            <w:pPr>
              <w:spacing w:after="0"/>
            </w:pPr>
            <w:r/>
            <w:r>
              <w:rPr>
                <w:rFonts w:ascii="Arial" w:hAnsi="Arial"/>
                <w:b w:val="0"/>
                <w:sz w:val="16"/>
              </w:rPr>
              <w:t>Testability by Design</w:t>
            </w:r>
          </w:p>
        </w:tc>
        <w:tc>
          <w:tcPr>
            <w:tcW w:type="dxa" w:w="7343"/>
            <w:vAlign w:val="top"/>
            <w:shd w:fill="F7F7F7"/>
          </w:tcPr>
          <w:p>
            <w:pPr>
              <w:spacing w:after="0"/>
            </w:pPr>
            <w:r/>
            <w:r>
              <w:rPr>
                <w:rFonts w:ascii="Arial" w:hAnsi="Arial"/>
                <w:b w:val="0"/>
                <w:sz w:val="16"/>
              </w:rPr>
              <w:t>Affected-test discovery must feed test plans; missing related tests create PR findings or backlog items.</w:t>
            </w:r>
          </w:p>
        </w:tc>
      </w:tr>
      <w:tr>
        <w:tc>
          <w:tcPr>
            <w:tcW w:type="dxa" w:w="720"/>
            <w:vAlign w:val="top"/>
          </w:tcPr>
          <w:p>
            <w:pPr>
              <w:spacing w:after="0"/>
            </w:pPr>
            <w:r/>
            <w:r>
              <w:rPr>
                <w:rFonts w:ascii="Arial" w:hAnsi="Arial"/>
                <w:b w:val="0"/>
                <w:sz w:val="16"/>
              </w:rPr>
              <w:t>15</w:t>
            </w:r>
          </w:p>
        </w:tc>
        <w:tc>
          <w:tcPr>
            <w:tcW w:type="dxa" w:w="2592"/>
            <w:vAlign w:val="top"/>
          </w:tcPr>
          <w:p>
            <w:pPr>
              <w:spacing w:after="0"/>
            </w:pPr>
            <w:r/>
            <w:r>
              <w:rPr>
                <w:rFonts w:ascii="Arial" w:hAnsi="Arial"/>
                <w:b w:val="0"/>
                <w:sz w:val="16"/>
              </w:rPr>
              <w:t>Secure by Design</w:t>
            </w:r>
          </w:p>
        </w:tc>
        <w:tc>
          <w:tcPr>
            <w:tcW w:type="dxa" w:w="7343"/>
            <w:vAlign w:val="top"/>
          </w:tcPr>
          <w:p>
            <w:pPr>
              <w:spacing w:after="0"/>
            </w:pPr>
            <w:r/>
            <w:r>
              <w:rPr>
                <w:rFonts w:ascii="Arial" w:hAnsi="Arial"/>
                <w:b w:val="0"/>
                <w:sz w:val="16"/>
              </w:rPr>
              <w:t>Indexing and MCP integration must not expose secrets, PII, prompt content, credentials, or restricted architecture.</w:t>
            </w:r>
          </w:p>
        </w:tc>
      </w:tr>
      <w:tr>
        <w:tc>
          <w:tcPr>
            <w:tcW w:type="dxa" w:w="720"/>
            <w:vAlign w:val="top"/>
            <w:shd w:fill="F7F7F7"/>
          </w:tcPr>
          <w:p>
            <w:pPr>
              <w:spacing w:after="0"/>
            </w:pPr>
            <w:r/>
            <w:r>
              <w:rPr>
                <w:rFonts w:ascii="Arial" w:hAnsi="Arial"/>
                <w:b w:val="0"/>
                <w:sz w:val="16"/>
              </w:rPr>
              <w:t>16</w:t>
            </w:r>
          </w:p>
        </w:tc>
        <w:tc>
          <w:tcPr>
            <w:tcW w:type="dxa" w:w="2592"/>
            <w:vAlign w:val="top"/>
            <w:shd w:fill="F7F7F7"/>
          </w:tcPr>
          <w:p>
            <w:pPr>
              <w:spacing w:after="0"/>
            </w:pPr>
            <w:r/>
            <w:r>
              <w:rPr>
                <w:rFonts w:ascii="Arial" w:hAnsi="Arial"/>
                <w:b w:val="0"/>
                <w:sz w:val="16"/>
              </w:rPr>
              <w:t>Resilience Patterns</w:t>
            </w:r>
          </w:p>
        </w:tc>
        <w:tc>
          <w:tcPr>
            <w:tcW w:type="dxa" w:w="7343"/>
            <w:vAlign w:val="top"/>
            <w:shd w:fill="F7F7F7"/>
          </w:tcPr>
          <w:p>
            <w:pPr>
              <w:spacing w:after="0"/>
            </w:pPr>
            <w:r/>
            <w:r>
              <w:rPr>
                <w:rFonts w:ascii="Arial" w:hAnsi="Arial"/>
                <w:b w:val="0"/>
                <w:sz w:val="16"/>
              </w:rPr>
              <w:t>Use dependency analysis to identify retry/circuit-breaker/fallback/DLQ/compensation impact paths.</w:t>
            </w:r>
          </w:p>
        </w:tc>
      </w:tr>
      <w:tr>
        <w:tc>
          <w:tcPr>
            <w:tcW w:type="dxa" w:w="720"/>
            <w:vAlign w:val="top"/>
          </w:tcPr>
          <w:p>
            <w:pPr>
              <w:spacing w:after="0"/>
            </w:pPr>
            <w:r/>
            <w:r>
              <w:rPr>
                <w:rFonts w:ascii="Arial" w:hAnsi="Arial"/>
                <w:b w:val="0"/>
                <w:sz w:val="16"/>
              </w:rPr>
              <w:t>17</w:t>
            </w:r>
          </w:p>
        </w:tc>
        <w:tc>
          <w:tcPr>
            <w:tcW w:type="dxa" w:w="2592"/>
            <w:vAlign w:val="top"/>
          </w:tcPr>
          <w:p>
            <w:pPr>
              <w:spacing w:after="0"/>
            </w:pPr>
            <w:r/>
            <w:r>
              <w:rPr>
                <w:rFonts w:ascii="Arial" w:hAnsi="Arial"/>
                <w:b w:val="0"/>
                <w:sz w:val="16"/>
              </w:rPr>
              <w:t>Architecture Fitness Functions</w:t>
            </w:r>
          </w:p>
        </w:tc>
        <w:tc>
          <w:tcPr>
            <w:tcW w:type="dxa" w:w="7343"/>
            <w:vAlign w:val="top"/>
          </w:tcPr>
          <w:p>
            <w:pPr>
              <w:spacing w:after="0"/>
            </w:pPr>
            <w:r/>
            <w:r>
              <w:rPr>
                <w:rFonts w:ascii="Arial" w:hAnsi="Arial"/>
                <w:b w:val="0"/>
                <w:sz w:val="16"/>
              </w:rPr>
              <w:t>Convert repeatable graph findings into machine-checkable fitness functions when reliable.</w:t>
            </w:r>
          </w:p>
        </w:tc>
      </w:tr>
      <w:tr>
        <w:tc>
          <w:tcPr>
            <w:tcW w:type="dxa" w:w="720"/>
            <w:vAlign w:val="top"/>
            <w:shd w:fill="F7F7F7"/>
          </w:tcPr>
          <w:p>
            <w:pPr>
              <w:spacing w:after="0"/>
            </w:pPr>
            <w:r/>
            <w:r>
              <w:rPr>
                <w:rFonts w:ascii="Arial" w:hAnsi="Arial"/>
                <w:b w:val="0"/>
                <w:sz w:val="16"/>
              </w:rPr>
              <w:t>18</w:t>
            </w:r>
          </w:p>
        </w:tc>
        <w:tc>
          <w:tcPr>
            <w:tcW w:type="dxa" w:w="2592"/>
            <w:vAlign w:val="top"/>
            <w:shd w:fill="F7F7F7"/>
          </w:tcPr>
          <w:p>
            <w:pPr>
              <w:spacing w:after="0"/>
            </w:pPr>
            <w:r/>
            <w:r>
              <w:rPr>
                <w:rFonts w:ascii="Arial" w:hAnsi="Arial"/>
                <w:b w:val="0"/>
                <w:sz w:val="16"/>
              </w:rPr>
              <w:t>Progressive Autonomy</w:t>
            </w:r>
          </w:p>
        </w:tc>
        <w:tc>
          <w:tcPr>
            <w:tcW w:type="dxa" w:w="7343"/>
            <w:vAlign w:val="top"/>
            <w:shd w:fill="F7F7F7"/>
          </w:tcPr>
          <w:p>
            <w:pPr>
              <w:spacing w:after="0"/>
            </w:pPr>
            <w:r/>
            <w:r>
              <w:rPr>
                <w:rFonts w:ascii="Arial" w:hAnsi="Arial"/>
                <w:b w:val="0"/>
                <w:sz w:val="16"/>
              </w:rPr>
              <w:t>Start advisory; move to warning/blocking only after evidence, reliability, policy, and review maturity.</w:t>
            </w:r>
          </w:p>
        </w:tc>
      </w:tr>
      <w:tr>
        <w:tc>
          <w:tcPr>
            <w:tcW w:type="dxa" w:w="720"/>
            <w:vAlign w:val="top"/>
          </w:tcPr>
          <w:p>
            <w:pPr>
              <w:spacing w:after="0"/>
            </w:pPr>
            <w:r/>
            <w:r>
              <w:rPr>
                <w:rFonts w:ascii="Arial" w:hAnsi="Arial"/>
                <w:b w:val="0"/>
                <w:sz w:val="16"/>
              </w:rPr>
              <w:t>19</w:t>
            </w:r>
          </w:p>
        </w:tc>
        <w:tc>
          <w:tcPr>
            <w:tcW w:type="dxa" w:w="2592"/>
            <w:vAlign w:val="top"/>
          </w:tcPr>
          <w:p>
            <w:pPr>
              <w:spacing w:after="0"/>
            </w:pPr>
            <w:r/>
            <w:r>
              <w:rPr>
                <w:rFonts w:ascii="Arial" w:hAnsi="Arial"/>
                <w:b w:val="0"/>
                <w:sz w:val="16"/>
              </w:rPr>
              <w:t>Reversibility / Rollbackability</w:t>
            </w:r>
          </w:p>
        </w:tc>
        <w:tc>
          <w:tcPr>
            <w:tcW w:type="dxa" w:w="7343"/>
            <w:vAlign w:val="top"/>
          </w:tcPr>
          <w:p>
            <w:pPr>
              <w:spacing w:after="0"/>
            </w:pPr>
            <w:r/>
            <w:r>
              <w:rPr>
                <w:rFonts w:ascii="Arial" w:hAnsi="Arial"/>
                <w:b w:val="0"/>
                <w:sz w:val="16"/>
              </w:rPr>
              <w:t>Impact analysis must identify rollback, forward-fix, compensation, or replay implications for affected paths.</w:t>
            </w:r>
          </w:p>
        </w:tc>
      </w:tr>
      <w:tr>
        <w:tc>
          <w:tcPr>
            <w:tcW w:type="dxa" w:w="720"/>
            <w:vAlign w:val="top"/>
            <w:shd w:fill="F7F7F7"/>
          </w:tcPr>
          <w:p>
            <w:pPr>
              <w:spacing w:after="0"/>
            </w:pPr>
            <w:r/>
            <w:r>
              <w:rPr>
                <w:rFonts w:ascii="Arial" w:hAnsi="Arial"/>
                <w:b w:val="0"/>
                <w:sz w:val="16"/>
              </w:rPr>
              <w:t>20</w:t>
            </w:r>
          </w:p>
        </w:tc>
        <w:tc>
          <w:tcPr>
            <w:tcW w:type="dxa" w:w="2592"/>
            <w:vAlign w:val="top"/>
            <w:shd w:fill="F7F7F7"/>
          </w:tcPr>
          <w:p>
            <w:pPr>
              <w:spacing w:after="0"/>
            </w:pPr>
            <w:r/>
            <w:r>
              <w:rPr>
                <w:rFonts w:ascii="Arial" w:hAnsi="Arial"/>
                <w:b w:val="0"/>
                <w:sz w:val="16"/>
              </w:rPr>
              <w:t>AVCI</w:t>
            </w:r>
          </w:p>
        </w:tc>
        <w:tc>
          <w:tcPr>
            <w:tcW w:type="dxa" w:w="7343"/>
            <w:vAlign w:val="top"/>
            <w:shd w:fill="F7F7F7"/>
          </w:tcPr>
          <w:p>
            <w:pPr>
              <w:spacing w:after="0"/>
            </w:pPr>
            <w:r/>
            <w:r>
              <w:rPr>
                <w:rFonts w:ascii="Arial" w:hAnsi="Arial"/>
                <w:b w:val="0"/>
                <w:sz w:val="16"/>
              </w:rPr>
              <w:t>Every material GitNexus use has owner, source repo, commit, classification, evidence, verification, and improvement path.</w:t>
            </w:r>
          </w:p>
        </w:tc>
      </w:tr>
    </w:tbl>
    <w:p/>
    <w:p>
      <w:pPr>
        <w:pStyle w:val="Heading1"/>
        <w:keepNext w:val="0"/>
        <w:spacing w:after="80" w:line="252" w:lineRule="auto"/>
      </w:pPr>
      <w:r>
        <w:rPr>
          <w:rFonts w:ascii="Arial" w:hAnsi="Arial"/>
          <w:b w:val="0"/>
          <w:i w:val="0"/>
        </w:rPr>
        <w:t>12. Architecture Fitness Functions and Evidence Gates</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2"/>
        <w:gridCol w:w="2592"/>
        <w:gridCol w:w="2592"/>
        <w:gridCol w:w="2592"/>
      </w:tblGrid>
      <w:tr>
        <w:tc>
          <w:tcPr>
            <w:tcW w:type="dxa" w:w="1440"/>
            <w:shd w:fill="1F4E79"/>
            <w:vAlign w:val="center"/>
          </w:tcPr>
          <w:p>
            <w:pPr>
              <w:spacing w:after="0"/>
            </w:pPr>
            <w:r/>
            <w:r>
              <w:rPr>
                <w:rFonts w:ascii="Arial" w:hAnsi="Arial"/>
                <w:b/>
                <w:color w:val="FFFFFF"/>
                <w:sz w:val="16"/>
              </w:rPr>
              <w:t>Gate ID</w:t>
            </w:r>
          </w:p>
        </w:tc>
        <w:tc>
          <w:tcPr>
            <w:tcW w:type="dxa" w:w="3888"/>
            <w:shd w:fill="1F4E79"/>
            <w:vAlign w:val="center"/>
          </w:tcPr>
          <w:p>
            <w:pPr>
              <w:spacing w:after="0"/>
            </w:pPr>
            <w:r/>
            <w:r>
              <w:rPr>
                <w:rFonts w:ascii="Arial" w:hAnsi="Arial"/>
                <w:b/>
                <w:color w:val="FFFFFF"/>
                <w:sz w:val="16"/>
              </w:rPr>
              <w:t>Fitness Function / Evidence Gate</w:t>
            </w:r>
          </w:p>
        </w:tc>
        <w:tc>
          <w:tcPr>
            <w:tcW w:type="dxa" w:w="3888"/>
            <w:shd w:fill="1F4E79"/>
            <w:vAlign w:val="center"/>
          </w:tcPr>
          <w:p>
            <w:pPr>
              <w:spacing w:after="0"/>
            </w:pPr>
            <w:r/>
            <w:r>
              <w:rPr>
                <w:rFonts w:ascii="Arial" w:hAnsi="Arial"/>
                <w:b/>
                <w:color w:val="FFFFFF"/>
                <w:sz w:val="16"/>
              </w:rPr>
              <w:t>Pass Criteria</w:t>
            </w:r>
          </w:p>
        </w:tc>
        <w:tc>
          <w:tcPr>
            <w:tcW w:type="dxa" w:w="1440"/>
            <w:shd w:fill="1F4E79"/>
            <w:vAlign w:val="center"/>
          </w:tcPr>
          <w:p>
            <w:pPr>
              <w:spacing w:after="0"/>
            </w:pPr>
            <w:r/>
            <w:r>
              <w:rPr>
                <w:rFonts w:ascii="Arial" w:hAnsi="Arial"/>
                <w:b/>
                <w:color w:val="FFFFFF"/>
                <w:sz w:val="16"/>
              </w:rPr>
              <w:t>Initial Mode</w:t>
            </w:r>
          </w:p>
        </w:tc>
      </w:tr>
      <w:tr>
        <w:tc>
          <w:tcPr>
            <w:tcW w:type="dxa" w:w="1440"/>
            <w:vAlign w:val="top"/>
          </w:tcPr>
          <w:p>
            <w:pPr>
              <w:spacing w:after="0"/>
            </w:pPr>
            <w:r/>
            <w:r>
              <w:rPr>
                <w:rFonts w:ascii="Arial" w:hAnsi="Arial"/>
                <w:b w:val="0"/>
                <w:sz w:val="16"/>
              </w:rPr>
              <w:t>GNX-FF-01</w:t>
            </w:r>
          </w:p>
        </w:tc>
        <w:tc>
          <w:tcPr>
            <w:tcW w:type="dxa" w:w="3888"/>
            <w:vAlign w:val="top"/>
          </w:tcPr>
          <w:p>
            <w:pPr>
              <w:spacing w:after="0"/>
            </w:pPr>
            <w:r/>
            <w:r>
              <w:rPr>
                <w:rFonts w:ascii="Arial" w:hAnsi="Arial"/>
                <w:b w:val="0"/>
                <w:sz w:val="16"/>
              </w:rPr>
              <w:t>Approved version check</w:t>
            </w:r>
          </w:p>
        </w:tc>
        <w:tc>
          <w:tcPr>
            <w:tcW w:type="dxa" w:w="3888"/>
            <w:vAlign w:val="top"/>
          </w:tcPr>
          <w:p>
            <w:pPr>
              <w:spacing w:after="0"/>
            </w:pPr>
            <w:r/>
            <w:r>
              <w:rPr>
                <w:rFonts w:ascii="Arial" w:hAnsi="Arial"/>
                <w:b w:val="0"/>
                <w:sz w:val="16"/>
              </w:rPr>
              <w:t>GitNexus version matches Golden Source pin.</w:t>
            </w:r>
          </w:p>
        </w:tc>
        <w:tc>
          <w:tcPr>
            <w:tcW w:type="dxa" w:w="1440"/>
            <w:vAlign w:val="top"/>
          </w:tcPr>
          <w:p>
            <w:pPr>
              <w:spacing w:after="0"/>
            </w:pPr>
            <w:r/>
            <w:r>
              <w:rPr>
                <w:rFonts w:ascii="Arial" w:hAnsi="Arial"/>
                <w:b w:val="0"/>
                <w:sz w:val="16"/>
              </w:rPr>
              <w:t>Warning</w:t>
            </w:r>
          </w:p>
        </w:tc>
      </w:tr>
      <w:tr>
        <w:tc>
          <w:tcPr>
            <w:tcW w:type="dxa" w:w="1440"/>
            <w:vAlign w:val="top"/>
            <w:shd w:fill="F7F7F7"/>
          </w:tcPr>
          <w:p>
            <w:pPr>
              <w:spacing w:after="0"/>
            </w:pPr>
            <w:r/>
            <w:r>
              <w:rPr>
                <w:rFonts w:ascii="Arial" w:hAnsi="Arial"/>
                <w:b w:val="0"/>
                <w:sz w:val="16"/>
              </w:rPr>
              <w:t>GNX-FF-02</w:t>
            </w:r>
          </w:p>
        </w:tc>
        <w:tc>
          <w:tcPr>
            <w:tcW w:type="dxa" w:w="3888"/>
            <w:vAlign w:val="top"/>
            <w:shd w:fill="F7F7F7"/>
          </w:tcPr>
          <w:p>
            <w:pPr>
              <w:spacing w:after="0"/>
            </w:pPr>
            <w:r/>
            <w:r>
              <w:rPr>
                <w:rFonts w:ascii="Arial" w:hAnsi="Arial"/>
                <w:b w:val="0"/>
                <w:sz w:val="16"/>
              </w:rPr>
              <w:t>Index freshness check</w:t>
            </w:r>
          </w:p>
        </w:tc>
        <w:tc>
          <w:tcPr>
            <w:tcW w:type="dxa" w:w="3888"/>
            <w:vAlign w:val="top"/>
            <w:shd w:fill="F7F7F7"/>
          </w:tcPr>
          <w:p>
            <w:pPr>
              <w:spacing w:after="0"/>
            </w:pPr>
            <w:r/>
            <w:r>
              <w:rPr>
                <w:rFonts w:ascii="Arial" w:hAnsi="Arial"/>
                <w:b w:val="0"/>
                <w:sz w:val="16"/>
              </w:rPr>
              <w:t>Index timestamp is newer than relevant commit or generated for current branch/commit.</w:t>
            </w:r>
          </w:p>
        </w:tc>
        <w:tc>
          <w:tcPr>
            <w:tcW w:type="dxa" w:w="1440"/>
            <w:vAlign w:val="top"/>
            <w:shd w:fill="F7F7F7"/>
          </w:tcPr>
          <w:p>
            <w:pPr>
              <w:spacing w:after="0"/>
            </w:pPr>
            <w:r/>
            <w:r>
              <w:rPr>
                <w:rFonts w:ascii="Arial" w:hAnsi="Arial"/>
                <w:b w:val="0"/>
                <w:sz w:val="16"/>
              </w:rPr>
              <w:t>Warning; block when required evidence.</w:t>
            </w:r>
          </w:p>
        </w:tc>
      </w:tr>
      <w:tr>
        <w:tc>
          <w:tcPr>
            <w:tcW w:type="dxa" w:w="1440"/>
            <w:vAlign w:val="top"/>
          </w:tcPr>
          <w:p>
            <w:pPr>
              <w:spacing w:after="0"/>
            </w:pPr>
            <w:r/>
            <w:r>
              <w:rPr>
                <w:rFonts w:ascii="Arial" w:hAnsi="Arial"/>
                <w:b w:val="0"/>
                <w:sz w:val="16"/>
              </w:rPr>
              <w:t>GNX-FF-03</w:t>
            </w:r>
          </w:p>
        </w:tc>
        <w:tc>
          <w:tcPr>
            <w:tcW w:type="dxa" w:w="3888"/>
            <w:vAlign w:val="top"/>
          </w:tcPr>
          <w:p>
            <w:pPr>
              <w:spacing w:after="0"/>
            </w:pPr>
            <w:r/>
            <w:r>
              <w:rPr>
                <w:rFonts w:ascii="Arial" w:hAnsi="Arial"/>
                <w:b w:val="0"/>
                <w:sz w:val="16"/>
              </w:rPr>
              <w:t>No generated-rule drift</w:t>
            </w:r>
          </w:p>
        </w:tc>
        <w:tc>
          <w:tcPr>
            <w:tcW w:type="dxa" w:w="3888"/>
            <w:vAlign w:val="top"/>
          </w:tcPr>
          <w:p>
            <w:pPr>
              <w:spacing w:after="0"/>
            </w:pPr>
            <w:r/>
            <w:r>
              <w:rPr>
                <w:rFonts w:ascii="Arial" w:hAnsi="Arial"/>
                <w:b w:val="0"/>
                <w:sz w:val="16"/>
              </w:rPr>
              <w:t>AGENTS.md / CLAUDE.md generated sections do not alter AIRA canonical rules without PR approval.</w:t>
            </w:r>
          </w:p>
        </w:tc>
        <w:tc>
          <w:tcPr>
            <w:tcW w:type="dxa" w:w="1440"/>
            <w:vAlign w:val="top"/>
          </w:tcPr>
          <w:p>
            <w:pPr>
              <w:spacing w:after="0"/>
            </w:pPr>
            <w:r/>
            <w:r>
              <w:rPr>
                <w:rFonts w:ascii="Arial" w:hAnsi="Arial"/>
                <w:b w:val="0"/>
                <w:sz w:val="16"/>
              </w:rPr>
              <w:t>Block for critical rule drift.</w:t>
            </w:r>
          </w:p>
        </w:tc>
      </w:tr>
      <w:tr>
        <w:tc>
          <w:tcPr>
            <w:tcW w:type="dxa" w:w="1440"/>
            <w:vAlign w:val="top"/>
            <w:shd w:fill="F7F7F7"/>
          </w:tcPr>
          <w:p>
            <w:pPr>
              <w:spacing w:after="0"/>
            </w:pPr>
            <w:r/>
            <w:r>
              <w:rPr>
                <w:rFonts w:ascii="Arial" w:hAnsi="Arial"/>
                <w:b w:val="0"/>
                <w:sz w:val="16"/>
              </w:rPr>
              <w:t>GNX-FF-04</w:t>
            </w:r>
          </w:p>
        </w:tc>
        <w:tc>
          <w:tcPr>
            <w:tcW w:type="dxa" w:w="3888"/>
            <w:vAlign w:val="top"/>
            <w:shd w:fill="F7F7F7"/>
          </w:tcPr>
          <w:p>
            <w:pPr>
              <w:spacing w:after="0"/>
            </w:pPr>
            <w:r/>
            <w:r>
              <w:rPr>
                <w:rFonts w:ascii="Arial" w:hAnsi="Arial"/>
                <w:b w:val="0"/>
                <w:sz w:val="16"/>
              </w:rPr>
              <w:t>.gitnexus exclusion</w:t>
            </w:r>
          </w:p>
        </w:tc>
        <w:tc>
          <w:tcPr>
            <w:tcW w:type="dxa" w:w="3888"/>
            <w:vAlign w:val="top"/>
            <w:shd w:fill="F7F7F7"/>
          </w:tcPr>
          <w:p>
            <w:pPr>
              <w:spacing w:after="0"/>
            </w:pPr>
            <w:r/>
            <w:r>
              <w:rPr>
                <w:rFonts w:ascii="Arial" w:hAnsi="Arial"/>
                <w:b w:val="0"/>
                <w:sz w:val="16"/>
              </w:rPr>
              <w:t>Derived index is ignored from Git unless approved exception exists.</w:t>
            </w:r>
          </w:p>
        </w:tc>
        <w:tc>
          <w:tcPr>
            <w:tcW w:type="dxa" w:w="1440"/>
            <w:vAlign w:val="top"/>
            <w:shd w:fill="F7F7F7"/>
          </w:tcPr>
          <w:p>
            <w:pPr>
              <w:spacing w:after="0"/>
            </w:pPr>
            <w:r/>
            <w:r>
              <w:rPr>
                <w:rFonts w:ascii="Arial" w:hAnsi="Arial"/>
                <w:b w:val="0"/>
                <w:sz w:val="16"/>
              </w:rPr>
              <w:t>Block</w:t>
            </w:r>
          </w:p>
        </w:tc>
      </w:tr>
      <w:tr>
        <w:tc>
          <w:tcPr>
            <w:tcW w:type="dxa" w:w="1440"/>
            <w:vAlign w:val="top"/>
          </w:tcPr>
          <w:p>
            <w:pPr>
              <w:spacing w:after="0"/>
            </w:pPr>
            <w:r/>
            <w:r>
              <w:rPr>
                <w:rFonts w:ascii="Arial" w:hAnsi="Arial"/>
                <w:b w:val="0"/>
                <w:sz w:val="16"/>
              </w:rPr>
              <w:t>GNX-FF-05</w:t>
            </w:r>
          </w:p>
        </w:tc>
        <w:tc>
          <w:tcPr>
            <w:tcW w:type="dxa" w:w="3888"/>
            <w:vAlign w:val="top"/>
          </w:tcPr>
          <w:p>
            <w:pPr>
              <w:spacing w:after="0"/>
            </w:pPr>
            <w:r/>
            <w:r>
              <w:rPr>
                <w:rFonts w:ascii="Arial" w:hAnsi="Arial"/>
                <w:b w:val="0"/>
                <w:sz w:val="16"/>
              </w:rPr>
              <w:t>Affected-test evidence</w:t>
            </w:r>
          </w:p>
        </w:tc>
        <w:tc>
          <w:tcPr>
            <w:tcW w:type="dxa" w:w="3888"/>
            <w:vAlign w:val="top"/>
          </w:tcPr>
          <w:p>
            <w:pPr>
              <w:spacing w:after="0"/>
            </w:pPr>
            <w:r/>
            <w:r>
              <w:rPr>
                <w:rFonts w:ascii="Arial" w:hAnsi="Arial"/>
                <w:b w:val="0"/>
                <w:sz w:val="16"/>
              </w:rPr>
              <w:t>Report lists affected tests or states why not available; reviewer confirms adequacy.</w:t>
            </w:r>
          </w:p>
        </w:tc>
        <w:tc>
          <w:tcPr>
            <w:tcW w:type="dxa" w:w="1440"/>
            <w:vAlign w:val="top"/>
          </w:tcPr>
          <w:p>
            <w:pPr>
              <w:spacing w:after="0"/>
            </w:pPr>
            <w:r/>
            <w:r>
              <w:rPr>
                <w:rFonts w:ascii="Arial" w:hAnsi="Arial"/>
                <w:b w:val="0"/>
                <w:sz w:val="16"/>
              </w:rPr>
              <w:t>Warning</w:t>
            </w:r>
          </w:p>
        </w:tc>
      </w:tr>
      <w:tr>
        <w:tc>
          <w:tcPr>
            <w:tcW w:type="dxa" w:w="1440"/>
            <w:vAlign w:val="top"/>
            <w:shd w:fill="F7F7F7"/>
          </w:tcPr>
          <w:p>
            <w:pPr>
              <w:spacing w:after="0"/>
            </w:pPr>
            <w:r/>
            <w:r>
              <w:rPr>
                <w:rFonts w:ascii="Arial" w:hAnsi="Arial"/>
                <w:b w:val="0"/>
                <w:sz w:val="16"/>
              </w:rPr>
              <w:t>GNX-FF-06</w:t>
            </w:r>
          </w:p>
        </w:tc>
        <w:tc>
          <w:tcPr>
            <w:tcW w:type="dxa" w:w="3888"/>
            <w:vAlign w:val="top"/>
            <w:shd w:fill="F7F7F7"/>
          </w:tcPr>
          <w:p>
            <w:pPr>
              <w:spacing w:after="0"/>
            </w:pPr>
            <w:r/>
            <w:r>
              <w:rPr>
                <w:rFonts w:ascii="Arial" w:hAnsi="Arial"/>
                <w:b w:val="0"/>
                <w:sz w:val="16"/>
              </w:rPr>
              <w:t>Boundary impact review</w:t>
            </w:r>
          </w:p>
        </w:tc>
        <w:tc>
          <w:tcPr>
            <w:tcW w:type="dxa" w:w="3888"/>
            <w:vAlign w:val="top"/>
            <w:shd w:fill="F7F7F7"/>
          </w:tcPr>
          <w:p>
            <w:pPr>
              <w:spacing w:after="0"/>
            </w:pPr>
            <w:r/>
            <w:r>
              <w:rPr>
                <w:rFonts w:ascii="Arial" w:hAnsi="Arial"/>
                <w:b w:val="0"/>
                <w:sz w:val="16"/>
              </w:rPr>
              <w:t>Material cross-layer or cross-context dependency finding is reviewed by accountable owner.</w:t>
            </w:r>
          </w:p>
        </w:tc>
        <w:tc>
          <w:tcPr>
            <w:tcW w:type="dxa" w:w="1440"/>
            <w:vAlign w:val="top"/>
            <w:shd w:fill="F7F7F7"/>
          </w:tcPr>
          <w:p>
            <w:pPr>
              <w:spacing w:after="0"/>
            </w:pPr>
            <w:r/>
            <w:r>
              <w:rPr>
                <w:rFonts w:ascii="Arial" w:hAnsi="Arial"/>
                <w:b w:val="0"/>
                <w:sz w:val="16"/>
              </w:rPr>
              <w:t>Warning/Block by severity</w:t>
            </w:r>
          </w:p>
        </w:tc>
      </w:tr>
      <w:tr>
        <w:tc>
          <w:tcPr>
            <w:tcW w:type="dxa" w:w="1440"/>
            <w:vAlign w:val="top"/>
          </w:tcPr>
          <w:p>
            <w:pPr>
              <w:spacing w:after="0"/>
            </w:pPr>
            <w:r/>
            <w:r>
              <w:rPr>
                <w:rFonts w:ascii="Arial" w:hAnsi="Arial"/>
                <w:b w:val="0"/>
                <w:sz w:val="16"/>
              </w:rPr>
              <w:t>GNX-FF-07</w:t>
            </w:r>
          </w:p>
        </w:tc>
        <w:tc>
          <w:tcPr>
            <w:tcW w:type="dxa" w:w="3888"/>
            <w:vAlign w:val="top"/>
          </w:tcPr>
          <w:p>
            <w:pPr>
              <w:spacing w:after="0"/>
            </w:pPr>
            <w:r/>
            <w:r>
              <w:rPr>
                <w:rFonts w:ascii="Arial" w:hAnsi="Arial"/>
                <w:b w:val="0"/>
                <w:sz w:val="16"/>
              </w:rPr>
              <w:t>Security path preservation</w:t>
            </w:r>
          </w:p>
        </w:tc>
        <w:tc>
          <w:tcPr>
            <w:tcW w:type="dxa" w:w="3888"/>
            <w:vAlign w:val="top"/>
          </w:tcPr>
          <w:p>
            <w:pPr>
              <w:spacing w:after="0"/>
            </w:pPr>
            <w:r/>
            <w:r>
              <w:rPr>
                <w:rFonts w:ascii="Arial" w:hAnsi="Arial"/>
                <w:b w:val="0"/>
                <w:sz w:val="16"/>
              </w:rPr>
              <w:t>Sensitive code paths still pass through auth, policy, audit, classification, and safe-response controls.</w:t>
            </w:r>
          </w:p>
        </w:tc>
        <w:tc>
          <w:tcPr>
            <w:tcW w:type="dxa" w:w="1440"/>
            <w:vAlign w:val="top"/>
          </w:tcPr>
          <w:p>
            <w:pPr>
              <w:spacing w:after="0"/>
            </w:pPr>
            <w:r/>
            <w:r>
              <w:rPr>
                <w:rFonts w:ascii="Arial" w:hAnsi="Arial"/>
                <w:b w:val="0"/>
                <w:sz w:val="16"/>
              </w:rPr>
              <w:t>Block when deterministic.</w:t>
            </w:r>
          </w:p>
        </w:tc>
      </w:tr>
      <w:tr>
        <w:tc>
          <w:tcPr>
            <w:tcW w:type="dxa" w:w="1440"/>
            <w:vAlign w:val="top"/>
            <w:shd w:fill="F7F7F7"/>
          </w:tcPr>
          <w:p>
            <w:pPr>
              <w:spacing w:after="0"/>
            </w:pPr>
            <w:r/>
            <w:r>
              <w:rPr>
                <w:rFonts w:ascii="Arial" w:hAnsi="Arial"/>
                <w:b w:val="0"/>
                <w:sz w:val="16"/>
              </w:rPr>
              <w:t>GNX-FF-08</w:t>
            </w:r>
          </w:p>
        </w:tc>
        <w:tc>
          <w:tcPr>
            <w:tcW w:type="dxa" w:w="3888"/>
            <w:vAlign w:val="top"/>
            <w:shd w:fill="F7F7F7"/>
          </w:tcPr>
          <w:p>
            <w:pPr>
              <w:spacing w:after="0"/>
            </w:pPr>
            <w:r/>
            <w:r>
              <w:rPr>
                <w:rFonts w:ascii="Arial" w:hAnsi="Arial"/>
                <w:b w:val="0"/>
                <w:sz w:val="16"/>
              </w:rPr>
              <w:t>No direct production action</w:t>
            </w:r>
          </w:p>
        </w:tc>
        <w:tc>
          <w:tcPr>
            <w:tcW w:type="dxa" w:w="3888"/>
            <w:vAlign w:val="top"/>
            <w:shd w:fill="F7F7F7"/>
          </w:tcPr>
          <w:p>
            <w:pPr>
              <w:spacing w:after="0"/>
            </w:pPr>
            <w:r/>
            <w:r>
              <w:rPr>
                <w:rFonts w:ascii="Arial" w:hAnsi="Arial"/>
                <w:b w:val="0"/>
                <w:sz w:val="16"/>
              </w:rPr>
              <w:t>Agent/tool configuration has no direct production credentials or bypass path.</w:t>
            </w:r>
          </w:p>
        </w:tc>
        <w:tc>
          <w:tcPr>
            <w:tcW w:type="dxa" w:w="1440"/>
            <w:vAlign w:val="top"/>
            <w:shd w:fill="F7F7F7"/>
          </w:tcPr>
          <w:p>
            <w:pPr>
              <w:spacing w:after="0"/>
            </w:pPr>
            <w:r/>
            <w:r>
              <w:rPr>
                <w:rFonts w:ascii="Arial" w:hAnsi="Arial"/>
                <w:b w:val="0"/>
                <w:sz w:val="16"/>
              </w:rPr>
              <w:t>Block</w:t>
            </w:r>
          </w:p>
        </w:tc>
      </w:tr>
      <w:tr>
        <w:tc>
          <w:tcPr>
            <w:tcW w:type="dxa" w:w="1440"/>
            <w:vAlign w:val="top"/>
          </w:tcPr>
          <w:p>
            <w:pPr>
              <w:spacing w:after="0"/>
            </w:pPr>
            <w:r/>
            <w:r>
              <w:rPr>
                <w:rFonts w:ascii="Arial" w:hAnsi="Arial"/>
                <w:b w:val="0"/>
                <w:sz w:val="16"/>
              </w:rPr>
              <w:t>GNX-FF-09</w:t>
            </w:r>
          </w:p>
        </w:tc>
        <w:tc>
          <w:tcPr>
            <w:tcW w:type="dxa" w:w="3888"/>
            <w:vAlign w:val="top"/>
          </w:tcPr>
          <w:p>
            <w:pPr>
              <w:spacing w:after="0"/>
            </w:pPr>
            <w:r/>
            <w:r>
              <w:rPr>
                <w:rFonts w:ascii="Arial" w:hAnsi="Arial"/>
                <w:b w:val="0"/>
                <w:sz w:val="16"/>
              </w:rPr>
              <w:t>Evidence record completeness</w:t>
            </w:r>
          </w:p>
        </w:tc>
        <w:tc>
          <w:tcPr>
            <w:tcW w:type="dxa" w:w="3888"/>
            <w:vAlign w:val="top"/>
          </w:tcPr>
          <w:p>
            <w:pPr>
              <w:spacing w:after="0"/>
            </w:pPr>
            <w:r/>
            <w:r>
              <w:rPr>
                <w:rFonts w:ascii="Arial" w:hAnsi="Arial"/>
                <w:b w:val="0"/>
                <w:sz w:val="16"/>
              </w:rPr>
              <w:t>PR/release/Auto-Heal report includes required evidence fields.</w:t>
            </w:r>
          </w:p>
        </w:tc>
        <w:tc>
          <w:tcPr>
            <w:tcW w:type="dxa" w:w="1440"/>
            <w:vAlign w:val="top"/>
          </w:tcPr>
          <w:p>
            <w:pPr>
              <w:spacing w:after="0"/>
            </w:pPr>
            <w:r/>
            <w:r>
              <w:rPr>
                <w:rFonts w:ascii="Arial" w:hAnsi="Arial"/>
                <w:b w:val="0"/>
                <w:sz w:val="16"/>
              </w:rPr>
              <w:t>Warning -&gt; Block after adoption.</w:t>
            </w:r>
          </w:p>
        </w:tc>
      </w:tr>
      <w:tr>
        <w:tc>
          <w:tcPr>
            <w:tcW w:type="dxa" w:w="1440"/>
            <w:vAlign w:val="top"/>
            <w:shd w:fill="F7F7F7"/>
          </w:tcPr>
          <w:p>
            <w:pPr>
              <w:spacing w:after="0"/>
            </w:pPr>
            <w:r/>
            <w:r>
              <w:rPr>
                <w:rFonts w:ascii="Arial" w:hAnsi="Arial"/>
                <w:b w:val="0"/>
                <w:sz w:val="16"/>
              </w:rPr>
              <w:t>GNX-FF-10</w:t>
            </w:r>
          </w:p>
        </w:tc>
        <w:tc>
          <w:tcPr>
            <w:tcW w:type="dxa" w:w="3888"/>
            <w:vAlign w:val="top"/>
            <w:shd w:fill="F7F7F7"/>
          </w:tcPr>
          <w:p>
            <w:pPr>
              <w:spacing w:after="0"/>
            </w:pPr>
            <w:r/>
            <w:r>
              <w:rPr>
                <w:rFonts w:ascii="Arial" w:hAnsi="Arial"/>
                <w:b w:val="0"/>
                <w:sz w:val="16"/>
              </w:rPr>
              <w:t>License/procurement gate</w:t>
            </w:r>
          </w:p>
        </w:tc>
        <w:tc>
          <w:tcPr>
            <w:tcW w:type="dxa" w:w="3888"/>
            <w:vAlign w:val="top"/>
            <w:shd w:fill="F7F7F7"/>
          </w:tcPr>
          <w:p>
            <w:pPr>
              <w:spacing w:after="0"/>
            </w:pPr>
            <w:r/>
            <w:r>
              <w:rPr>
                <w:rFonts w:ascii="Arial" w:hAnsi="Arial"/>
                <w:b w:val="0"/>
                <w:sz w:val="16"/>
              </w:rPr>
              <w:t>Enterprise/commercial use has approved license and procurement record.</w:t>
            </w:r>
          </w:p>
        </w:tc>
        <w:tc>
          <w:tcPr>
            <w:tcW w:type="dxa" w:w="1440"/>
            <w:vAlign w:val="top"/>
            <w:shd w:fill="F7F7F7"/>
          </w:tcPr>
          <w:p>
            <w:pPr>
              <w:spacing w:after="0"/>
            </w:pPr>
            <w:r/>
            <w:r>
              <w:rPr>
                <w:rFonts w:ascii="Arial" w:hAnsi="Arial"/>
                <w:b w:val="0"/>
                <w:sz w:val="16"/>
              </w:rPr>
              <w:t>Block before production use.</w:t>
            </w:r>
          </w:p>
        </w:tc>
      </w:tr>
    </w:tbl>
    <w:p/>
    <w:p>
      <w:pPr>
        <w:pStyle w:val="Heading1"/>
        <w:keepNext w:val="0"/>
        <w:spacing w:after="80" w:line="252" w:lineRule="auto"/>
      </w:pPr>
      <w:r>
        <w:rPr>
          <w:rFonts w:ascii="Arial" w:hAnsi="Arial"/>
          <w:b w:val="0"/>
          <w:i w:val="0"/>
        </w:rPr>
        <w:t>13. Risk Register and Mitigation Plan</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c>
          <w:tcPr>
            <w:tcW w:type="dxa" w:w="2880"/>
            <w:shd w:fill="1F4E79"/>
            <w:vAlign w:val="center"/>
          </w:tcPr>
          <w:p>
            <w:pPr>
              <w:spacing w:after="0"/>
            </w:pPr>
            <w:r/>
            <w:r>
              <w:rPr>
                <w:rFonts w:ascii="Arial" w:hAnsi="Arial"/>
                <w:b/>
                <w:color w:val="FFFFFF"/>
                <w:sz w:val="16"/>
              </w:rPr>
              <w:t>Risk</w:t>
            </w:r>
          </w:p>
        </w:tc>
        <w:tc>
          <w:tcPr>
            <w:tcW w:type="dxa" w:w="3600"/>
            <w:shd w:fill="1F4E79"/>
            <w:vAlign w:val="center"/>
          </w:tcPr>
          <w:p>
            <w:pPr>
              <w:spacing w:after="0"/>
            </w:pPr>
            <w:r/>
            <w:r>
              <w:rPr>
                <w:rFonts w:ascii="Arial" w:hAnsi="Arial"/>
                <w:b/>
                <w:color w:val="FFFFFF"/>
                <w:sz w:val="16"/>
              </w:rPr>
              <w:t>Impact on AIRA</w:t>
            </w:r>
          </w:p>
        </w:tc>
        <w:tc>
          <w:tcPr>
            <w:tcW w:type="dxa" w:w="4320"/>
            <w:shd w:fill="1F4E79"/>
            <w:vAlign w:val="center"/>
          </w:tcPr>
          <w:p>
            <w:pPr>
              <w:spacing w:after="0"/>
            </w:pPr>
            <w:r/>
            <w:r>
              <w:rPr>
                <w:rFonts w:ascii="Arial" w:hAnsi="Arial"/>
                <w:b/>
                <w:color w:val="FFFFFF"/>
                <w:sz w:val="16"/>
              </w:rPr>
              <w:t>Mitigation / Control</w:t>
            </w:r>
          </w:p>
        </w:tc>
      </w:tr>
      <w:tr>
        <w:tc>
          <w:tcPr>
            <w:tcW w:type="dxa" w:w="2880"/>
            <w:vAlign w:val="top"/>
          </w:tcPr>
          <w:p>
            <w:pPr>
              <w:spacing w:after="0"/>
            </w:pPr>
            <w:r/>
            <w:r>
              <w:rPr>
                <w:rFonts w:ascii="Arial" w:hAnsi="Arial"/>
                <w:b w:val="0"/>
                <w:sz w:val="16"/>
              </w:rPr>
              <w:t>Tool maturity and fast release cadence</w:t>
            </w:r>
          </w:p>
        </w:tc>
        <w:tc>
          <w:tcPr>
            <w:tcW w:type="dxa" w:w="3600"/>
            <w:vAlign w:val="top"/>
          </w:tcPr>
          <w:p>
            <w:pPr>
              <w:spacing w:after="0"/>
            </w:pPr>
            <w:r/>
            <w:r>
              <w:rPr>
                <w:rFonts w:ascii="Arial" w:hAnsi="Arial"/>
                <w:b w:val="0"/>
                <w:sz w:val="16"/>
              </w:rPr>
              <w:t>Unstable behavior, breaking changes, inconsistent reports.</w:t>
            </w:r>
          </w:p>
        </w:tc>
        <w:tc>
          <w:tcPr>
            <w:tcW w:type="dxa" w:w="4320"/>
            <w:vAlign w:val="top"/>
          </w:tcPr>
          <w:p>
            <w:pPr>
              <w:spacing w:after="0"/>
            </w:pPr>
            <w:r/>
            <w:r>
              <w:rPr>
                <w:rFonts w:ascii="Arial" w:hAnsi="Arial"/>
                <w:b w:val="0"/>
                <w:sz w:val="16"/>
              </w:rPr>
              <w:t>PoC first; pin version; quarterly lifecycle review; no unpinned @latest in controlled workflows.</w:t>
            </w:r>
          </w:p>
        </w:tc>
      </w:tr>
      <w:tr>
        <w:tc>
          <w:tcPr>
            <w:tcW w:type="dxa" w:w="2880"/>
            <w:vAlign w:val="top"/>
            <w:shd w:fill="F7F7F7"/>
          </w:tcPr>
          <w:p>
            <w:pPr>
              <w:spacing w:after="0"/>
            </w:pPr>
            <w:r/>
            <w:r>
              <w:rPr>
                <w:rFonts w:ascii="Arial" w:hAnsi="Arial"/>
                <w:b w:val="0"/>
                <w:sz w:val="16"/>
              </w:rPr>
              <w:t>License/commercial-use uncertainty</w:t>
            </w:r>
          </w:p>
        </w:tc>
        <w:tc>
          <w:tcPr>
            <w:tcW w:type="dxa" w:w="3600"/>
            <w:vAlign w:val="top"/>
            <w:shd w:fill="F7F7F7"/>
          </w:tcPr>
          <w:p>
            <w:pPr>
              <w:spacing w:after="0"/>
            </w:pPr>
            <w:r/>
            <w:r>
              <w:rPr>
                <w:rFonts w:ascii="Arial" w:hAnsi="Arial"/>
                <w:b w:val="0"/>
                <w:sz w:val="16"/>
              </w:rPr>
              <w:t>Legal/procurement exposure.</w:t>
            </w:r>
          </w:p>
        </w:tc>
        <w:tc>
          <w:tcPr>
            <w:tcW w:type="dxa" w:w="4320"/>
            <w:vAlign w:val="top"/>
            <w:shd w:fill="F7F7F7"/>
          </w:tcPr>
          <w:p>
            <w:pPr>
              <w:spacing w:after="0"/>
            </w:pPr>
            <w:r/>
            <w:r>
              <w:rPr>
                <w:rFonts w:ascii="Arial" w:hAnsi="Arial"/>
                <w:b w:val="0"/>
                <w:sz w:val="16"/>
              </w:rPr>
              <w:t>Legal review before enterprise use; document allowed use in ADR/TDL.</w:t>
            </w:r>
          </w:p>
        </w:tc>
      </w:tr>
      <w:tr>
        <w:tc>
          <w:tcPr>
            <w:tcW w:type="dxa" w:w="2880"/>
            <w:vAlign w:val="top"/>
          </w:tcPr>
          <w:p>
            <w:pPr>
              <w:spacing w:after="0"/>
            </w:pPr>
            <w:r/>
            <w:r>
              <w:rPr>
                <w:rFonts w:ascii="Arial" w:hAnsi="Arial"/>
                <w:b w:val="0"/>
                <w:sz w:val="16"/>
              </w:rPr>
              <w:t>Data leakage through public/demo use</w:t>
            </w:r>
          </w:p>
        </w:tc>
        <w:tc>
          <w:tcPr>
            <w:tcW w:type="dxa" w:w="3600"/>
            <w:vAlign w:val="top"/>
          </w:tcPr>
          <w:p>
            <w:pPr>
              <w:spacing w:after="0"/>
            </w:pPr>
            <w:r/>
            <w:r>
              <w:rPr>
                <w:rFonts w:ascii="Arial" w:hAnsi="Arial"/>
                <w:b w:val="0"/>
                <w:sz w:val="16"/>
              </w:rPr>
              <w:t>Exposure of proprietary code, architecture, or secrets.</w:t>
            </w:r>
          </w:p>
        </w:tc>
        <w:tc>
          <w:tcPr>
            <w:tcW w:type="dxa" w:w="4320"/>
            <w:vAlign w:val="top"/>
          </w:tcPr>
          <w:p>
            <w:pPr>
              <w:spacing w:after="0"/>
            </w:pPr>
            <w:r/>
            <w:r>
              <w:rPr>
                <w:rFonts w:ascii="Arial" w:hAnsi="Arial"/>
                <w:b w:val="0"/>
                <w:sz w:val="16"/>
              </w:rPr>
              <w:t>Local-first; prohibit unmanaged upload; classify indexes and reports.</w:t>
            </w:r>
          </w:p>
        </w:tc>
      </w:tr>
      <w:tr>
        <w:tc>
          <w:tcPr>
            <w:tcW w:type="dxa" w:w="2880"/>
            <w:vAlign w:val="top"/>
            <w:shd w:fill="F7F7F7"/>
          </w:tcPr>
          <w:p>
            <w:pPr>
              <w:spacing w:after="0"/>
            </w:pPr>
            <w:r/>
            <w:r>
              <w:rPr>
                <w:rFonts w:ascii="Arial" w:hAnsi="Arial"/>
                <w:b w:val="0"/>
                <w:sz w:val="16"/>
              </w:rPr>
              <w:t>Stale index</w:t>
            </w:r>
          </w:p>
        </w:tc>
        <w:tc>
          <w:tcPr>
            <w:tcW w:type="dxa" w:w="3600"/>
            <w:vAlign w:val="top"/>
            <w:shd w:fill="F7F7F7"/>
          </w:tcPr>
          <w:p>
            <w:pPr>
              <w:spacing w:after="0"/>
            </w:pPr>
            <w:r/>
            <w:r>
              <w:rPr>
                <w:rFonts w:ascii="Arial" w:hAnsi="Arial"/>
                <w:b w:val="0"/>
                <w:sz w:val="16"/>
              </w:rPr>
              <w:t>AI or reviewer reasons from outdated code graph.</w:t>
            </w:r>
          </w:p>
        </w:tc>
        <w:tc>
          <w:tcPr>
            <w:tcW w:type="dxa" w:w="4320"/>
            <w:vAlign w:val="top"/>
            <w:shd w:fill="F7F7F7"/>
          </w:tcPr>
          <w:p>
            <w:pPr>
              <w:spacing w:after="0"/>
            </w:pPr>
            <w:r/>
            <w:r>
              <w:rPr>
                <w:rFonts w:ascii="Arial" w:hAnsi="Arial"/>
                <w:b w:val="0"/>
                <w:sz w:val="16"/>
              </w:rPr>
              <w:t>Freshness checks before PR/release/Auto-Heal; stale index is a defect.</w:t>
            </w:r>
          </w:p>
        </w:tc>
      </w:tr>
      <w:tr>
        <w:tc>
          <w:tcPr>
            <w:tcW w:type="dxa" w:w="2880"/>
            <w:vAlign w:val="top"/>
          </w:tcPr>
          <w:p>
            <w:pPr>
              <w:spacing w:after="0"/>
            </w:pPr>
            <w:r/>
            <w:r>
              <w:rPr>
                <w:rFonts w:ascii="Arial" w:hAnsi="Arial"/>
                <w:b w:val="0"/>
                <w:sz w:val="16"/>
              </w:rPr>
              <w:t>Generated AGENTS.md / CLAUDE.md drift</w:t>
            </w:r>
          </w:p>
        </w:tc>
        <w:tc>
          <w:tcPr>
            <w:tcW w:type="dxa" w:w="3600"/>
            <w:vAlign w:val="top"/>
          </w:tcPr>
          <w:p>
            <w:pPr>
              <w:spacing w:after="0"/>
            </w:pPr>
            <w:r/>
            <w:r>
              <w:rPr>
                <w:rFonts w:ascii="Arial" w:hAnsi="Arial"/>
                <w:b w:val="0"/>
                <w:sz w:val="16"/>
              </w:rPr>
              <w:t>Tool-generated files weaken AIRA repository rules.</w:t>
            </w:r>
          </w:p>
        </w:tc>
        <w:tc>
          <w:tcPr>
            <w:tcW w:type="dxa" w:w="4320"/>
            <w:vAlign w:val="top"/>
          </w:tcPr>
          <w:p>
            <w:pPr>
              <w:spacing w:after="0"/>
            </w:pPr>
            <w:r/>
            <w:r>
              <w:rPr>
                <w:rFonts w:ascii="Arial" w:hAnsi="Arial"/>
                <w:b w:val="0"/>
                <w:sz w:val="16"/>
              </w:rPr>
              <w:t>Review diffs; canonical templates prevail; CODEOWNERS approval required.</w:t>
            </w:r>
          </w:p>
        </w:tc>
      </w:tr>
      <w:tr>
        <w:tc>
          <w:tcPr>
            <w:tcW w:type="dxa" w:w="2880"/>
            <w:vAlign w:val="top"/>
            <w:shd w:fill="F7F7F7"/>
          </w:tcPr>
          <w:p>
            <w:pPr>
              <w:spacing w:after="0"/>
            </w:pPr>
            <w:r/>
            <w:r>
              <w:rPr>
                <w:rFonts w:ascii="Arial" w:hAnsi="Arial"/>
                <w:b w:val="0"/>
                <w:sz w:val="16"/>
              </w:rPr>
              <w:t>Over-reliance on graph output</w:t>
            </w:r>
          </w:p>
        </w:tc>
        <w:tc>
          <w:tcPr>
            <w:tcW w:type="dxa" w:w="3600"/>
            <w:vAlign w:val="top"/>
            <w:shd w:fill="F7F7F7"/>
          </w:tcPr>
          <w:p>
            <w:pPr>
              <w:spacing w:after="0"/>
            </w:pPr>
            <w:r/>
            <w:r>
              <w:rPr>
                <w:rFonts w:ascii="Arial" w:hAnsi="Arial"/>
                <w:b w:val="0"/>
                <w:sz w:val="16"/>
              </w:rPr>
              <w:t>False confidence; missed security or runtime risks.</w:t>
            </w:r>
          </w:p>
        </w:tc>
        <w:tc>
          <w:tcPr>
            <w:tcW w:type="dxa" w:w="4320"/>
            <w:vAlign w:val="top"/>
            <w:shd w:fill="F7F7F7"/>
          </w:tcPr>
          <w:p>
            <w:pPr>
              <w:spacing w:after="0"/>
            </w:pPr>
            <w:r/>
            <w:r>
              <w:rPr>
                <w:rFonts w:ascii="Arial" w:hAnsi="Arial"/>
                <w:b w:val="0"/>
                <w:sz w:val="16"/>
              </w:rPr>
              <w:t>Treat as advisory; require tests, scans, policy gates, and human review.</w:t>
            </w:r>
          </w:p>
        </w:tc>
      </w:tr>
      <w:tr>
        <w:tc>
          <w:tcPr>
            <w:tcW w:type="dxa" w:w="2880"/>
            <w:vAlign w:val="top"/>
          </w:tcPr>
          <w:p>
            <w:pPr>
              <w:spacing w:after="0"/>
            </w:pPr>
            <w:r/>
            <w:r>
              <w:rPr>
                <w:rFonts w:ascii="Arial" w:hAnsi="Arial"/>
                <w:b w:val="0"/>
                <w:sz w:val="16"/>
              </w:rPr>
              <w:t>Language/framework coverage gaps</w:t>
            </w:r>
          </w:p>
        </w:tc>
        <w:tc>
          <w:tcPr>
            <w:tcW w:type="dxa" w:w="3600"/>
            <w:vAlign w:val="top"/>
          </w:tcPr>
          <w:p>
            <w:pPr>
              <w:spacing w:after="0"/>
            </w:pPr>
            <w:r/>
            <w:r>
              <w:rPr>
                <w:rFonts w:ascii="Arial" w:hAnsi="Arial"/>
                <w:b w:val="0"/>
                <w:sz w:val="16"/>
              </w:rPr>
              <w:t>Incomplete analysis for Java, TypeScript, SQL, YAML, Dockerfile, Rego, or Mermaid.</w:t>
            </w:r>
          </w:p>
        </w:tc>
        <w:tc>
          <w:tcPr>
            <w:tcW w:type="dxa" w:w="4320"/>
            <w:vAlign w:val="top"/>
          </w:tcPr>
          <w:p>
            <w:pPr>
              <w:spacing w:after="0"/>
            </w:pPr>
            <w:r/>
            <w:r>
              <w:rPr>
                <w:rFonts w:ascii="Arial" w:hAnsi="Arial"/>
                <w:b w:val="0"/>
                <w:sz w:val="16"/>
              </w:rPr>
              <w:t>Validate language support during PoC; record known blind spots.</w:t>
            </w:r>
          </w:p>
        </w:tc>
      </w:tr>
      <w:tr>
        <w:tc>
          <w:tcPr>
            <w:tcW w:type="dxa" w:w="2880"/>
            <w:vAlign w:val="top"/>
            <w:shd w:fill="F7F7F7"/>
          </w:tcPr>
          <w:p>
            <w:pPr>
              <w:spacing w:after="0"/>
            </w:pPr>
            <w:r/>
            <w:r>
              <w:rPr>
                <w:rFonts w:ascii="Arial" w:hAnsi="Arial"/>
                <w:b w:val="0"/>
                <w:sz w:val="16"/>
              </w:rPr>
              <w:t>MCP prompt/tool injection risk</w:t>
            </w:r>
          </w:p>
        </w:tc>
        <w:tc>
          <w:tcPr>
            <w:tcW w:type="dxa" w:w="3600"/>
            <w:vAlign w:val="top"/>
            <w:shd w:fill="F7F7F7"/>
          </w:tcPr>
          <w:p>
            <w:pPr>
              <w:spacing w:after="0"/>
            </w:pPr>
            <w:r/>
            <w:r>
              <w:rPr>
                <w:rFonts w:ascii="Arial" w:hAnsi="Arial"/>
                <w:b w:val="0"/>
                <w:sz w:val="16"/>
              </w:rPr>
              <w:t>Unauthorized tool invocation or hidden instruction risk.</w:t>
            </w:r>
          </w:p>
        </w:tc>
        <w:tc>
          <w:tcPr>
            <w:tcW w:type="dxa" w:w="4320"/>
            <w:vAlign w:val="top"/>
            <w:shd w:fill="F7F7F7"/>
          </w:tcPr>
          <w:p>
            <w:pPr>
              <w:spacing w:after="0"/>
            </w:pPr>
            <w:r/>
            <w:r>
              <w:rPr>
                <w:rFonts w:ascii="Arial" w:hAnsi="Arial"/>
                <w:b w:val="0"/>
                <w:sz w:val="16"/>
              </w:rPr>
              <w:t>Register MCP tools through approved config; use guardrails, sandboxing, audit, and explicit tool visibility.</w:t>
            </w:r>
          </w:p>
        </w:tc>
      </w:tr>
      <w:tr>
        <w:tc>
          <w:tcPr>
            <w:tcW w:type="dxa" w:w="2880"/>
            <w:vAlign w:val="top"/>
          </w:tcPr>
          <w:p>
            <w:pPr>
              <w:spacing w:after="0"/>
            </w:pPr>
            <w:r/>
            <w:r>
              <w:rPr>
                <w:rFonts w:ascii="Arial" w:hAnsi="Arial"/>
                <w:b w:val="0"/>
                <w:sz w:val="16"/>
              </w:rPr>
              <w:t>CI run-time overhead</w:t>
            </w:r>
          </w:p>
        </w:tc>
        <w:tc>
          <w:tcPr>
            <w:tcW w:type="dxa" w:w="3600"/>
            <w:vAlign w:val="top"/>
          </w:tcPr>
          <w:p>
            <w:pPr>
              <w:spacing w:after="0"/>
            </w:pPr>
            <w:r/>
            <w:r>
              <w:rPr>
                <w:rFonts w:ascii="Arial" w:hAnsi="Arial"/>
                <w:b w:val="0"/>
                <w:sz w:val="16"/>
              </w:rPr>
              <w:t>Slow pipeline or developer friction.</w:t>
            </w:r>
          </w:p>
        </w:tc>
        <w:tc>
          <w:tcPr>
            <w:tcW w:type="dxa" w:w="4320"/>
            <w:vAlign w:val="top"/>
          </w:tcPr>
          <w:p>
            <w:pPr>
              <w:spacing w:after="0"/>
            </w:pPr>
            <w:r/>
            <w:r>
              <w:rPr>
                <w:rFonts w:ascii="Arial" w:hAnsi="Arial"/>
                <w:b w:val="0"/>
                <w:sz w:val="16"/>
              </w:rPr>
              <w:t>Start advisory; limit to risky paths; cache safely; measure execution time.</w:t>
            </w:r>
          </w:p>
        </w:tc>
      </w:tr>
      <w:tr>
        <w:tc>
          <w:tcPr>
            <w:tcW w:type="dxa" w:w="2880"/>
            <w:vAlign w:val="top"/>
            <w:shd w:fill="F7F7F7"/>
          </w:tcPr>
          <w:p>
            <w:pPr>
              <w:spacing w:after="0"/>
            </w:pPr>
            <w:r/>
            <w:r>
              <w:rPr>
                <w:rFonts w:ascii="Arial" w:hAnsi="Arial"/>
                <w:b w:val="0"/>
                <w:sz w:val="16"/>
              </w:rPr>
              <w:t>Supply-chain risk</w:t>
            </w:r>
          </w:p>
        </w:tc>
        <w:tc>
          <w:tcPr>
            <w:tcW w:type="dxa" w:w="3600"/>
            <w:vAlign w:val="top"/>
            <w:shd w:fill="F7F7F7"/>
          </w:tcPr>
          <w:p>
            <w:pPr>
              <w:spacing w:after="0"/>
            </w:pPr>
            <w:r/>
            <w:r>
              <w:rPr>
                <w:rFonts w:ascii="Arial" w:hAnsi="Arial"/>
                <w:b w:val="0"/>
                <w:sz w:val="16"/>
              </w:rPr>
              <w:t>Compromised package or container image.</w:t>
            </w:r>
          </w:p>
        </w:tc>
        <w:tc>
          <w:tcPr>
            <w:tcW w:type="dxa" w:w="4320"/>
            <w:vAlign w:val="top"/>
            <w:shd w:fill="F7F7F7"/>
          </w:tcPr>
          <w:p>
            <w:pPr>
              <w:spacing w:after="0"/>
            </w:pPr>
            <w:r/>
            <w:r>
              <w:rPr>
                <w:rFonts w:ascii="Arial" w:hAnsi="Arial"/>
                <w:b w:val="0"/>
                <w:sz w:val="16"/>
              </w:rPr>
              <w:t>Golden Source, SBOM, checksum/digest, approved registry, dependency scan.</w:t>
            </w:r>
          </w:p>
        </w:tc>
      </w:tr>
    </w:tbl>
    <w:p/>
    <w:p>
      <w:pPr>
        <w:pStyle w:val="Heading1"/>
        <w:keepNext w:val="0"/>
        <w:spacing w:after="80" w:line="252" w:lineRule="auto"/>
      </w:pPr>
      <w:r>
        <w:rPr>
          <w:rFonts w:ascii="Arial" w:hAnsi="Arial"/>
          <w:b w:val="0"/>
          <w:i w:val="0"/>
        </w:rPr>
        <w:t>14. Roles, RACI, and Separation of Duties</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96"/>
        <w:gridCol w:w="1296"/>
        <w:gridCol w:w="1296"/>
        <w:gridCol w:w="1296"/>
        <w:gridCol w:w="1296"/>
        <w:gridCol w:w="1296"/>
        <w:gridCol w:w="1296"/>
        <w:gridCol w:w="1296"/>
      </w:tblGrid>
      <w:tr>
        <w:tc>
          <w:tcPr>
            <w:tcW w:type="dxa" w:w="3168"/>
            <w:shd w:fill="1F4E79"/>
            <w:vAlign w:val="center"/>
          </w:tcPr>
          <w:p>
            <w:pPr>
              <w:spacing w:after="0"/>
            </w:pPr>
            <w:r/>
            <w:r>
              <w:rPr>
                <w:rFonts w:ascii="Arial" w:hAnsi="Arial"/>
                <w:b/>
                <w:color w:val="FFFFFF"/>
                <w:sz w:val="15"/>
              </w:rPr>
              <w:t>Activity</w:t>
            </w:r>
          </w:p>
        </w:tc>
        <w:tc>
          <w:tcPr>
            <w:tcW w:type="dxa" w:w="1152"/>
            <w:shd w:fill="1F4E79"/>
            <w:vAlign w:val="center"/>
          </w:tcPr>
          <w:p>
            <w:pPr>
              <w:spacing w:after="0"/>
            </w:pPr>
            <w:r/>
            <w:r>
              <w:rPr>
                <w:rFonts w:ascii="Arial" w:hAnsi="Arial"/>
                <w:b/>
                <w:color w:val="FFFFFF"/>
                <w:sz w:val="15"/>
              </w:rPr>
              <w:t>Solutions Architect</w:t>
            </w:r>
          </w:p>
        </w:tc>
        <w:tc>
          <w:tcPr>
            <w:tcW w:type="dxa" w:w="1152"/>
            <w:shd w:fill="1F4E79"/>
            <w:vAlign w:val="center"/>
          </w:tcPr>
          <w:p>
            <w:pPr>
              <w:spacing w:after="0"/>
            </w:pPr>
            <w:r/>
            <w:r>
              <w:rPr>
                <w:rFonts w:ascii="Arial" w:hAnsi="Arial"/>
                <w:b/>
                <w:color w:val="FFFFFF"/>
                <w:sz w:val="15"/>
              </w:rPr>
              <w:t>Dev Lead</w:t>
            </w:r>
          </w:p>
        </w:tc>
        <w:tc>
          <w:tcPr>
            <w:tcW w:type="dxa" w:w="1152"/>
            <w:shd w:fill="1F4E79"/>
            <w:vAlign w:val="center"/>
          </w:tcPr>
          <w:p>
            <w:pPr>
              <w:spacing w:after="0"/>
            </w:pPr>
            <w:r/>
            <w:r>
              <w:rPr>
                <w:rFonts w:ascii="Arial" w:hAnsi="Arial"/>
                <w:b/>
                <w:color w:val="FFFFFF"/>
                <w:sz w:val="15"/>
              </w:rPr>
              <w:t>Developer</w:t>
            </w:r>
          </w:p>
        </w:tc>
        <w:tc>
          <w:tcPr>
            <w:tcW w:type="dxa" w:w="1296"/>
            <w:shd w:fill="1F4E79"/>
            <w:vAlign w:val="center"/>
          </w:tcPr>
          <w:p>
            <w:pPr>
              <w:spacing w:after="0"/>
            </w:pPr>
            <w:r/>
            <w:r>
              <w:rPr>
                <w:rFonts w:ascii="Arial" w:hAnsi="Arial"/>
                <w:b/>
                <w:color w:val="FFFFFF"/>
                <w:sz w:val="15"/>
              </w:rPr>
              <w:t>AI DevSecOps</w:t>
            </w:r>
          </w:p>
        </w:tc>
        <w:tc>
          <w:tcPr>
            <w:tcW w:type="dxa" w:w="1152"/>
            <w:shd w:fill="1F4E79"/>
            <w:vAlign w:val="center"/>
          </w:tcPr>
          <w:p>
            <w:pPr>
              <w:spacing w:after="0"/>
            </w:pPr>
            <w:r/>
            <w:r>
              <w:rPr>
                <w:rFonts w:ascii="Arial" w:hAnsi="Arial"/>
                <w:b/>
                <w:color w:val="FFFFFF"/>
                <w:sz w:val="15"/>
              </w:rPr>
              <w:t>Security</w:t>
            </w:r>
          </w:p>
        </w:tc>
        <w:tc>
          <w:tcPr>
            <w:tcW w:type="dxa" w:w="1007"/>
            <w:shd w:fill="1F4E79"/>
            <w:vAlign w:val="center"/>
          </w:tcPr>
          <w:p>
            <w:pPr>
              <w:spacing w:after="0"/>
            </w:pPr>
            <w:r/>
            <w:r>
              <w:rPr>
                <w:rFonts w:ascii="Arial" w:hAnsi="Arial"/>
                <w:b/>
                <w:color w:val="FFFFFF"/>
                <w:sz w:val="15"/>
              </w:rPr>
              <w:t>QA</w:t>
            </w:r>
          </w:p>
        </w:tc>
        <w:tc>
          <w:tcPr>
            <w:tcW w:type="dxa" w:w="1296"/>
            <w:shd w:fill="1F4E79"/>
            <w:vAlign w:val="center"/>
          </w:tcPr>
          <w:p>
            <w:pPr>
              <w:spacing w:after="0"/>
            </w:pPr>
            <w:r/>
            <w:r>
              <w:rPr>
                <w:rFonts w:ascii="Arial" w:hAnsi="Arial"/>
                <w:b/>
                <w:color w:val="FFFFFF"/>
                <w:sz w:val="15"/>
              </w:rPr>
              <w:t>Internal Audit</w:t>
            </w:r>
          </w:p>
        </w:tc>
      </w:tr>
      <w:tr>
        <w:tc>
          <w:tcPr>
            <w:tcW w:type="dxa" w:w="3168"/>
            <w:vAlign w:val="top"/>
          </w:tcPr>
          <w:p>
            <w:pPr>
              <w:spacing w:after="0"/>
            </w:pPr>
            <w:r/>
            <w:r>
              <w:rPr>
                <w:rFonts w:ascii="Arial" w:hAnsi="Arial"/>
                <w:b w:val="0"/>
                <w:sz w:val="15"/>
              </w:rPr>
              <w:t>Approve GitNexus adoption standard</w:t>
            </w:r>
          </w:p>
        </w:tc>
        <w:tc>
          <w:tcPr>
            <w:tcW w:type="dxa" w:w="1152"/>
            <w:vAlign w:val="top"/>
          </w:tcPr>
          <w:p>
            <w:pPr>
              <w:spacing w:after="0"/>
            </w:pPr>
            <w:r/>
            <w:r>
              <w:rPr>
                <w:rFonts w:ascii="Arial" w:hAnsi="Arial"/>
                <w:b w:val="0"/>
                <w:sz w:val="15"/>
              </w:rPr>
              <w:t>A</w:t>
            </w:r>
          </w:p>
        </w:tc>
        <w:tc>
          <w:tcPr>
            <w:tcW w:type="dxa" w:w="1152"/>
            <w:vAlign w:val="top"/>
          </w:tcPr>
          <w:p>
            <w:pPr>
              <w:spacing w:after="0"/>
            </w:pPr>
            <w:r/>
            <w:r>
              <w:rPr>
                <w:rFonts w:ascii="Arial" w:hAnsi="Arial"/>
                <w:b w:val="0"/>
                <w:sz w:val="15"/>
              </w:rPr>
              <w:t>C</w:t>
            </w:r>
          </w:p>
        </w:tc>
        <w:tc>
          <w:tcPr>
            <w:tcW w:type="dxa" w:w="1152"/>
            <w:vAlign w:val="top"/>
          </w:tcPr>
          <w:p>
            <w:pPr>
              <w:spacing w:after="0"/>
            </w:pPr>
            <w:r/>
            <w:r>
              <w:rPr>
                <w:rFonts w:ascii="Arial" w:hAnsi="Arial"/>
                <w:b w:val="0"/>
                <w:sz w:val="15"/>
              </w:rPr>
              <w:t>I</w:t>
            </w:r>
          </w:p>
        </w:tc>
        <w:tc>
          <w:tcPr>
            <w:tcW w:type="dxa" w:w="1296"/>
            <w:vAlign w:val="top"/>
          </w:tcPr>
          <w:p>
            <w:pPr>
              <w:spacing w:after="0"/>
            </w:pPr>
            <w:r/>
            <w:r>
              <w:rPr>
                <w:rFonts w:ascii="Arial" w:hAnsi="Arial"/>
                <w:b w:val="0"/>
                <w:sz w:val="15"/>
              </w:rPr>
              <w:t>R</w:t>
            </w:r>
          </w:p>
        </w:tc>
        <w:tc>
          <w:tcPr>
            <w:tcW w:type="dxa" w:w="1152"/>
            <w:vAlign w:val="top"/>
          </w:tcPr>
          <w:p>
            <w:pPr>
              <w:spacing w:after="0"/>
            </w:pPr>
            <w:r/>
            <w:r>
              <w:rPr>
                <w:rFonts w:ascii="Arial" w:hAnsi="Arial"/>
                <w:b w:val="0"/>
                <w:sz w:val="15"/>
              </w:rPr>
              <w:t>C</w:t>
            </w:r>
          </w:p>
        </w:tc>
        <w:tc>
          <w:tcPr>
            <w:tcW w:type="dxa" w:w="1007"/>
            <w:vAlign w:val="top"/>
          </w:tcPr>
          <w:p>
            <w:pPr>
              <w:spacing w:after="0"/>
            </w:pPr>
            <w:r/>
            <w:r>
              <w:rPr>
                <w:rFonts w:ascii="Arial" w:hAnsi="Arial"/>
                <w:b w:val="0"/>
                <w:sz w:val="15"/>
              </w:rPr>
              <w:t>C</w:t>
            </w:r>
          </w:p>
        </w:tc>
        <w:tc>
          <w:tcPr>
            <w:tcW w:type="dxa" w:w="1296"/>
            <w:vAlign w:val="top"/>
          </w:tcPr>
          <w:p>
            <w:pPr>
              <w:spacing w:after="0"/>
            </w:pPr>
            <w:r/>
            <w:r>
              <w:rPr>
                <w:rFonts w:ascii="Arial" w:hAnsi="Arial"/>
                <w:b w:val="0"/>
                <w:sz w:val="15"/>
              </w:rPr>
              <w:t>I</w:t>
            </w:r>
          </w:p>
        </w:tc>
      </w:tr>
      <w:tr>
        <w:tc>
          <w:tcPr>
            <w:tcW w:type="dxa" w:w="3168"/>
            <w:vAlign w:val="top"/>
            <w:shd w:fill="F7F7F7"/>
          </w:tcPr>
          <w:p>
            <w:pPr>
              <w:spacing w:after="0"/>
            </w:pPr>
            <w:r/>
            <w:r>
              <w:rPr>
                <w:rFonts w:ascii="Arial" w:hAnsi="Arial"/>
                <w:b w:val="0"/>
                <w:sz w:val="15"/>
              </w:rPr>
              <w:t>Run sandbox PoC</w:t>
            </w:r>
          </w:p>
        </w:tc>
        <w:tc>
          <w:tcPr>
            <w:tcW w:type="dxa" w:w="1152"/>
            <w:vAlign w:val="top"/>
            <w:shd w:fill="F7F7F7"/>
          </w:tcPr>
          <w:p>
            <w:pPr>
              <w:spacing w:after="0"/>
            </w:pPr>
            <w:r/>
            <w:r>
              <w:rPr>
                <w:rFonts w:ascii="Arial" w:hAnsi="Arial"/>
                <w:b w:val="0"/>
                <w:sz w:val="15"/>
              </w:rPr>
              <w:t>C</w:t>
            </w:r>
          </w:p>
        </w:tc>
        <w:tc>
          <w:tcPr>
            <w:tcW w:type="dxa" w:w="1152"/>
            <w:vAlign w:val="top"/>
            <w:shd w:fill="F7F7F7"/>
          </w:tcPr>
          <w:p>
            <w:pPr>
              <w:spacing w:after="0"/>
            </w:pPr>
            <w:r/>
            <w:r>
              <w:rPr>
                <w:rFonts w:ascii="Arial" w:hAnsi="Arial"/>
                <w:b w:val="0"/>
                <w:sz w:val="15"/>
              </w:rPr>
              <w:t>A</w:t>
            </w:r>
          </w:p>
        </w:tc>
        <w:tc>
          <w:tcPr>
            <w:tcW w:type="dxa" w:w="1152"/>
            <w:vAlign w:val="top"/>
            <w:shd w:fill="F7F7F7"/>
          </w:tcPr>
          <w:p>
            <w:pPr>
              <w:spacing w:after="0"/>
            </w:pPr>
            <w:r/>
            <w:r>
              <w:rPr>
                <w:rFonts w:ascii="Arial" w:hAnsi="Arial"/>
                <w:b w:val="0"/>
                <w:sz w:val="15"/>
              </w:rPr>
              <w:t>R</w:t>
            </w:r>
          </w:p>
        </w:tc>
        <w:tc>
          <w:tcPr>
            <w:tcW w:type="dxa" w:w="1296"/>
            <w:vAlign w:val="top"/>
            <w:shd w:fill="F7F7F7"/>
          </w:tcPr>
          <w:p>
            <w:pPr>
              <w:spacing w:after="0"/>
            </w:pPr>
            <w:r/>
            <w:r>
              <w:rPr>
                <w:rFonts w:ascii="Arial" w:hAnsi="Arial"/>
                <w:b w:val="0"/>
                <w:sz w:val="15"/>
              </w:rPr>
              <w:t>R</w:t>
            </w:r>
          </w:p>
        </w:tc>
        <w:tc>
          <w:tcPr>
            <w:tcW w:type="dxa" w:w="1152"/>
            <w:vAlign w:val="top"/>
            <w:shd w:fill="F7F7F7"/>
          </w:tcPr>
          <w:p>
            <w:pPr>
              <w:spacing w:after="0"/>
            </w:pPr>
            <w:r/>
            <w:r>
              <w:rPr>
                <w:rFonts w:ascii="Arial" w:hAnsi="Arial"/>
                <w:b w:val="0"/>
                <w:sz w:val="15"/>
              </w:rPr>
              <w:t>C</w:t>
            </w:r>
          </w:p>
        </w:tc>
        <w:tc>
          <w:tcPr>
            <w:tcW w:type="dxa" w:w="1007"/>
            <w:vAlign w:val="top"/>
            <w:shd w:fill="F7F7F7"/>
          </w:tcPr>
          <w:p>
            <w:pPr>
              <w:spacing w:after="0"/>
            </w:pPr>
            <w:r/>
            <w:r>
              <w:rPr>
                <w:rFonts w:ascii="Arial" w:hAnsi="Arial"/>
                <w:b w:val="0"/>
                <w:sz w:val="15"/>
              </w:rPr>
              <w:t>C</w:t>
            </w:r>
          </w:p>
        </w:tc>
        <w:tc>
          <w:tcPr>
            <w:tcW w:type="dxa" w:w="1296"/>
            <w:vAlign w:val="top"/>
            <w:shd w:fill="F7F7F7"/>
          </w:tcPr>
          <w:p>
            <w:pPr>
              <w:spacing w:after="0"/>
            </w:pPr>
            <w:r/>
            <w:r>
              <w:rPr>
                <w:rFonts w:ascii="Arial" w:hAnsi="Arial"/>
                <w:b w:val="0"/>
                <w:sz w:val="15"/>
              </w:rPr>
              <w:t>I</w:t>
            </w:r>
          </w:p>
        </w:tc>
      </w:tr>
      <w:tr>
        <w:tc>
          <w:tcPr>
            <w:tcW w:type="dxa" w:w="3168"/>
            <w:vAlign w:val="top"/>
          </w:tcPr>
          <w:p>
            <w:pPr>
              <w:spacing w:after="0"/>
            </w:pPr>
            <w:r/>
            <w:r>
              <w:rPr>
                <w:rFonts w:ascii="Arial" w:hAnsi="Arial"/>
                <w:b w:val="0"/>
                <w:sz w:val="15"/>
              </w:rPr>
              <w:t>Approve version pin and Golden Source package</w:t>
            </w:r>
          </w:p>
        </w:tc>
        <w:tc>
          <w:tcPr>
            <w:tcW w:type="dxa" w:w="1152"/>
            <w:vAlign w:val="top"/>
          </w:tcPr>
          <w:p>
            <w:pPr>
              <w:spacing w:after="0"/>
            </w:pPr>
            <w:r/>
            <w:r>
              <w:rPr>
                <w:rFonts w:ascii="Arial" w:hAnsi="Arial"/>
                <w:b w:val="0"/>
                <w:sz w:val="15"/>
              </w:rPr>
              <w:t>A</w:t>
            </w:r>
          </w:p>
        </w:tc>
        <w:tc>
          <w:tcPr>
            <w:tcW w:type="dxa" w:w="1152"/>
            <w:vAlign w:val="top"/>
          </w:tcPr>
          <w:p>
            <w:pPr>
              <w:spacing w:after="0"/>
            </w:pPr>
            <w:r/>
            <w:r>
              <w:rPr>
                <w:rFonts w:ascii="Arial" w:hAnsi="Arial"/>
                <w:b w:val="0"/>
                <w:sz w:val="15"/>
              </w:rPr>
              <w:t>C</w:t>
            </w:r>
          </w:p>
        </w:tc>
        <w:tc>
          <w:tcPr>
            <w:tcW w:type="dxa" w:w="1152"/>
            <w:vAlign w:val="top"/>
          </w:tcPr>
          <w:p>
            <w:pPr>
              <w:spacing w:after="0"/>
            </w:pPr>
            <w:r/>
            <w:r>
              <w:rPr>
                <w:rFonts w:ascii="Arial" w:hAnsi="Arial"/>
                <w:b w:val="0"/>
                <w:sz w:val="15"/>
              </w:rPr>
              <w:t>I</w:t>
            </w:r>
          </w:p>
        </w:tc>
        <w:tc>
          <w:tcPr>
            <w:tcW w:type="dxa" w:w="1296"/>
            <w:vAlign w:val="top"/>
          </w:tcPr>
          <w:p>
            <w:pPr>
              <w:spacing w:after="0"/>
            </w:pPr>
            <w:r/>
            <w:r>
              <w:rPr>
                <w:rFonts w:ascii="Arial" w:hAnsi="Arial"/>
                <w:b w:val="0"/>
                <w:sz w:val="15"/>
              </w:rPr>
              <w:t>R</w:t>
            </w:r>
          </w:p>
        </w:tc>
        <w:tc>
          <w:tcPr>
            <w:tcW w:type="dxa" w:w="1152"/>
            <w:vAlign w:val="top"/>
          </w:tcPr>
          <w:p>
            <w:pPr>
              <w:spacing w:after="0"/>
            </w:pPr>
            <w:r/>
            <w:r>
              <w:rPr>
                <w:rFonts w:ascii="Arial" w:hAnsi="Arial"/>
                <w:b w:val="0"/>
                <w:sz w:val="15"/>
              </w:rPr>
              <w:t>C</w:t>
            </w:r>
          </w:p>
        </w:tc>
        <w:tc>
          <w:tcPr>
            <w:tcW w:type="dxa" w:w="1007"/>
            <w:vAlign w:val="top"/>
          </w:tcPr>
          <w:p>
            <w:pPr>
              <w:spacing w:after="0"/>
            </w:pPr>
            <w:r/>
            <w:r>
              <w:rPr>
                <w:rFonts w:ascii="Arial" w:hAnsi="Arial"/>
                <w:b w:val="0"/>
                <w:sz w:val="15"/>
              </w:rPr>
              <w:t>C</w:t>
            </w:r>
          </w:p>
        </w:tc>
        <w:tc>
          <w:tcPr>
            <w:tcW w:type="dxa" w:w="1296"/>
            <w:vAlign w:val="top"/>
          </w:tcPr>
          <w:p>
            <w:pPr>
              <w:spacing w:after="0"/>
            </w:pPr>
            <w:r/>
            <w:r>
              <w:rPr>
                <w:rFonts w:ascii="Arial" w:hAnsi="Arial"/>
                <w:b w:val="0"/>
                <w:sz w:val="15"/>
              </w:rPr>
              <w:t>I</w:t>
            </w:r>
          </w:p>
        </w:tc>
      </w:tr>
      <w:tr>
        <w:tc>
          <w:tcPr>
            <w:tcW w:type="dxa" w:w="3168"/>
            <w:vAlign w:val="top"/>
            <w:shd w:fill="F7F7F7"/>
          </w:tcPr>
          <w:p>
            <w:pPr>
              <w:spacing w:after="0"/>
            </w:pPr>
            <w:r/>
            <w:r>
              <w:rPr>
                <w:rFonts w:ascii="Arial" w:hAnsi="Arial"/>
                <w:b w:val="0"/>
                <w:sz w:val="15"/>
              </w:rPr>
              <w:t>Configure local developer use</w:t>
            </w:r>
          </w:p>
        </w:tc>
        <w:tc>
          <w:tcPr>
            <w:tcW w:type="dxa" w:w="1152"/>
            <w:vAlign w:val="top"/>
            <w:shd w:fill="F7F7F7"/>
          </w:tcPr>
          <w:p>
            <w:pPr>
              <w:spacing w:after="0"/>
            </w:pPr>
            <w:r/>
            <w:r>
              <w:rPr>
                <w:rFonts w:ascii="Arial" w:hAnsi="Arial"/>
                <w:b w:val="0"/>
                <w:sz w:val="15"/>
              </w:rPr>
              <w:t>C</w:t>
            </w:r>
          </w:p>
        </w:tc>
        <w:tc>
          <w:tcPr>
            <w:tcW w:type="dxa" w:w="1152"/>
            <w:vAlign w:val="top"/>
            <w:shd w:fill="F7F7F7"/>
          </w:tcPr>
          <w:p>
            <w:pPr>
              <w:spacing w:after="0"/>
            </w:pPr>
            <w:r/>
            <w:r>
              <w:rPr>
                <w:rFonts w:ascii="Arial" w:hAnsi="Arial"/>
                <w:b w:val="0"/>
                <w:sz w:val="15"/>
              </w:rPr>
              <w:t>A</w:t>
            </w:r>
          </w:p>
        </w:tc>
        <w:tc>
          <w:tcPr>
            <w:tcW w:type="dxa" w:w="1152"/>
            <w:vAlign w:val="top"/>
            <w:shd w:fill="F7F7F7"/>
          </w:tcPr>
          <w:p>
            <w:pPr>
              <w:spacing w:after="0"/>
            </w:pPr>
            <w:r/>
            <w:r>
              <w:rPr>
                <w:rFonts w:ascii="Arial" w:hAnsi="Arial"/>
                <w:b w:val="0"/>
                <w:sz w:val="15"/>
              </w:rPr>
              <w:t>R</w:t>
            </w:r>
          </w:p>
        </w:tc>
        <w:tc>
          <w:tcPr>
            <w:tcW w:type="dxa" w:w="1296"/>
            <w:vAlign w:val="top"/>
            <w:shd w:fill="F7F7F7"/>
          </w:tcPr>
          <w:p>
            <w:pPr>
              <w:spacing w:after="0"/>
            </w:pPr>
            <w:r/>
            <w:r>
              <w:rPr>
                <w:rFonts w:ascii="Arial" w:hAnsi="Arial"/>
                <w:b w:val="0"/>
                <w:sz w:val="15"/>
              </w:rPr>
              <w:t>R</w:t>
            </w:r>
          </w:p>
        </w:tc>
        <w:tc>
          <w:tcPr>
            <w:tcW w:type="dxa" w:w="1152"/>
            <w:vAlign w:val="top"/>
            <w:shd w:fill="F7F7F7"/>
          </w:tcPr>
          <w:p>
            <w:pPr>
              <w:spacing w:after="0"/>
            </w:pPr>
            <w:r/>
            <w:r>
              <w:rPr>
                <w:rFonts w:ascii="Arial" w:hAnsi="Arial"/>
                <w:b w:val="0"/>
                <w:sz w:val="15"/>
              </w:rPr>
              <w:t>C</w:t>
            </w:r>
          </w:p>
        </w:tc>
        <w:tc>
          <w:tcPr>
            <w:tcW w:type="dxa" w:w="1007"/>
            <w:vAlign w:val="top"/>
            <w:shd w:fill="F7F7F7"/>
          </w:tcPr>
          <w:p>
            <w:pPr>
              <w:spacing w:after="0"/>
            </w:pPr>
            <w:r/>
            <w:r>
              <w:rPr>
                <w:rFonts w:ascii="Arial" w:hAnsi="Arial"/>
                <w:b w:val="0"/>
                <w:sz w:val="15"/>
              </w:rPr>
              <w:t>I</w:t>
            </w:r>
          </w:p>
        </w:tc>
        <w:tc>
          <w:tcPr>
            <w:tcW w:type="dxa" w:w="1296"/>
            <w:vAlign w:val="top"/>
            <w:shd w:fill="F7F7F7"/>
          </w:tcPr>
          <w:p>
            <w:pPr>
              <w:spacing w:after="0"/>
            </w:pPr>
            <w:r/>
            <w:r>
              <w:rPr>
                <w:rFonts w:ascii="Arial" w:hAnsi="Arial"/>
                <w:b w:val="0"/>
                <w:sz w:val="15"/>
              </w:rPr>
              <w:t>I</w:t>
            </w:r>
          </w:p>
        </w:tc>
      </w:tr>
      <w:tr>
        <w:tc>
          <w:tcPr>
            <w:tcW w:type="dxa" w:w="3168"/>
            <w:vAlign w:val="top"/>
          </w:tcPr>
          <w:p>
            <w:pPr>
              <w:spacing w:after="0"/>
            </w:pPr>
            <w:r/>
            <w:r>
              <w:rPr>
                <w:rFonts w:ascii="Arial" w:hAnsi="Arial"/>
                <w:b w:val="0"/>
                <w:sz w:val="15"/>
              </w:rPr>
              <w:t>Configure MCP / agent use</w:t>
            </w:r>
          </w:p>
        </w:tc>
        <w:tc>
          <w:tcPr>
            <w:tcW w:type="dxa" w:w="1152"/>
            <w:vAlign w:val="top"/>
          </w:tcPr>
          <w:p>
            <w:pPr>
              <w:spacing w:after="0"/>
            </w:pPr>
            <w:r/>
            <w:r>
              <w:rPr>
                <w:rFonts w:ascii="Arial" w:hAnsi="Arial"/>
                <w:b w:val="0"/>
                <w:sz w:val="15"/>
              </w:rPr>
              <w:t>A</w:t>
            </w:r>
          </w:p>
        </w:tc>
        <w:tc>
          <w:tcPr>
            <w:tcW w:type="dxa" w:w="1152"/>
            <w:vAlign w:val="top"/>
          </w:tcPr>
          <w:p>
            <w:pPr>
              <w:spacing w:after="0"/>
            </w:pPr>
            <w:r/>
            <w:r>
              <w:rPr>
                <w:rFonts w:ascii="Arial" w:hAnsi="Arial"/>
                <w:b w:val="0"/>
                <w:sz w:val="15"/>
              </w:rPr>
              <w:t>C</w:t>
            </w:r>
          </w:p>
        </w:tc>
        <w:tc>
          <w:tcPr>
            <w:tcW w:type="dxa" w:w="1152"/>
            <w:vAlign w:val="top"/>
          </w:tcPr>
          <w:p>
            <w:pPr>
              <w:spacing w:after="0"/>
            </w:pPr>
            <w:r/>
            <w:r>
              <w:rPr>
                <w:rFonts w:ascii="Arial" w:hAnsi="Arial"/>
                <w:b w:val="0"/>
                <w:sz w:val="15"/>
              </w:rPr>
              <w:t>I</w:t>
            </w:r>
          </w:p>
        </w:tc>
        <w:tc>
          <w:tcPr>
            <w:tcW w:type="dxa" w:w="1296"/>
            <w:vAlign w:val="top"/>
          </w:tcPr>
          <w:p>
            <w:pPr>
              <w:spacing w:after="0"/>
            </w:pPr>
            <w:r/>
            <w:r>
              <w:rPr>
                <w:rFonts w:ascii="Arial" w:hAnsi="Arial"/>
                <w:b w:val="0"/>
                <w:sz w:val="15"/>
              </w:rPr>
              <w:t>R</w:t>
            </w:r>
          </w:p>
        </w:tc>
        <w:tc>
          <w:tcPr>
            <w:tcW w:type="dxa" w:w="1152"/>
            <w:vAlign w:val="top"/>
          </w:tcPr>
          <w:p>
            <w:pPr>
              <w:spacing w:after="0"/>
            </w:pPr>
            <w:r/>
            <w:r>
              <w:rPr>
                <w:rFonts w:ascii="Arial" w:hAnsi="Arial"/>
                <w:b w:val="0"/>
                <w:sz w:val="15"/>
              </w:rPr>
              <w:t>C</w:t>
            </w:r>
          </w:p>
        </w:tc>
        <w:tc>
          <w:tcPr>
            <w:tcW w:type="dxa" w:w="1007"/>
            <w:vAlign w:val="top"/>
          </w:tcPr>
          <w:p>
            <w:pPr>
              <w:spacing w:after="0"/>
            </w:pPr>
            <w:r/>
            <w:r>
              <w:rPr>
                <w:rFonts w:ascii="Arial" w:hAnsi="Arial"/>
                <w:b w:val="0"/>
                <w:sz w:val="15"/>
              </w:rPr>
              <w:t>C</w:t>
            </w:r>
          </w:p>
        </w:tc>
        <w:tc>
          <w:tcPr>
            <w:tcW w:type="dxa" w:w="1296"/>
            <w:vAlign w:val="top"/>
          </w:tcPr>
          <w:p>
            <w:pPr>
              <w:spacing w:after="0"/>
            </w:pPr>
            <w:r/>
            <w:r>
              <w:rPr>
                <w:rFonts w:ascii="Arial" w:hAnsi="Arial"/>
                <w:b w:val="0"/>
                <w:sz w:val="15"/>
              </w:rPr>
              <w:t>I</w:t>
            </w:r>
          </w:p>
        </w:tc>
      </w:tr>
      <w:tr>
        <w:tc>
          <w:tcPr>
            <w:tcW w:type="dxa" w:w="3168"/>
            <w:vAlign w:val="top"/>
            <w:shd w:fill="F7F7F7"/>
          </w:tcPr>
          <w:p>
            <w:pPr>
              <w:spacing w:after="0"/>
            </w:pPr>
            <w:r/>
            <w:r>
              <w:rPr>
                <w:rFonts w:ascii="Arial" w:hAnsi="Arial"/>
                <w:b w:val="0"/>
                <w:sz w:val="15"/>
              </w:rPr>
              <w:t>Review generated AGENTS.md / CLAUDE.md impact</w:t>
            </w:r>
          </w:p>
        </w:tc>
        <w:tc>
          <w:tcPr>
            <w:tcW w:type="dxa" w:w="1152"/>
            <w:vAlign w:val="top"/>
            <w:shd w:fill="F7F7F7"/>
          </w:tcPr>
          <w:p>
            <w:pPr>
              <w:spacing w:after="0"/>
            </w:pPr>
            <w:r/>
            <w:r>
              <w:rPr>
                <w:rFonts w:ascii="Arial" w:hAnsi="Arial"/>
                <w:b w:val="0"/>
                <w:sz w:val="15"/>
              </w:rPr>
              <w:t>A</w:t>
            </w:r>
          </w:p>
        </w:tc>
        <w:tc>
          <w:tcPr>
            <w:tcW w:type="dxa" w:w="1152"/>
            <w:vAlign w:val="top"/>
            <w:shd w:fill="F7F7F7"/>
          </w:tcPr>
          <w:p>
            <w:pPr>
              <w:spacing w:after="0"/>
            </w:pPr>
            <w:r/>
            <w:r>
              <w:rPr>
                <w:rFonts w:ascii="Arial" w:hAnsi="Arial"/>
                <w:b w:val="0"/>
                <w:sz w:val="15"/>
              </w:rPr>
              <w:t>R</w:t>
            </w:r>
          </w:p>
        </w:tc>
        <w:tc>
          <w:tcPr>
            <w:tcW w:type="dxa" w:w="1152"/>
            <w:vAlign w:val="top"/>
            <w:shd w:fill="F7F7F7"/>
          </w:tcPr>
          <w:p>
            <w:pPr>
              <w:spacing w:after="0"/>
            </w:pPr>
            <w:r/>
            <w:r>
              <w:rPr>
                <w:rFonts w:ascii="Arial" w:hAnsi="Arial"/>
                <w:b w:val="0"/>
                <w:sz w:val="15"/>
              </w:rPr>
              <w:t>R</w:t>
            </w:r>
          </w:p>
        </w:tc>
        <w:tc>
          <w:tcPr>
            <w:tcW w:type="dxa" w:w="1296"/>
            <w:vAlign w:val="top"/>
            <w:shd w:fill="F7F7F7"/>
          </w:tcPr>
          <w:p>
            <w:pPr>
              <w:spacing w:after="0"/>
            </w:pPr>
            <w:r/>
            <w:r>
              <w:rPr>
                <w:rFonts w:ascii="Arial" w:hAnsi="Arial"/>
                <w:b w:val="0"/>
                <w:sz w:val="15"/>
              </w:rPr>
              <w:t>R</w:t>
            </w:r>
          </w:p>
        </w:tc>
        <w:tc>
          <w:tcPr>
            <w:tcW w:type="dxa" w:w="1152"/>
            <w:vAlign w:val="top"/>
            <w:shd w:fill="F7F7F7"/>
          </w:tcPr>
          <w:p>
            <w:pPr>
              <w:spacing w:after="0"/>
            </w:pPr>
            <w:r/>
            <w:r>
              <w:rPr>
                <w:rFonts w:ascii="Arial" w:hAnsi="Arial"/>
                <w:b w:val="0"/>
                <w:sz w:val="15"/>
              </w:rPr>
              <w:t>C</w:t>
            </w:r>
          </w:p>
        </w:tc>
        <w:tc>
          <w:tcPr>
            <w:tcW w:type="dxa" w:w="1007"/>
            <w:vAlign w:val="top"/>
            <w:shd w:fill="F7F7F7"/>
          </w:tcPr>
          <w:p>
            <w:pPr>
              <w:spacing w:after="0"/>
            </w:pPr>
            <w:r/>
            <w:r>
              <w:rPr>
                <w:rFonts w:ascii="Arial" w:hAnsi="Arial"/>
                <w:b w:val="0"/>
                <w:sz w:val="15"/>
              </w:rPr>
              <w:t>C</w:t>
            </w:r>
          </w:p>
        </w:tc>
        <w:tc>
          <w:tcPr>
            <w:tcW w:type="dxa" w:w="1296"/>
            <w:vAlign w:val="top"/>
            <w:shd w:fill="F7F7F7"/>
          </w:tcPr>
          <w:p>
            <w:pPr>
              <w:spacing w:after="0"/>
            </w:pPr>
            <w:r/>
            <w:r>
              <w:rPr>
                <w:rFonts w:ascii="Arial" w:hAnsi="Arial"/>
                <w:b w:val="0"/>
                <w:sz w:val="15"/>
              </w:rPr>
              <w:t>I</w:t>
            </w:r>
          </w:p>
        </w:tc>
      </w:tr>
      <w:tr>
        <w:tc>
          <w:tcPr>
            <w:tcW w:type="dxa" w:w="3168"/>
            <w:vAlign w:val="top"/>
          </w:tcPr>
          <w:p>
            <w:pPr>
              <w:spacing w:after="0"/>
            </w:pPr>
            <w:r/>
            <w:r>
              <w:rPr>
                <w:rFonts w:ascii="Arial" w:hAnsi="Arial"/>
                <w:b w:val="0"/>
                <w:sz w:val="15"/>
              </w:rPr>
              <w:t>Review architecture boundary findings</w:t>
            </w:r>
          </w:p>
        </w:tc>
        <w:tc>
          <w:tcPr>
            <w:tcW w:type="dxa" w:w="1152"/>
            <w:vAlign w:val="top"/>
          </w:tcPr>
          <w:p>
            <w:pPr>
              <w:spacing w:after="0"/>
            </w:pPr>
            <w:r/>
            <w:r>
              <w:rPr>
                <w:rFonts w:ascii="Arial" w:hAnsi="Arial"/>
                <w:b w:val="0"/>
                <w:sz w:val="15"/>
              </w:rPr>
              <w:t>A/R</w:t>
            </w:r>
          </w:p>
        </w:tc>
        <w:tc>
          <w:tcPr>
            <w:tcW w:type="dxa" w:w="1152"/>
            <w:vAlign w:val="top"/>
          </w:tcPr>
          <w:p>
            <w:pPr>
              <w:spacing w:after="0"/>
            </w:pPr>
            <w:r/>
            <w:r>
              <w:rPr>
                <w:rFonts w:ascii="Arial" w:hAnsi="Arial"/>
                <w:b w:val="0"/>
                <w:sz w:val="15"/>
              </w:rPr>
              <w:t>R</w:t>
            </w:r>
          </w:p>
        </w:tc>
        <w:tc>
          <w:tcPr>
            <w:tcW w:type="dxa" w:w="1152"/>
            <w:vAlign w:val="top"/>
          </w:tcPr>
          <w:p>
            <w:pPr>
              <w:spacing w:after="0"/>
            </w:pPr>
            <w:r/>
            <w:r>
              <w:rPr>
                <w:rFonts w:ascii="Arial" w:hAnsi="Arial"/>
                <w:b w:val="0"/>
                <w:sz w:val="15"/>
              </w:rPr>
              <w:t>C</w:t>
            </w:r>
          </w:p>
        </w:tc>
        <w:tc>
          <w:tcPr>
            <w:tcW w:type="dxa" w:w="1296"/>
            <w:vAlign w:val="top"/>
          </w:tcPr>
          <w:p>
            <w:pPr>
              <w:spacing w:after="0"/>
            </w:pPr>
            <w:r/>
            <w:r>
              <w:rPr>
                <w:rFonts w:ascii="Arial" w:hAnsi="Arial"/>
                <w:b w:val="0"/>
                <w:sz w:val="15"/>
              </w:rPr>
              <w:t>C</w:t>
            </w:r>
          </w:p>
        </w:tc>
        <w:tc>
          <w:tcPr>
            <w:tcW w:type="dxa" w:w="1152"/>
            <w:vAlign w:val="top"/>
          </w:tcPr>
          <w:p>
            <w:pPr>
              <w:spacing w:after="0"/>
            </w:pPr>
            <w:r/>
            <w:r>
              <w:rPr>
                <w:rFonts w:ascii="Arial" w:hAnsi="Arial"/>
                <w:b w:val="0"/>
                <w:sz w:val="15"/>
              </w:rPr>
              <w:t>C</w:t>
            </w:r>
          </w:p>
        </w:tc>
        <w:tc>
          <w:tcPr>
            <w:tcW w:type="dxa" w:w="1007"/>
            <w:vAlign w:val="top"/>
          </w:tcPr>
          <w:p>
            <w:pPr>
              <w:spacing w:after="0"/>
            </w:pPr>
            <w:r/>
            <w:r>
              <w:rPr>
                <w:rFonts w:ascii="Arial" w:hAnsi="Arial"/>
                <w:b w:val="0"/>
                <w:sz w:val="15"/>
              </w:rPr>
              <w:t>C</w:t>
            </w:r>
          </w:p>
        </w:tc>
        <w:tc>
          <w:tcPr>
            <w:tcW w:type="dxa" w:w="1296"/>
            <w:vAlign w:val="top"/>
          </w:tcPr>
          <w:p>
            <w:pPr>
              <w:spacing w:after="0"/>
            </w:pPr>
            <w:r/>
            <w:r>
              <w:rPr>
                <w:rFonts w:ascii="Arial" w:hAnsi="Arial"/>
                <w:b w:val="0"/>
                <w:sz w:val="15"/>
              </w:rPr>
              <w:t>I</w:t>
            </w:r>
          </w:p>
        </w:tc>
      </w:tr>
      <w:tr>
        <w:tc>
          <w:tcPr>
            <w:tcW w:type="dxa" w:w="3168"/>
            <w:vAlign w:val="top"/>
            <w:shd w:fill="F7F7F7"/>
          </w:tcPr>
          <w:p>
            <w:pPr>
              <w:spacing w:after="0"/>
            </w:pPr>
            <w:r/>
            <w:r>
              <w:rPr>
                <w:rFonts w:ascii="Arial" w:hAnsi="Arial"/>
                <w:b w:val="0"/>
                <w:sz w:val="15"/>
              </w:rPr>
              <w:t>Review security findings or data leakage risk</w:t>
            </w:r>
          </w:p>
        </w:tc>
        <w:tc>
          <w:tcPr>
            <w:tcW w:type="dxa" w:w="1152"/>
            <w:vAlign w:val="top"/>
            <w:shd w:fill="F7F7F7"/>
          </w:tcPr>
          <w:p>
            <w:pPr>
              <w:spacing w:after="0"/>
            </w:pPr>
            <w:r/>
            <w:r>
              <w:rPr>
                <w:rFonts w:ascii="Arial" w:hAnsi="Arial"/>
                <w:b w:val="0"/>
                <w:sz w:val="15"/>
              </w:rPr>
              <w:t>C</w:t>
            </w:r>
          </w:p>
        </w:tc>
        <w:tc>
          <w:tcPr>
            <w:tcW w:type="dxa" w:w="1152"/>
            <w:vAlign w:val="top"/>
            <w:shd w:fill="F7F7F7"/>
          </w:tcPr>
          <w:p>
            <w:pPr>
              <w:spacing w:after="0"/>
            </w:pPr>
            <w:r/>
            <w:r>
              <w:rPr>
                <w:rFonts w:ascii="Arial" w:hAnsi="Arial"/>
                <w:b w:val="0"/>
                <w:sz w:val="15"/>
              </w:rPr>
              <w:t>C</w:t>
            </w:r>
          </w:p>
        </w:tc>
        <w:tc>
          <w:tcPr>
            <w:tcW w:type="dxa" w:w="1152"/>
            <w:vAlign w:val="top"/>
            <w:shd w:fill="F7F7F7"/>
          </w:tcPr>
          <w:p>
            <w:pPr>
              <w:spacing w:after="0"/>
            </w:pPr>
            <w:r/>
            <w:r>
              <w:rPr>
                <w:rFonts w:ascii="Arial" w:hAnsi="Arial"/>
                <w:b w:val="0"/>
                <w:sz w:val="15"/>
              </w:rPr>
              <w:t>R</w:t>
            </w:r>
          </w:p>
        </w:tc>
        <w:tc>
          <w:tcPr>
            <w:tcW w:type="dxa" w:w="1296"/>
            <w:vAlign w:val="top"/>
            <w:shd w:fill="F7F7F7"/>
          </w:tcPr>
          <w:p>
            <w:pPr>
              <w:spacing w:after="0"/>
            </w:pPr>
            <w:r/>
            <w:r>
              <w:rPr>
                <w:rFonts w:ascii="Arial" w:hAnsi="Arial"/>
                <w:b w:val="0"/>
                <w:sz w:val="15"/>
              </w:rPr>
              <w:t>C</w:t>
            </w:r>
          </w:p>
        </w:tc>
        <w:tc>
          <w:tcPr>
            <w:tcW w:type="dxa" w:w="1152"/>
            <w:vAlign w:val="top"/>
            <w:shd w:fill="F7F7F7"/>
          </w:tcPr>
          <w:p>
            <w:pPr>
              <w:spacing w:after="0"/>
            </w:pPr>
            <w:r/>
            <w:r>
              <w:rPr>
                <w:rFonts w:ascii="Arial" w:hAnsi="Arial"/>
                <w:b w:val="0"/>
                <w:sz w:val="15"/>
              </w:rPr>
              <w:t>A/R</w:t>
            </w:r>
          </w:p>
        </w:tc>
        <w:tc>
          <w:tcPr>
            <w:tcW w:type="dxa" w:w="1007"/>
            <w:vAlign w:val="top"/>
            <w:shd w:fill="F7F7F7"/>
          </w:tcPr>
          <w:p>
            <w:pPr>
              <w:spacing w:after="0"/>
            </w:pPr>
            <w:r/>
            <w:r>
              <w:rPr>
                <w:rFonts w:ascii="Arial" w:hAnsi="Arial"/>
                <w:b w:val="0"/>
                <w:sz w:val="15"/>
              </w:rPr>
              <w:t>C</w:t>
            </w:r>
          </w:p>
        </w:tc>
        <w:tc>
          <w:tcPr>
            <w:tcW w:type="dxa" w:w="1296"/>
            <w:vAlign w:val="top"/>
            <w:shd w:fill="F7F7F7"/>
          </w:tcPr>
          <w:p>
            <w:pPr>
              <w:spacing w:after="0"/>
            </w:pPr>
            <w:r/>
            <w:r>
              <w:rPr>
                <w:rFonts w:ascii="Arial" w:hAnsi="Arial"/>
                <w:b w:val="0"/>
                <w:sz w:val="15"/>
              </w:rPr>
              <w:t>I</w:t>
            </w:r>
          </w:p>
        </w:tc>
      </w:tr>
      <w:tr>
        <w:tc>
          <w:tcPr>
            <w:tcW w:type="dxa" w:w="3168"/>
            <w:vAlign w:val="top"/>
          </w:tcPr>
          <w:p>
            <w:pPr>
              <w:spacing w:after="0"/>
            </w:pPr>
            <w:r/>
            <w:r>
              <w:rPr>
                <w:rFonts w:ascii="Arial" w:hAnsi="Arial"/>
                <w:b w:val="0"/>
                <w:sz w:val="15"/>
              </w:rPr>
              <w:t>Verify affected tests and evidence</w:t>
            </w:r>
          </w:p>
        </w:tc>
        <w:tc>
          <w:tcPr>
            <w:tcW w:type="dxa" w:w="1152"/>
            <w:vAlign w:val="top"/>
          </w:tcPr>
          <w:p>
            <w:pPr>
              <w:spacing w:after="0"/>
            </w:pPr>
            <w:r/>
            <w:r>
              <w:rPr>
                <w:rFonts w:ascii="Arial" w:hAnsi="Arial"/>
                <w:b w:val="0"/>
                <w:sz w:val="15"/>
              </w:rPr>
              <w:t>C</w:t>
            </w:r>
          </w:p>
        </w:tc>
        <w:tc>
          <w:tcPr>
            <w:tcW w:type="dxa" w:w="1152"/>
            <w:vAlign w:val="top"/>
          </w:tcPr>
          <w:p>
            <w:pPr>
              <w:spacing w:after="0"/>
            </w:pPr>
            <w:r/>
            <w:r>
              <w:rPr>
                <w:rFonts w:ascii="Arial" w:hAnsi="Arial"/>
                <w:b w:val="0"/>
                <w:sz w:val="15"/>
              </w:rPr>
              <w:t>C</w:t>
            </w:r>
          </w:p>
        </w:tc>
        <w:tc>
          <w:tcPr>
            <w:tcW w:type="dxa" w:w="1152"/>
            <w:vAlign w:val="top"/>
          </w:tcPr>
          <w:p>
            <w:pPr>
              <w:spacing w:after="0"/>
            </w:pPr>
            <w:r/>
            <w:r>
              <w:rPr>
                <w:rFonts w:ascii="Arial" w:hAnsi="Arial"/>
                <w:b w:val="0"/>
                <w:sz w:val="15"/>
              </w:rPr>
              <w:t>R</w:t>
            </w:r>
          </w:p>
        </w:tc>
        <w:tc>
          <w:tcPr>
            <w:tcW w:type="dxa" w:w="1296"/>
            <w:vAlign w:val="top"/>
          </w:tcPr>
          <w:p>
            <w:pPr>
              <w:spacing w:after="0"/>
            </w:pPr>
            <w:r/>
            <w:r>
              <w:rPr>
                <w:rFonts w:ascii="Arial" w:hAnsi="Arial"/>
                <w:b w:val="0"/>
                <w:sz w:val="15"/>
              </w:rPr>
              <w:t>C</w:t>
            </w:r>
          </w:p>
        </w:tc>
        <w:tc>
          <w:tcPr>
            <w:tcW w:type="dxa" w:w="1152"/>
            <w:vAlign w:val="top"/>
          </w:tcPr>
          <w:p>
            <w:pPr>
              <w:spacing w:after="0"/>
            </w:pPr>
            <w:r/>
            <w:r>
              <w:rPr>
                <w:rFonts w:ascii="Arial" w:hAnsi="Arial"/>
                <w:b w:val="0"/>
                <w:sz w:val="15"/>
              </w:rPr>
              <w:t>C</w:t>
            </w:r>
          </w:p>
        </w:tc>
        <w:tc>
          <w:tcPr>
            <w:tcW w:type="dxa" w:w="1007"/>
            <w:vAlign w:val="top"/>
          </w:tcPr>
          <w:p>
            <w:pPr>
              <w:spacing w:after="0"/>
            </w:pPr>
            <w:r/>
            <w:r>
              <w:rPr>
                <w:rFonts w:ascii="Arial" w:hAnsi="Arial"/>
                <w:b w:val="0"/>
                <w:sz w:val="15"/>
              </w:rPr>
              <w:t>A/R</w:t>
            </w:r>
          </w:p>
        </w:tc>
        <w:tc>
          <w:tcPr>
            <w:tcW w:type="dxa" w:w="1296"/>
            <w:vAlign w:val="top"/>
          </w:tcPr>
          <w:p>
            <w:pPr>
              <w:spacing w:after="0"/>
            </w:pPr>
            <w:r/>
            <w:r>
              <w:rPr>
                <w:rFonts w:ascii="Arial" w:hAnsi="Arial"/>
                <w:b w:val="0"/>
                <w:sz w:val="15"/>
              </w:rPr>
              <w:t>I</w:t>
            </w:r>
          </w:p>
        </w:tc>
      </w:tr>
      <w:tr>
        <w:tc>
          <w:tcPr>
            <w:tcW w:type="dxa" w:w="3168"/>
            <w:vAlign w:val="top"/>
            <w:shd w:fill="F7F7F7"/>
          </w:tcPr>
          <w:p>
            <w:pPr>
              <w:spacing w:after="0"/>
            </w:pPr>
            <w:r/>
            <w:r>
              <w:rPr>
                <w:rFonts w:ascii="Arial" w:hAnsi="Arial"/>
                <w:b w:val="0"/>
                <w:sz w:val="15"/>
              </w:rPr>
              <w:t>Audit GitNexus evidence samples</w:t>
            </w:r>
          </w:p>
        </w:tc>
        <w:tc>
          <w:tcPr>
            <w:tcW w:type="dxa" w:w="1152"/>
            <w:vAlign w:val="top"/>
            <w:shd w:fill="F7F7F7"/>
          </w:tcPr>
          <w:p>
            <w:pPr>
              <w:spacing w:after="0"/>
            </w:pPr>
            <w:r/>
            <w:r>
              <w:rPr>
                <w:rFonts w:ascii="Arial" w:hAnsi="Arial"/>
                <w:b w:val="0"/>
                <w:sz w:val="15"/>
              </w:rPr>
              <w:t>I</w:t>
            </w:r>
          </w:p>
        </w:tc>
        <w:tc>
          <w:tcPr>
            <w:tcW w:type="dxa" w:w="1152"/>
            <w:vAlign w:val="top"/>
            <w:shd w:fill="F7F7F7"/>
          </w:tcPr>
          <w:p>
            <w:pPr>
              <w:spacing w:after="0"/>
            </w:pPr>
            <w:r/>
            <w:r>
              <w:rPr>
                <w:rFonts w:ascii="Arial" w:hAnsi="Arial"/>
                <w:b w:val="0"/>
                <w:sz w:val="15"/>
              </w:rPr>
              <w:t>I</w:t>
            </w:r>
          </w:p>
        </w:tc>
        <w:tc>
          <w:tcPr>
            <w:tcW w:type="dxa" w:w="1152"/>
            <w:vAlign w:val="top"/>
            <w:shd w:fill="F7F7F7"/>
          </w:tcPr>
          <w:p>
            <w:pPr>
              <w:spacing w:after="0"/>
            </w:pPr>
            <w:r/>
            <w:r>
              <w:rPr>
                <w:rFonts w:ascii="Arial" w:hAnsi="Arial"/>
                <w:b w:val="0"/>
                <w:sz w:val="15"/>
              </w:rPr>
              <w:t>I</w:t>
            </w:r>
          </w:p>
        </w:tc>
        <w:tc>
          <w:tcPr>
            <w:tcW w:type="dxa" w:w="1296"/>
            <w:vAlign w:val="top"/>
            <w:shd w:fill="F7F7F7"/>
          </w:tcPr>
          <w:p>
            <w:pPr>
              <w:spacing w:after="0"/>
            </w:pPr>
            <w:r/>
            <w:r>
              <w:rPr>
                <w:rFonts w:ascii="Arial" w:hAnsi="Arial"/>
                <w:b w:val="0"/>
                <w:sz w:val="15"/>
              </w:rPr>
              <w:t>C</w:t>
            </w:r>
          </w:p>
        </w:tc>
        <w:tc>
          <w:tcPr>
            <w:tcW w:type="dxa" w:w="1152"/>
            <w:vAlign w:val="top"/>
            <w:shd w:fill="F7F7F7"/>
          </w:tcPr>
          <w:p>
            <w:pPr>
              <w:spacing w:after="0"/>
            </w:pPr>
            <w:r/>
            <w:r>
              <w:rPr>
                <w:rFonts w:ascii="Arial" w:hAnsi="Arial"/>
                <w:b w:val="0"/>
                <w:sz w:val="15"/>
              </w:rPr>
              <w:t>C</w:t>
            </w:r>
          </w:p>
        </w:tc>
        <w:tc>
          <w:tcPr>
            <w:tcW w:type="dxa" w:w="1007"/>
            <w:vAlign w:val="top"/>
            <w:shd w:fill="F7F7F7"/>
          </w:tcPr>
          <w:p>
            <w:pPr>
              <w:spacing w:after="0"/>
            </w:pPr>
            <w:r/>
            <w:r>
              <w:rPr>
                <w:rFonts w:ascii="Arial" w:hAnsi="Arial"/>
                <w:b w:val="0"/>
                <w:sz w:val="15"/>
              </w:rPr>
              <w:t>C</w:t>
            </w:r>
          </w:p>
        </w:tc>
        <w:tc>
          <w:tcPr>
            <w:tcW w:type="dxa" w:w="1296"/>
            <w:vAlign w:val="top"/>
            <w:shd w:fill="F7F7F7"/>
          </w:tcPr>
          <w:p>
            <w:pPr>
              <w:spacing w:after="0"/>
            </w:pPr>
            <w:r/>
            <w:r>
              <w:rPr>
                <w:rFonts w:ascii="Arial" w:hAnsi="Arial"/>
                <w:b w:val="0"/>
                <w:sz w:val="15"/>
              </w:rPr>
              <w:t>A/R</w:t>
            </w:r>
          </w:p>
        </w:tc>
      </w:tr>
    </w:tbl>
    <w:p/>
    <w:p>
      <w:pPr>
        <w:pStyle w:val="AIRASmall"/>
        <w:keepNext w:val="0"/>
        <w:spacing w:after="80" w:line="252" w:lineRule="auto"/>
      </w:pPr>
      <w:r>
        <w:rPr>
          <w:rFonts w:ascii="Arial" w:hAnsi="Arial"/>
          <w:b w:val="0"/>
          <w:i w:val="0"/>
        </w:rPr>
        <w:t>Legend: R = Responsible, A = Accountable, C = Consulted, I = Informed.</w:t>
      </w:r>
    </w:p>
    <w:p>
      <w:pPr>
        <w:pStyle w:val="Heading1"/>
        <w:keepNext w:val="0"/>
        <w:spacing w:after="80" w:line="252" w:lineRule="auto"/>
      </w:pPr>
      <w:r>
        <w:rPr>
          <w:rFonts w:ascii="Arial" w:hAnsi="Arial"/>
          <w:b w:val="0"/>
          <w:i w:val="0"/>
        </w:rPr>
        <w:t>15. Phased Adoption Roadmap</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2"/>
        <w:gridCol w:w="2592"/>
        <w:gridCol w:w="2592"/>
        <w:gridCol w:w="2592"/>
      </w:tblGrid>
      <w:tr>
        <w:tc>
          <w:tcPr>
            <w:tcW w:type="dxa" w:w="1872"/>
            <w:shd w:fill="1F4E79"/>
            <w:vAlign w:val="center"/>
          </w:tcPr>
          <w:p>
            <w:pPr>
              <w:spacing w:after="0"/>
            </w:pPr>
            <w:r/>
            <w:r>
              <w:rPr>
                <w:rFonts w:ascii="Arial" w:hAnsi="Arial"/>
                <w:b/>
                <w:color w:val="FFFFFF"/>
                <w:sz w:val="16"/>
              </w:rPr>
              <w:t>Phase</w:t>
            </w:r>
          </w:p>
        </w:tc>
        <w:tc>
          <w:tcPr>
            <w:tcW w:type="dxa" w:w="2880"/>
            <w:shd w:fill="1F4E79"/>
            <w:vAlign w:val="center"/>
          </w:tcPr>
          <w:p>
            <w:pPr>
              <w:spacing w:after="0"/>
            </w:pPr>
            <w:r/>
            <w:r>
              <w:rPr>
                <w:rFonts w:ascii="Arial" w:hAnsi="Arial"/>
                <w:b/>
                <w:color w:val="FFFFFF"/>
                <w:sz w:val="16"/>
              </w:rPr>
              <w:t>Objective</w:t>
            </w:r>
          </w:p>
        </w:tc>
        <w:tc>
          <w:tcPr>
            <w:tcW w:type="dxa" w:w="3888"/>
            <w:shd w:fill="1F4E79"/>
            <w:vAlign w:val="center"/>
          </w:tcPr>
          <w:p>
            <w:pPr>
              <w:spacing w:after="0"/>
            </w:pPr>
            <w:r/>
            <w:r>
              <w:rPr>
                <w:rFonts w:ascii="Arial" w:hAnsi="Arial"/>
                <w:b/>
                <w:color w:val="FFFFFF"/>
                <w:sz w:val="16"/>
              </w:rPr>
              <w:t>Key Activities</w:t>
            </w:r>
          </w:p>
        </w:tc>
        <w:tc>
          <w:tcPr>
            <w:tcW w:type="dxa" w:w="2015"/>
            <w:shd w:fill="1F4E79"/>
            <w:vAlign w:val="center"/>
          </w:tcPr>
          <w:p>
            <w:pPr>
              <w:spacing w:after="0"/>
            </w:pPr>
            <w:r/>
            <w:r>
              <w:rPr>
                <w:rFonts w:ascii="Arial" w:hAnsi="Arial"/>
                <w:b/>
                <w:color w:val="FFFFFF"/>
                <w:sz w:val="16"/>
              </w:rPr>
              <w:t>Exit Evidence</w:t>
            </w:r>
          </w:p>
        </w:tc>
      </w:tr>
      <w:tr>
        <w:tc>
          <w:tcPr>
            <w:tcW w:type="dxa" w:w="1872"/>
            <w:vAlign w:val="top"/>
          </w:tcPr>
          <w:p>
            <w:pPr>
              <w:spacing w:after="0"/>
            </w:pPr>
            <w:r/>
            <w:r>
              <w:rPr>
                <w:rFonts w:ascii="Arial" w:hAnsi="Arial"/>
                <w:b w:val="0"/>
                <w:sz w:val="16"/>
              </w:rPr>
              <w:t>P0 - Governance Prep</w:t>
            </w:r>
          </w:p>
        </w:tc>
        <w:tc>
          <w:tcPr>
            <w:tcW w:type="dxa" w:w="2880"/>
            <w:vAlign w:val="top"/>
          </w:tcPr>
          <w:p>
            <w:pPr>
              <w:spacing w:after="0"/>
            </w:pPr>
            <w:r/>
            <w:r>
              <w:rPr>
                <w:rFonts w:ascii="Arial" w:hAnsi="Arial"/>
                <w:b w:val="0"/>
                <w:sz w:val="16"/>
              </w:rPr>
              <w:t>Determine whether GitNexus is allowed for AIRA evaluation.</w:t>
            </w:r>
          </w:p>
        </w:tc>
        <w:tc>
          <w:tcPr>
            <w:tcW w:type="dxa" w:w="3888"/>
            <w:vAlign w:val="top"/>
          </w:tcPr>
          <w:p>
            <w:pPr>
              <w:spacing w:after="0"/>
            </w:pPr>
            <w:r/>
            <w:r>
              <w:rPr>
                <w:rFonts w:ascii="Arial" w:hAnsi="Arial"/>
                <w:b w:val="0"/>
                <w:sz w:val="16"/>
              </w:rPr>
              <w:t>Create TDL/ADR entry; license/security review; select sandbox repo; define metrics.</w:t>
            </w:r>
          </w:p>
        </w:tc>
        <w:tc>
          <w:tcPr>
            <w:tcW w:type="dxa" w:w="2015"/>
            <w:vAlign w:val="top"/>
          </w:tcPr>
          <w:p>
            <w:pPr>
              <w:spacing w:after="0"/>
            </w:pPr>
            <w:r/>
            <w:r>
              <w:rPr>
                <w:rFonts w:ascii="Arial" w:hAnsi="Arial"/>
                <w:b w:val="0"/>
                <w:sz w:val="16"/>
              </w:rPr>
              <w:t>Approved PoC decision and risk acceptance.</w:t>
            </w:r>
          </w:p>
        </w:tc>
      </w:tr>
      <w:tr>
        <w:tc>
          <w:tcPr>
            <w:tcW w:type="dxa" w:w="1872"/>
            <w:vAlign w:val="top"/>
            <w:shd w:fill="F7F7F7"/>
          </w:tcPr>
          <w:p>
            <w:pPr>
              <w:spacing w:after="0"/>
            </w:pPr>
            <w:r/>
            <w:r>
              <w:rPr>
                <w:rFonts w:ascii="Arial" w:hAnsi="Arial"/>
                <w:b w:val="0"/>
                <w:sz w:val="16"/>
              </w:rPr>
              <w:t>P1 - Sandbox PoC</w:t>
            </w:r>
          </w:p>
        </w:tc>
        <w:tc>
          <w:tcPr>
            <w:tcW w:type="dxa" w:w="2880"/>
            <w:vAlign w:val="top"/>
            <w:shd w:fill="F7F7F7"/>
          </w:tcPr>
          <w:p>
            <w:pPr>
              <w:spacing w:after="0"/>
            </w:pPr>
            <w:r/>
            <w:r>
              <w:rPr>
                <w:rFonts w:ascii="Arial" w:hAnsi="Arial"/>
                <w:b w:val="0"/>
                <w:sz w:val="16"/>
              </w:rPr>
              <w:t>Validate usefulness and safety on non-production or one bounded-context repo.</w:t>
            </w:r>
          </w:p>
        </w:tc>
        <w:tc>
          <w:tcPr>
            <w:tcW w:type="dxa" w:w="3888"/>
            <w:vAlign w:val="top"/>
            <w:shd w:fill="F7F7F7"/>
          </w:tcPr>
          <w:p>
            <w:pPr>
              <w:spacing w:after="0"/>
            </w:pPr>
            <w:r/>
            <w:r>
              <w:rPr>
                <w:rFonts w:ascii="Arial" w:hAnsi="Arial"/>
                <w:b w:val="0"/>
                <w:sz w:val="16"/>
              </w:rPr>
              <w:t>Run local indexing; test Java/Spring, TypeScript, SQL/YAML coverage; test MCP with approved tool.</w:t>
            </w:r>
          </w:p>
        </w:tc>
        <w:tc>
          <w:tcPr>
            <w:tcW w:type="dxa" w:w="2015"/>
            <w:vAlign w:val="top"/>
            <w:shd w:fill="F7F7F7"/>
          </w:tcPr>
          <w:p>
            <w:pPr>
              <w:spacing w:after="0"/>
            </w:pPr>
            <w:r/>
            <w:r>
              <w:rPr>
                <w:rFonts w:ascii="Arial" w:hAnsi="Arial"/>
                <w:b w:val="0"/>
                <w:sz w:val="16"/>
              </w:rPr>
              <w:t>PoC report, known gaps, version recommendation.</w:t>
            </w:r>
          </w:p>
        </w:tc>
      </w:tr>
      <w:tr>
        <w:tc>
          <w:tcPr>
            <w:tcW w:type="dxa" w:w="1872"/>
            <w:vAlign w:val="top"/>
          </w:tcPr>
          <w:p>
            <w:pPr>
              <w:spacing w:after="0"/>
            </w:pPr>
            <w:r/>
            <w:r>
              <w:rPr>
                <w:rFonts w:ascii="Arial" w:hAnsi="Arial"/>
                <w:b w:val="0"/>
                <w:sz w:val="16"/>
              </w:rPr>
              <w:t>P2 - Governed Developer Tool</w:t>
            </w:r>
          </w:p>
        </w:tc>
        <w:tc>
          <w:tcPr>
            <w:tcW w:type="dxa" w:w="2880"/>
            <w:vAlign w:val="top"/>
          </w:tcPr>
          <w:p>
            <w:pPr>
              <w:spacing w:after="0"/>
            </w:pPr>
            <w:r/>
            <w:r>
              <w:rPr>
                <w:rFonts w:ascii="Arial" w:hAnsi="Arial"/>
                <w:b w:val="0"/>
                <w:sz w:val="16"/>
              </w:rPr>
              <w:t>Allow trained developers to use local GitNexus under rules.</w:t>
            </w:r>
          </w:p>
        </w:tc>
        <w:tc>
          <w:tcPr>
            <w:tcW w:type="dxa" w:w="3888"/>
            <w:vAlign w:val="top"/>
          </w:tcPr>
          <w:p>
            <w:pPr>
              <w:spacing w:after="0"/>
            </w:pPr>
            <w:r/>
            <w:r>
              <w:rPr>
                <w:rFonts w:ascii="Arial" w:hAnsi="Arial"/>
                <w:b w:val="0"/>
                <w:sz w:val="16"/>
              </w:rPr>
              <w:t>Pin version; update devcontainer; onboard users; add .gitignore and evidence template.</w:t>
            </w:r>
          </w:p>
        </w:tc>
        <w:tc>
          <w:tcPr>
            <w:tcW w:type="dxa" w:w="2015"/>
            <w:vAlign w:val="top"/>
          </w:tcPr>
          <w:p>
            <w:pPr>
              <w:spacing w:after="0"/>
            </w:pPr>
            <w:r/>
            <w:r>
              <w:rPr>
                <w:rFonts w:ascii="Arial" w:hAnsi="Arial"/>
                <w:b w:val="0"/>
                <w:sz w:val="16"/>
              </w:rPr>
              <w:t>Onboarding acknowledgement; sample PR evidence.</w:t>
            </w:r>
          </w:p>
        </w:tc>
      </w:tr>
      <w:tr>
        <w:tc>
          <w:tcPr>
            <w:tcW w:type="dxa" w:w="1872"/>
            <w:vAlign w:val="top"/>
            <w:shd w:fill="F7F7F7"/>
          </w:tcPr>
          <w:p>
            <w:pPr>
              <w:spacing w:after="0"/>
            </w:pPr>
            <w:r/>
            <w:r>
              <w:rPr>
                <w:rFonts w:ascii="Arial" w:hAnsi="Arial"/>
                <w:b w:val="0"/>
                <w:sz w:val="16"/>
              </w:rPr>
              <w:t>P3 - Agent-Assisted Validation</w:t>
            </w:r>
          </w:p>
        </w:tc>
        <w:tc>
          <w:tcPr>
            <w:tcW w:type="dxa" w:w="2880"/>
            <w:vAlign w:val="top"/>
            <w:shd w:fill="F7F7F7"/>
          </w:tcPr>
          <w:p>
            <w:pPr>
              <w:spacing w:after="0"/>
            </w:pPr>
            <w:r/>
            <w:r>
              <w:rPr>
                <w:rFonts w:ascii="Arial" w:hAnsi="Arial"/>
                <w:b w:val="0"/>
                <w:sz w:val="16"/>
              </w:rPr>
              <w:t>Allow controlled AIRA agents to call GitNexus for analysis only.</w:t>
            </w:r>
          </w:p>
        </w:tc>
        <w:tc>
          <w:tcPr>
            <w:tcW w:type="dxa" w:w="3888"/>
            <w:vAlign w:val="top"/>
            <w:shd w:fill="F7F7F7"/>
          </w:tcPr>
          <w:p>
            <w:pPr>
              <w:spacing w:after="0"/>
            </w:pPr>
            <w:r/>
            <w:r>
              <w:rPr>
                <w:rFonts w:ascii="Arial" w:hAnsi="Arial"/>
                <w:b w:val="0"/>
                <w:sz w:val="16"/>
              </w:rPr>
              <w:t>Register MCP server; enforce SBAC/OPA; capture evidence; no direct execution.</w:t>
            </w:r>
          </w:p>
        </w:tc>
        <w:tc>
          <w:tcPr>
            <w:tcW w:type="dxa" w:w="2015"/>
            <w:vAlign w:val="top"/>
            <w:shd w:fill="F7F7F7"/>
          </w:tcPr>
          <w:p>
            <w:pPr>
              <w:spacing w:after="0"/>
            </w:pPr>
            <w:r/>
            <w:r>
              <w:rPr>
                <w:rFonts w:ascii="Arial" w:hAnsi="Arial"/>
                <w:b w:val="0"/>
                <w:sz w:val="16"/>
              </w:rPr>
              <w:t>Agent action evidence and blocked-action test.</w:t>
            </w:r>
          </w:p>
        </w:tc>
      </w:tr>
      <w:tr>
        <w:tc>
          <w:tcPr>
            <w:tcW w:type="dxa" w:w="1872"/>
            <w:vAlign w:val="top"/>
          </w:tcPr>
          <w:p>
            <w:pPr>
              <w:spacing w:after="0"/>
            </w:pPr>
            <w:r/>
            <w:r>
              <w:rPr>
                <w:rFonts w:ascii="Arial" w:hAnsi="Arial"/>
                <w:b w:val="0"/>
                <w:sz w:val="16"/>
              </w:rPr>
              <w:t>P4 - CI Advisory</w:t>
            </w:r>
          </w:p>
        </w:tc>
        <w:tc>
          <w:tcPr>
            <w:tcW w:type="dxa" w:w="2880"/>
            <w:vAlign w:val="top"/>
          </w:tcPr>
          <w:p>
            <w:pPr>
              <w:spacing w:after="0"/>
            </w:pPr>
            <w:r/>
            <w:r>
              <w:rPr>
                <w:rFonts w:ascii="Arial" w:hAnsi="Arial"/>
                <w:b w:val="0"/>
                <w:sz w:val="16"/>
              </w:rPr>
              <w:t>Publish GitNexus reports in selected PR pipelines.</w:t>
            </w:r>
          </w:p>
        </w:tc>
        <w:tc>
          <w:tcPr>
            <w:tcW w:type="dxa" w:w="3888"/>
            <w:vAlign w:val="top"/>
          </w:tcPr>
          <w:p>
            <w:pPr>
              <w:spacing w:after="0"/>
            </w:pPr>
            <w:r/>
            <w:r>
              <w:rPr>
                <w:rFonts w:ascii="Arial" w:hAnsi="Arial"/>
                <w:b w:val="0"/>
                <w:sz w:val="16"/>
              </w:rPr>
              <w:t>Add job; collect false positives; tune scope; verify report retention.</w:t>
            </w:r>
          </w:p>
        </w:tc>
        <w:tc>
          <w:tcPr>
            <w:tcW w:type="dxa" w:w="2015"/>
            <w:vAlign w:val="top"/>
          </w:tcPr>
          <w:p>
            <w:pPr>
              <w:spacing w:after="0"/>
            </w:pPr>
            <w:r/>
            <w:r>
              <w:rPr>
                <w:rFonts w:ascii="Arial" w:hAnsi="Arial"/>
                <w:b w:val="0"/>
                <w:sz w:val="16"/>
              </w:rPr>
              <w:t>CI artifacts and reviewer feedback.</w:t>
            </w:r>
          </w:p>
        </w:tc>
      </w:tr>
      <w:tr>
        <w:tc>
          <w:tcPr>
            <w:tcW w:type="dxa" w:w="1872"/>
            <w:vAlign w:val="top"/>
            <w:shd w:fill="F7F7F7"/>
          </w:tcPr>
          <w:p>
            <w:pPr>
              <w:spacing w:after="0"/>
            </w:pPr>
            <w:r/>
            <w:r>
              <w:rPr>
                <w:rFonts w:ascii="Arial" w:hAnsi="Arial"/>
                <w:b w:val="0"/>
                <w:sz w:val="16"/>
              </w:rPr>
              <w:t>P5 - Selective Gate</w:t>
            </w:r>
          </w:p>
        </w:tc>
        <w:tc>
          <w:tcPr>
            <w:tcW w:type="dxa" w:w="2880"/>
            <w:vAlign w:val="top"/>
            <w:shd w:fill="F7F7F7"/>
          </w:tcPr>
          <w:p>
            <w:pPr>
              <w:spacing w:after="0"/>
            </w:pPr>
            <w:r/>
            <w:r>
              <w:rPr>
                <w:rFonts w:ascii="Arial" w:hAnsi="Arial"/>
                <w:b w:val="0"/>
                <w:sz w:val="16"/>
              </w:rPr>
              <w:t>Block only deterministic critical violations after ARB approval.</w:t>
            </w:r>
          </w:p>
        </w:tc>
        <w:tc>
          <w:tcPr>
            <w:tcW w:type="dxa" w:w="3888"/>
            <w:vAlign w:val="top"/>
            <w:shd w:fill="F7F7F7"/>
          </w:tcPr>
          <w:p>
            <w:pPr>
              <w:spacing w:after="0"/>
            </w:pPr>
            <w:r/>
            <w:r>
              <w:rPr>
                <w:rFonts w:ascii="Arial" w:hAnsi="Arial"/>
                <w:b w:val="0"/>
                <w:sz w:val="16"/>
              </w:rPr>
              <w:t>Enable critical checks; implement waiver; monitor SLOs and audit samples.</w:t>
            </w:r>
          </w:p>
        </w:tc>
        <w:tc>
          <w:tcPr>
            <w:tcW w:type="dxa" w:w="2015"/>
            <w:vAlign w:val="top"/>
            <w:shd w:fill="F7F7F7"/>
          </w:tcPr>
          <w:p>
            <w:pPr>
              <w:spacing w:after="0"/>
            </w:pPr>
            <w:r/>
            <w:r>
              <w:rPr>
                <w:rFonts w:ascii="Arial" w:hAnsi="Arial"/>
                <w:b w:val="0"/>
                <w:sz w:val="16"/>
              </w:rPr>
              <w:t>ARB approval; gate metrics; waiver workflow.</w:t>
            </w:r>
          </w:p>
        </w:tc>
      </w:tr>
    </w:tbl>
    <w:p/>
    <w:p>
      <w:pPr>
        <w:pStyle w:val="Heading1"/>
        <w:keepNext w:val="0"/>
        <w:spacing w:after="80" w:line="252" w:lineRule="auto"/>
      </w:pPr>
      <w:r>
        <w:rPr>
          <w:rFonts w:ascii="Arial" w:hAnsi="Arial"/>
          <w:b w:val="0"/>
          <w:i w:val="0"/>
        </w:rPr>
        <w:t>16. Ready-to-Adopt Acceptance Criteria</w:t>
      </w:r>
    </w:p>
    <w:p>
      <w:pPr>
        <w:pStyle w:val="ListBullet"/>
        <w:spacing w:after="40"/>
        <w:ind w:left="360"/>
      </w:pPr>
      <w:r>
        <w:rPr>
          <w:rFonts w:ascii="Arial" w:hAnsi="Arial"/>
          <w:sz w:val="18"/>
        </w:rPr>
        <w:t>AC-01: GitNexus version, package source, and installation method are pinned in Golden Source.</w:t>
      </w:r>
    </w:p>
    <w:p>
      <w:pPr>
        <w:pStyle w:val="ListBullet"/>
        <w:spacing w:after="40"/>
        <w:ind w:left="360"/>
      </w:pPr>
      <w:r>
        <w:rPr>
          <w:rFonts w:ascii="Arial" w:hAnsi="Arial"/>
          <w:sz w:val="18"/>
        </w:rPr>
        <w:t>AC-02: AIRA classification rules prohibit unmanaged public upload of Confidential or Restricted code.</w:t>
      </w:r>
    </w:p>
    <w:p>
      <w:pPr>
        <w:pStyle w:val="ListBullet"/>
        <w:spacing w:after="40"/>
        <w:ind w:left="360"/>
      </w:pPr>
      <w:r>
        <w:rPr>
          <w:rFonts w:ascii="Arial" w:hAnsi="Arial"/>
          <w:sz w:val="18"/>
        </w:rPr>
        <w:t>AC-03: .gitnexus/ or equivalent derivative indexes are excluded from source control unless approved by waiver.</w:t>
      </w:r>
    </w:p>
    <w:p>
      <w:pPr>
        <w:pStyle w:val="ListBullet"/>
        <w:spacing w:after="40"/>
        <w:ind w:left="360"/>
      </w:pPr>
      <w:r>
        <w:rPr>
          <w:rFonts w:ascii="Arial" w:hAnsi="Arial"/>
          <w:sz w:val="18"/>
        </w:rPr>
        <w:t>AC-04: Generated AGENTS.md, CLAUDE.md, skills, hooks, or config changes are reviewed through PR and cannot weaken AIRA canonical rules.</w:t>
      </w:r>
    </w:p>
    <w:p>
      <w:pPr>
        <w:pStyle w:val="ListBullet"/>
        <w:spacing w:after="40"/>
        <w:ind w:left="360"/>
      </w:pPr>
      <w:r>
        <w:rPr>
          <w:rFonts w:ascii="Arial" w:hAnsi="Arial"/>
          <w:sz w:val="18"/>
        </w:rPr>
        <w:t>AC-05: The PoC validates language coverage for the target AIRA stack: Java/Spring, TypeScript/React/Next.js, SQL/Flyway, YAML/Helm/K8s, Dockerfile, and policy files where applicable.</w:t>
      </w:r>
    </w:p>
    <w:p>
      <w:pPr>
        <w:pStyle w:val="ListBullet"/>
        <w:spacing w:after="40"/>
        <w:ind w:left="360"/>
      </w:pPr>
      <w:r>
        <w:rPr>
          <w:rFonts w:ascii="Arial" w:hAnsi="Arial"/>
          <w:sz w:val="18"/>
        </w:rPr>
        <w:t>AC-06: GitNexus reports include repository, branch, commit SHA, index timestamp, tool version, command/config, classification, and reviewer decision.</w:t>
      </w:r>
    </w:p>
    <w:p>
      <w:pPr>
        <w:pStyle w:val="ListBullet"/>
        <w:spacing w:after="40"/>
        <w:ind w:left="360"/>
      </w:pPr>
      <w:r>
        <w:rPr>
          <w:rFonts w:ascii="Arial" w:hAnsi="Arial"/>
          <w:sz w:val="18"/>
        </w:rPr>
        <w:t>AC-07: Agent-facing use has no direct credentials to Git main, CI/CD, database, Kubernetes, OpenKM, Kafka, Temporal, Flowable, or production APIs.</w:t>
      </w:r>
    </w:p>
    <w:p>
      <w:pPr>
        <w:pStyle w:val="ListBullet"/>
        <w:spacing w:after="40"/>
        <w:ind w:left="360"/>
      </w:pPr>
      <w:r>
        <w:rPr>
          <w:rFonts w:ascii="Arial" w:hAnsi="Arial"/>
          <w:sz w:val="18"/>
        </w:rPr>
        <w:t>AC-08: High-risk findings trigger human review and do not auto-approve merges or production actions.</w:t>
      </w:r>
    </w:p>
    <w:p>
      <w:pPr>
        <w:pStyle w:val="ListBullet"/>
        <w:spacing w:after="40"/>
        <w:ind w:left="360"/>
      </w:pPr>
      <w:r>
        <w:rPr>
          <w:rFonts w:ascii="Arial" w:hAnsi="Arial"/>
          <w:sz w:val="18"/>
        </w:rPr>
        <w:t>AC-09: CI advisory use produces artifacts without materially slowing developer flow or leaking sensitive content.</w:t>
      </w:r>
    </w:p>
    <w:p>
      <w:pPr>
        <w:pStyle w:val="ListBullet"/>
        <w:spacing w:after="40"/>
        <w:ind w:left="360"/>
      </w:pPr>
      <w:r>
        <w:rPr>
          <w:rFonts w:ascii="Arial" w:hAnsi="Arial"/>
          <w:sz w:val="18"/>
        </w:rPr>
        <w:t>AC-10: Legal/procurement review is complete before commercial, enterprise, SaaS, or self-hosted production adoption.</w:t>
      </w:r>
    </w:p>
    <w:p>
      <w:pPr>
        <w:pStyle w:val="Heading1"/>
        <w:keepNext w:val="0"/>
        <w:spacing w:after="80" w:line="252" w:lineRule="auto"/>
      </w:pPr>
      <w:r>
        <w:rPr>
          <w:rFonts w:ascii="Arial" w:hAnsi="Arial"/>
          <w:b w:val="0"/>
          <w:i w:val="0"/>
        </w:rPr>
        <w:t>17. PR/MR Evidence Template</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368"/>
      </w:tblGrid>
      <w:tr>
        <w:tc>
          <w:tcPr>
            <w:tcW w:type="dxa" w:w="10368"/>
            <w:shd w:fill="F7F7F7"/>
          </w:tcPr>
          <w:p>
            <w:pPr>
              <w:spacing w:after="0"/>
            </w:pPr>
            <w:r>
              <w:rPr>
                <w:rFonts w:ascii="Courier New" w:hAnsi="Courier New"/>
                <w:sz w:val="16"/>
              </w:rPr>
              <w:t>## GitNexus Impact Analysis Evidence</w:t>
            </w:r>
            <w:r>
              <w:br/>
            </w:r>
            <w:r>
              <w:rPr>
                <w:rFonts w:ascii="Courier New" w:hAnsi="Courier New"/>
                <w:sz w:val="16"/>
              </w:rPr>
              <w:t>- Repository:</w:t>
            </w:r>
            <w:r>
              <w:br/>
            </w:r>
            <w:r>
              <w:rPr>
                <w:rFonts w:ascii="Courier New" w:hAnsi="Courier New"/>
                <w:sz w:val="16"/>
              </w:rPr>
              <w:t>- Branch / Commit SHA:</w:t>
            </w:r>
            <w:r>
              <w:br/>
            </w:r>
            <w:r>
              <w:rPr>
                <w:rFonts w:ascii="Courier New" w:hAnsi="Courier New"/>
                <w:sz w:val="16"/>
              </w:rPr>
              <w:t>- GitNexus version:</w:t>
            </w:r>
            <w:r>
              <w:br/>
            </w:r>
            <w:r>
              <w:rPr>
                <w:rFonts w:ascii="Courier New" w:hAnsi="Courier New"/>
                <w:sz w:val="16"/>
              </w:rPr>
              <w:t>- Index timestamp:</w:t>
            </w:r>
            <w:r>
              <w:br/>
            </w:r>
            <w:r>
              <w:rPr>
                <w:rFonts w:ascii="Courier New" w:hAnsi="Courier New"/>
                <w:sz w:val="16"/>
              </w:rPr>
              <w:t>- Index freshness result: fresh / stale / not applicable</w:t>
            </w:r>
            <w:r>
              <w:br/>
            </w:r>
            <w:r>
              <w:rPr>
                <w:rFonts w:ascii="Courier New" w:hAnsi="Courier New"/>
                <w:sz w:val="16"/>
              </w:rPr>
              <w:t>- Trigger: local review / PR / CI / release / Auto-Heal / Auto-Learn / Auto-Improve</w:t>
            </w:r>
            <w:r>
              <w:br/>
            </w:r>
            <w:r>
              <w:rPr>
                <w:rFonts w:ascii="Courier New" w:hAnsi="Courier New"/>
                <w:sz w:val="16"/>
              </w:rPr>
              <w:t>- Classification: Public / Internal / Confidential / Restricted</w:t>
            </w:r>
            <w:r>
              <w:br/>
            </w:r>
            <w:r>
              <w:rPr>
                <w:rFonts w:ascii="Courier New" w:hAnsi="Courier New"/>
                <w:sz w:val="16"/>
              </w:rPr>
              <w:t>- Changed files / symbols reviewed:</w:t>
            </w:r>
            <w:r>
              <w:br/>
            </w:r>
            <w:r>
              <w:rPr>
                <w:rFonts w:ascii="Courier New" w:hAnsi="Courier New"/>
                <w:sz w:val="16"/>
              </w:rPr>
              <w:t>- Affected modules and bounded contexts:</w:t>
            </w:r>
            <w:r>
              <w:br/>
            </w:r>
            <w:r>
              <w:rPr>
                <w:rFonts w:ascii="Courier New" w:hAnsi="Courier New"/>
                <w:sz w:val="16"/>
              </w:rPr>
              <w:t>- Call chains / downstream dependencies:</w:t>
            </w:r>
            <w:r>
              <w:br/>
            </w:r>
            <w:r>
              <w:rPr>
                <w:rFonts w:ascii="Courier New" w:hAnsi="Courier New"/>
                <w:sz w:val="16"/>
              </w:rPr>
              <w:t>- Affected tests identified:</w:t>
            </w:r>
            <w:r>
              <w:br/>
            </w:r>
            <w:r>
              <w:rPr>
                <w:rFonts w:ascii="Courier New" w:hAnsi="Courier New"/>
                <w:sz w:val="16"/>
              </w:rPr>
              <w:t>- Architecture boundary findings:</w:t>
            </w:r>
            <w:r>
              <w:br/>
            </w:r>
            <w:r>
              <w:rPr>
                <w:rFonts w:ascii="Courier New" w:hAnsi="Courier New"/>
                <w:sz w:val="16"/>
              </w:rPr>
              <w:t>- Security path findings:</w:t>
            </w:r>
            <w:r>
              <w:br/>
            </w:r>
            <w:r>
              <w:rPr>
                <w:rFonts w:ascii="Courier New" w:hAnsi="Courier New"/>
                <w:sz w:val="16"/>
              </w:rPr>
              <w:t>- Generated file changes: AGENTS.md / CLAUDE.md / hooks / none</w:t>
            </w:r>
            <w:r>
              <w:br/>
            </w:r>
            <w:r>
              <w:rPr>
                <w:rFonts w:ascii="Courier New" w:hAnsi="Courier New"/>
                <w:sz w:val="16"/>
              </w:rPr>
              <w:t>- AIRA standards cross-check:</w:t>
            </w:r>
            <w:r>
              <w:br/>
            </w:r>
            <w:r>
              <w:rPr>
                <w:rFonts w:ascii="Courier New" w:hAnsi="Courier New"/>
                <w:sz w:val="16"/>
              </w:rPr>
              <w:t>- Human checker:</w:t>
            </w:r>
            <w:r>
              <w:br/>
            </w:r>
            <w:r>
              <w:rPr>
                <w:rFonts w:ascii="Courier New" w:hAnsi="Courier New"/>
                <w:sz w:val="16"/>
              </w:rPr>
              <w:t>- Decision: pass / warn / block / waiver requested</w:t>
            </w:r>
            <w:r>
              <w:br/>
            </w:r>
            <w:r>
              <w:rPr>
                <w:rFonts w:ascii="Courier New" w:hAnsi="Courier New"/>
                <w:sz w:val="16"/>
              </w:rPr>
              <w:t>- Evidence artifact path:</w:t>
            </w:r>
            <w:r>
              <w:br/>
            </w:r>
          </w:p>
        </w:tc>
      </w:tr>
    </w:tbl>
    <w:p/>
    <w:p>
      <w:pPr>
        <w:pStyle w:val="Heading1"/>
        <w:keepNext w:val="0"/>
        <w:spacing w:after="80" w:line="252" w:lineRule="auto"/>
      </w:pPr>
      <w:r>
        <w:rPr>
          <w:rFonts w:ascii="Arial" w:hAnsi="Arial"/>
          <w:b w:val="0"/>
          <w:i w:val="0"/>
        </w:rPr>
        <w:t>18. Waivers, Exceptions, and Non-Conformance</w:t>
      </w:r>
    </w:p>
    <w:p>
      <w:pPr>
        <w:keepNext w:val="0"/>
        <w:spacing w:after="80" w:line="252" w:lineRule="auto"/>
      </w:pPr>
      <w:r>
        <w:rPr>
          <w:rFonts w:ascii="Arial" w:hAnsi="Arial"/>
          <w:b w:val="0"/>
          <w:i w:val="0"/>
        </w:rPr>
        <w:t>Any exception to this standard must be time-bound, risk-accepted, assigned to an owner, and reviewed through the AIRA waiver process. Schedule pressure is not a valid reason to bypass classification, security, evidence, or human approval controls.</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c>
          <w:tcPr>
            <w:tcW w:type="dxa" w:w="3311"/>
            <w:shd w:fill="1F4E79"/>
            <w:vAlign w:val="center"/>
          </w:tcPr>
          <w:p>
            <w:pPr>
              <w:spacing w:after="0"/>
            </w:pPr>
            <w:r/>
            <w:r>
              <w:rPr>
                <w:rFonts w:ascii="Arial" w:hAnsi="Arial"/>
                <w:b/>
                <w:color w:val="FFFFFF"/>
                <w:sz w:val="16"/>
              </w:rPr>
              <w:t>Exception Type</w:t>
            </w:r>
          </w:p>
        </w:tc>
        <w:tc>
          <w:tcPr>
            <w:tcW w:type="dxa" w:w="3168"/>
            <w:shd w:fill="1F4E79"/>
            <w:vAlign w:val="center"/>
          </w:tcPr>
          <w:p>
            <w:pPr>
              <w:spacing w:after="0"/>
            </w:pPr>
            <w:r/>
            <w:r>
              <w:rPr>
                <w:rFonts w:ascii="Arial" w:hAnsi="Arial"/>
                <w:b/>
                <w:color w:val="FFFFFF"/>
                <w:sz w:val="16"/>
              </w:rPr>
              <w:t>Approval Required</w:t>
            </w:r>
          </w:p>
        </w:tc>
        <w:tc>
          <w:tcPr>
            <w:tcW w:type="dxa" w:w="4320"/>
            <w:shd w:fill="1F4E79"/>
            <w:vAlign w:val="center"/>
          </w:tcPr>
          <w:p>
            <w:pPr>
              <w:spacing w:after="0"/>
            </w:pPr>
            <w:r/>
            <w:r>
              <w:rPr>
                <w:rFonts w:ascii="Arial" w:hAnsi="Arial"/>
                <w:b/>
                <w:color w:val="FFFFFF"/>
                <w:sz w:val="16"/>
              </w:rPr>
              <w:t>Minimum Evidence</w:t>
            </w:r>
          </w:p>
        </w:tc>
      </w:tr>
      <w:tr>
        <w:tc>
          <w:tcPr>
            <w:tcW w:type="dxa" w:w="3311"/>
            <w:vAlign w:val="top"/>
          </w:tcPr>
          <w:p>
            <w:pPr>
              <w:spacing w:after="0"/>
            </w:pPr>
            <w:r/>
            <w:r>
              <w:rPr>
                <w:rFonts w:ascii="Arial" w:hAnsi="Arial"/>
                <w:b w:val="0"/>
                <w:sz w:val="16"/>
              </w:rPr>
              <w:t>Use hosted/public GitNexus mode for Internal code</w:t>
            </w:r>
          </w:p>
        </w:tc>
        <w:tc>
          <w:tcPr>
            <w:tcW w:type="dxa" w:w="3168"/>
            <w:vAlign w:val="top"/>
          </w:tcPr>
          <w:p>
            <w:pPr>
              <w:spacing w:after="0"/>
            </w:pPr>
            <w:r/>
            <w:r>
              <w:rPr>
                <w:rFonts w:ascii="Arial" w:hAnsi="Arial"/>
                <w:b w:val="0"/>
                <w:sz w:val="16"/>
              </w:rPr>
              <w:t>Solutions Architect + Security</w:t>
            </w:r>
          </w:p>
        </w:tc>
        <w:tc>
          <w:tcPr>
            <w:tcW w:type="dxa" w:w="4320"/>
            <w:vAlign w:val="top"/>
          </w:tcPr>
          <w:p>
            <w:pPr>
              <w:spacing w:after="0"/>
            </w:pPr>
            <w:r/>
            <w:r>
              <w:rPr>
                <w:rFonts w:ascii="Arial" w:hAnsi="Arial"/>
                <w:b w:val="0"/>
                <w:sz w:val="16"/>
              </w:rPr>
              <w:t>Data-flow review, classification review, no secrets/PII, terms/license review.</w:t>
            </w:r>
          </w:p>
        </w:tc>
      </w:tr>
      <w:tr>
        <w:tc>
          <w:tcPr>
            <w:tcW w:type="dxa" w:w="3311"/>
            <w:vAlign w:val="top"/>
            <w:shd w:fill="F7F7F7"/>
          </w:tcPr>
          <w:p>
            <w:pPr>
              <w:spacing w:after="0"/>
            </w:pPr>
            <w:r/>
            <w:r>
              <w:rPr>
                <w:rFonts w:ascii="Arial" w:hAnsi="Arial"/>
                <w:b w:val="0"/>
                <w:sz w:val="16"/>
              </w:rPr>
              <w:t>Use hosted/public mode for Confidential/Restricted code</w:t>
            </w:r>
          </w:p>
        </w:tc>
        <w:tc>
          <w:tcPr>
            <w:tcW w:type="dxa" w:w="3168"/>
            <w:vAlign w:val="top"/>
            <w:shd w:fill="F7F7F7"/>
          </w:tcPr>
          <w:p>
            <w:pPr>
              <w:spacing w:after="0"/>
            </w:pPr>
            <w:r/>
            <w:r>
              <w:rPr>
                <w:rFonts w:ascii="Arial" w:hAnsi="Arial"/>
                <w:b w:val="0"/>
                <w:sz w:val="16"/>
              </w:rPr>
              <w:t>Architecture Board + Security + Legal + Executive risk acceptance</w:t>
            </w:r>
          </w:p>
        </w:tc>
        <w:tc>
          <w:tcPr>
            <w:tcW w:type="dxa" w:w="4320"/>
            <w:vAlign w:val="top"/>
            <w:shd w:fill="F7F7F7"/>
          </w:tcPr>
          <w:p>
            <w:pPr>
              <w:spacing w:after="0"/>
            </w:pPr>
            <w:r/>
            <w:r>
              <w:rPr>
                <w:rFonts w:ascii="Arial" w:hAnsi="Arial"/>
                <w:b w:val="0"/>
                <w:sz w:val="16"/>
              </w:rPr>
              <w:t>Exceptional only; redaction, contract, encryption, logging, and audit evidence required.</w:t>
            </w:r>
          </w:p>
        </w:tc>
      </w:tr>
      <w:tr>
        <w:tc>
          <w:tcPr>
            <w:tcW w:type="dxa" w:w="3311"/>
            <w:vAlign w:val="top"/>
          </w:tcPr>
          <w:p>
            <w:pPr>
              <w:spacing w:after="0"/>
            </w:pPr>
            <w:r/>
            <w:r>
              <w:rPr>
                <w:rFonts w:ascii="Arial" w:hAnsi="Arial"/>
                <w:b w:val="0"/>
                <w:sz w:val="16"/>
              </w:rPr>
              <w:t>Commit .gitnexus/ index or derived graph to repo</w:t>
            </w:r>
          </w:p>
        </w:tc>
        <w:tc>
          <w:tcPr>
            <w:tcW w:type="dxa" w:w="3168"/>
            <w:vAlign w:val="top"/>
          </w:tcPr>
          <w:p>
            <w:pPr>
              <w:spacing w:after="0"/>
            </w:pPr>
            <w:r/>
            <w:r>
              <w:rPr>
                <w:rFonts w:ascii="Arial" w:hAnsi="Arial"/>
                <w:b w:val="0"/>
                <w:sz w:val="16"/>
              </w:rPr>
              <w:t>Architecture Board + Security</w:t>
            </w:r>
          </w:p>
        </w:tc>
        <w:tc>
          <w:tcPr>
            <w:tcW w:type="dxa" w:w="4320"/>
            <w:vAlign w:val="top"/>
          </w:tcPr>
          <w:p>
            <w:pPr>
              <w:spacing w:after="0"/>
            </w:pPr>
            <w:r/>
            <w:r>
              <w:rPr>
                <w:rFonts w:ascii="Arial" w:hAnsi="Arial"/>
                <w:b w:val="0"/>
                <w:sz w:val="16"/>
              </w:rPr>
              <w:t>Purpose, retention, classification, size, redaction, disposal, and access controls.</w:t>
            </w:r>
          </w:p>
        </w:tc>
      </w:tr>
      <w:tr>
        <w:tc>
          <w:tcPr>
            <w:tcW w:type="dxa" w:w="3311"/>
            <w:vAlign w:val="top"/>
            <w:shd w:fill="F7F7F7"/>
          </w:tcPr>
          <w:p>
            <w:pPr>
              <w:spacing w:after="0"/>
            </w:pPr>
            <w:r/>
            <w:r>
              <w:rPr>
                <w:rFonts w:ascii="Arial" w:hAnsi="Arial"/>
                <w:b w:val="0"/>
                <w:sz w:val="16"/>
              </w:rPr>
              <w:t>Use GitNexus as blocking CI gate</w:t>
            </w:r>
          </w:p>
        </w:tc>
        <w:tc>
          <w:tcPr>
            <w:tcW w:type="dxa" w:w="3168"/>
            <w:vAlign w:val="top"/>
            <w:shd w:fill="F7F7F7"/>
          </w:tcPr>
          <w:p>
            <w:pPr>
              <w:spacing w:after="0"/>
            </w:pPr>
            <w:r/>
            <w:r>
              <w:rPr>
                <w:rFonts w:ascii="Arial" w:hAnsi="Arial"/>
                <w:b w:val="0"/>
                <w:sz w:val="16"/>
              </w:rPr>
              <w:t>Architecture Board + DevSecOps + QA</w:t>
            </w:r>
          </w:p>
        </w:tc>
        <w:tc>
          <w:tcPr>
            <w:tcW w:type="dxa" w:w="4320"/>
            <w:vAlign w:val="top"/>
            <w:shd w:fill="F7F7F7"/>
          </w:tcPr>
          <w:p>
            <w:pPr>
              <w:spacing w:after="0"/>
            </w:pPr>
            <w:r/>
            <w:r>
              <w:rPr>
                <w:rFonts w:ascii="Arial" w:hAnsi="Arial"/>
                <w:b w:val="0"/>
                <w:sz w:val="16"/>
              </w:rPr>
              <w:t>PoC metrics, false-positive assessment, rollback plan, waiver handling, support readiness.</w:t>
            </w:r>
          </w:p>
        </w:tc>
      </w:tr>
      <w:tr>
        <w:tc>
          <w:tcPr>
            <w:tcW w:type="dxa" w:w="3311"/>
            <w:vAlign w:val="top"/>
          </w:tcPr>
          <w:p>
            <w:pPr>
              <w:spacing w:after="0"/>
            </w:pPr>
            <w:r/>
            <w:r>
              <w:rPr>
                <w:rFonts w:ascii="Arial" w:hAnsi="Arial"/>
                <w:b w:val="0"/>
                <w:sz w:val="16"/>
              </w:rPr>
              <w:t>Allow agent to execute downstream action after GitNexus finding</w:t>
            </w:r>
          </w:p>
        </w:tc>
        <w:tc>
          <w:tcPr>
            <w:tcW w:type="dxa" w:w="3168"/>
            <w:vAlign w:val="top"/>
          </w:tcPr>
          <w:p>
            <w:pPr>
              <w:spacing w:after="0"/>
            </w:pPr>
            <w:r/>
            <w:r>
              <w:rPr>
                <w:rFonts w:ascii="Arial" w:hAnsi="Arial"/>
                <w:b w:val="0"/>
                <w:sz w:val="16"/>
              </w:rPr>
              <w:t>Security + AI DevSecOps + CAB as applicable</w:t>
            </w:r>
          </w:p>
        </w:tc>
        <w:tc>
          <w:tcPr>
            <w:tcW w:type="dxa" w:w="4320"/>
            <w:vAlign w:val="top"/>
          </w:tcPr>
          <w:p>
            <w:pPr>
              <w:spacing w:after="0"/>
            </w:pPr>
            <w:r/>
            <w:r>
              <w:rPr>
                <w:rFonts w:ascii="Arial" w:hAnsi="Arial"/>
                <w:b w:val="0"/>
                <w:sz w:val="16"/>
              </w:rPr>
              <w:t>Harness/SBAC/OPA decision, trust score, approval, audit, rollback path.</w:t>
            </w:r>
          </w:p>
        </w:tc>
      </w:tr>
    </w:tbl>
    <w:p/>
    <w:p>
      <w:pPr>
        <w:pStyle w:val="Heading1"/>
        <w:keepNext w:val="0"/>
        <w:spacing w:after="80" w:line="252" w:lineRule="auto"/>
      </w:pPr>
      <w:r>
        <w:rPr>
          <w:rFonts w:ascii="Arial" w:hAnsi="Arial"/>
          <w:b w:val="0"/>
          <w:i w:val="0"/>
        </w:rPr>
        <w:t>19. Compliance and Control Mapping</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3168"/>
            <w:shd w:fill="1F4E79"/>
            <w:vAlign w:val="center"/>
          </w:tcPr>
          <w:p>
            <w:pPr>
              <w:spacing w:after="0"/>
            </w:pPr>
            <w:r/>
            <w:r>
              <w:rPr>
                <w:rFonts w:ascii="Arial" w:hAnsi="Arial"/>
                <w:b/>
                <w:color w:val="FFFFFF"/>
                <w:sz w:val="16"/>
              </w:rPr>
              <w:t>Framework / Control Domain</w:t>
            </w:r>
          </w:p>
        </w:tc>
        <w:tc>
          <w:tcPr>
            <w:tcW w:type="dxa" w:w="7488"/>
            <w:shd w:fill="1F4E79"/>
            <w:vAlign w:val="center"/>
          </w:tcPr>
          <w:p>
            <w:pPr>
              <w:spacing w:after="0"/>
            </w:pPr>
            <w:r/>
            <w:r>
              <w:rPr>
                <w:rFonts w:ascii="Arial" w:hAnsi="Arial"/>
                <w:b/>
                <w:color w:val="FFFFFF"/>
                <w:sz w:val="16"/>
              </w:rPr>
              <w:t>AIRA GitNexus Control Alignment</w:t>
            </w:r>
          </w:p>
        </w:tc>
      </w:tr>
      <w:tr>
        <w:tc>
          <w:tcPr>
            <w:tcW w:type="dxa" w:w="3168"/>
            <w:vAlign w:val="top"/>
          </w:tcPr>
          <w:p>
            <w:pPr>
              <w:spacing w:after="0"/>
            </w:pPr>
            <w:r/>
            <w:r>
              <w:rPr>
                <w:rFonts w:ascii="Arial" w:hAnsi="Arial"/>
                <w:b w:val="0"/>
                <w:sz w:val="16"/>
              </w:rPr>
              <w:t>ISO/IEC 27001:2022</w:t>
            </w:r>
          </w:p>
        </w:tc>
        <w:tc>
          <w:tcPr>
            <w:tcW w:type="dxa" w:w="7488"/>
            <w:vAlign w:val="top"/>
          </w:tcPr>
          <w:p>
            <w:pPr>
              <w:spacing w:after="0"/>
            </w:pPr>
            <w:r/>
            <w:r>
              <w:rPr>
                <w:rFonts w:ascii="Arial" w:hAnsi="Arial"/>
                <w:b w:val="0"/>
                <w:sz w:val="16"/>
              </w:rPr>
              <w:t>Supports secure development, change control, access control, supplier/tool governance, logging, and evidence retention when implemented under this standard.</w:t>
            </w:r>
          </w:p>
        </w:tc>
      </w:tr>
      <w:tr>
        <w:tc>
          <w:tcPr>
            <w:tcW w:type="dxa" w:w="3168"/>
            <w:vAlign w:val="top"/>
            <w:shd w:fill="F7F7F7"/>
          </w:tcPr>
          <w:p>
            <w:pPr>
              <w:spacing w:after="0"/>
            </w:pPr>
            <w:r/>
            <w:r>
              <w:rPr>
                <w:rFonts w:ascii="Arial" w:hAnsi="Arial"/>
                <w:b w:val="0"/>
                <w:sz w:val="16"/>
              </w:rPr>
              <w:t>CIS Controls v8.1</w:t>
            </w:r>
          </w:p>
        </w:tc>
        <w:tc>
          <w:tcPr>
            <w:tcW w:type="dxa" w:w="7488"/>
            <w:vAlign w:val="top"/>
            <w:shd w:fill="F7F7F7"/>
          </w:tcPr>
          <w:p>
            <w:pPr>
              <w:spacing w:after="0"/>
            </w:pPr>
            <w:r/>
            <w:r>
              <w:rPr>
                <w:rFonts w:ascii="Arial" w:hAnsi="Arial"/>
                <w:b w:val="0"/>
                <w:sz w:val="16"/>
              </w:rPr>
              <w:t>Supports inventory/control of software assets, secure configuration, access control, audit logs, vulnerability management, and secure application development.</w:t>
            </w:r>
          </w:p>
        </w:tc>
      </w:tr>
      <w:tr>
        <w:tc>
          <w:tcPr>
            <w:tcW w:type="dxa" w:w="3168"/>
            <w:vAlign w:val="top"/>
          </w:tcPr>
          <w:p>
            <w:pPr>
              <w:spacing w:after="0"/>
            </w:pPr>
            <w:r/>
            <w:r>
              <w:rPr>
                <w:rFonts w:ascii="Arial" w:hAnsi="Arial"/>
                <w:b w:val="0"/>
                <w:sz w:val="16"/>
              </w:rPr>
              <w:t>NIST SSDF SP 800-218</w:t>
            </w:r>
          </w:p>
        </w:tc>
        <w:tc>
          <w:tcPr>
            <w:tcW w:type="dxa" w:w="7488"/>
            <w:vAlign w:val="top"/>
          </w:tcPr>
          <w:p>
            <w:pPr>
              <w:spacing w:after="0"/>
            </w:pPr>
            <w:r/>
            <w:r>
              <w:rPr>
                <w:rFonts w:ascii="Arial" w:hAnsi="Arial"/>
                <w:b w:val="0"/>
                <w:sz w:val="16"/>
              </w:rPr>
              <w:t>Supports code review, provenance, vulnerability detection, secure coding verification, and controlled remediation evidence.</w:t>
            </w:r>
          </w:p>
        </w:tc>
      </w:tr>
      <w:tr>
        <w:tc>
          <w:tcPr>
            <w:tcW w:type="dxa" w:w="3168"/>
            <w:vAlign w:val="top"/>
            <w:shd w:fill="F7F7F7"/>
          </w:tcPr>
          <w:p>
            <w:pPr>
              <w:spacing w:after="0"/>
            </w:pPr>
            <w:r/>
            <w:r>
              <w:rPr>
                <w:rFonts w:ascii="Arial" w:hAnsi="Arial"/>
                <w:b w:val="0"/>
                <w:sz w:val="16"/>
              </w:rPr>
              <w:t>NIST AI RMF / NIST AI 600-1</w:t>
            </w:r>
          </w:p>
        </w:tc>
        <w:tc>
          <w:tcPr>
            <w:tcW w:type="dxa" w:w="7488"/>
            <w:vAlign w:val="top"/>
            <w:shd w:fill="F7F7F7"/>
          </w:tcPr>
          <w:p>
            <w:pPr>
              <w:spacing w:after="0"/>
            </w:pPr>
            <w:r/>
            <w:r>
              <w:rPr>
                <w:rFonts w:ascii="Arial" w:hAnsi="Arial"/>
                <w:b w:val="0"/>
                <w:sz w:val="16"/>
              </w:rPr>
              <w:t>Supports AI action governance, human oversight, documentation, traceability, and measurement of AI-assisted code-change risk.</w:t>
            </w:r>
          </w:p>
        </w:tc>
      </w:tr>
      <w:tr>
        <w:tc>
          <w:tcPr>
            <w:tcW w:type="dxa" w:w="3168"/>
            <w:vAlign w:val="top"/>
          </w:tcPr>
          <w:p>
            <w:pPr>
              <w:spacing w:after="0"/>
            </w:pPr>
            <w:r/>
            <w:r>
              <w:rPr>
                <w:rFonts w:ascii="Arial" w:hAnsi="Arial"/>
                <w:b w:val="0"/>
                <w:sz w:val="16"/>
              </w:rPr>
              <w:t>SOC 2</w:t>
            </w:r>
          </w:p>
        </w:tc>
        <w:tc>
          <w:tcPr>
            <w:tcW w:type="dxa" w:w="7488"/>
            <w:vAlign w:val="top"/>
          </w:tcPr>
          <w:p>
            <w:pPr>
              <w:spacing w:after="0"/>
            </w:pPr>
            <w:r/>
            <w:r>
              <w:rPr>
                <w:rFonts w:ascii="Arial" w:hAnsi="Arial"/>
                <w:b w:val="0"/>
                <w:sz w:val="16"/>
              </w:rPr>
              <w:t>Supports change management, logical access, security monitoring, availability controls, and auditability.</w:t>
            </w:r>
          </w:p>
        </w:tc>
      </w:tr>
      <w:tr>
        <w:tc>
          <w:tcPr>
            <w:tcW w:type="dxa" w:w="3168"/>
            <w:vAlign w:val="top"/>
            <w:shd w:fill="F7F7F7"/>
          </w:tcPr>
          <w:p>
            <w:pPr>
              <w:spacing w:after="0"/>
            </w:pPr>
            <w:r/>
            <w:r>
              <w:rPr>
                <w:rFonts w:ascii="Arial" w:hAnsi="Arial"/>
                <w:b w:val="0"/>
                <w:sz w:val="16"/>
              </w:rPr>
              <w:t>SLSA Build Level 3 target</w:t>
            </w:r>
          </w:p>
        </w:tc>
        <w:tc>
          <w:tcPr>
            <w:tcW w:type="dxa" w:w="7488"/>
            <w:vAlign w:val="top"/>
            <w:shd w:fill="F7F7F7"/>
          </w:tcPr>
          <w:p>
            <w:pPr>
              <w:spacing w:after="0"/>
            </w:pPr>
            <w:r/>
            <w:r>
              <w:rPr>
                <w:rFonts w:ascii="Arial" w:hAnsi="Arial"/>
                <w:b w:val="0"/>
                <w:sz w:val="16"/>
              </w:rPr>
              <w:t>Supports stronger provenance and review evidence but does not replace signed builds, protected branches, or isolated CI runners.</w:t>
            </w:r>
          </w:p>
        </w:tc>
      </w:tr>
      <w:tr>
        <w:tc>
          <w:tcPr>
            <w:tcW w:type="dxa" w:w="3168"/>
            <w:vAlign w:val="top"/>
          </w:tcPr>
          <w:p>
            <w:pPr>
              <w:spacing w:after="0"/>
            </w:pPr>
            <w:r/>
            <w:r>
              <w:rPr>
                <w:rFonts w:ascii="Arial" w:hAnsi="Arial"/>
                <w:b w:val="0"/>
                <w:sz w:val="16"/>
              </w:rPr>
              <w:t>OWASP ASVS / SAMM</w:t>
            </w:r>
          </w:p>
        </w:tc>
        <w:tc>
          <w:tcPr>
            <w:tcW w:type="dxa" w:w="7488"/>
            <w:vAlign w:val="top"/>
          </w:tcPr>
          <w:p>
            <w:pPr>
              <w:spacing w:after="0"/>
            </w:pPr>
            <w:r/>
            <w:r>
              <w:rPr>
                <w:rFonts w:ascii="Arial" w:hAnsi="Arial"/>
                <w:b w:val="0"/>
                <w:sz w:val="16"/>
              </w:rPr>
              <w:t>Supports architecture review and secure SDLC evidence but does not replace security testing.</w:t>
            </w:r>
          </w:p>
        </w:tc>
      </w:tr>
    </w:tbl>
    <w:p/>
    <w:p>
      <w:pPr>
        <w:pStyle w:val="Heading1"/>
        <w:keepNext w:val="0"/>
        <w:spacing w:after="80" w:line="252" w:lineRule="auto"/>
      </w:pPr>
      <w:r>
        <w:rPr>
          <w:rFonts w:ascii="Arial" w:hAnsi="Arial"/>
          <w:b w:val="0"/>
          <w:i w:val="0"/>
        </w:rPr>
        <w:t>20. AVCI Compliance Summary</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2304"/>
            <w:shd w:fill="1F4E79"/>
            <w:vAlign w:val="center"/>
          </w:tcPr>
          <w:p>
            <w:pPr>
              <w:spacing w:after="0"/>
            </w:pPr>
            <w:r/>
            <w:r>
              <w:rPr>
                <w:rFonts w:ascii="Arial" w:hAnsi="Arial"/>
                <w:b/>
                <w:color w:val="FFFFFF"/>
                <w:sz w:val="17"/>
              </w:rPr>
              <w:t>AVCI Property</w:t>
            </w:r>
          </w:p>
        </w:tc>
        <w:tc>
          <w:tcPr>
            <w:tcW w:type="dxa" w:w="8352"/>
            <w:shd w:fill="1F4E79"/>
            <w:vAlign w:val="center"/>
          </w:tcPr>
          <w:p>
            <w:pPr>
              <w:spacing w:after="0"/>
            </w:pPr>
            <w:r/>
            <w:r>
              <w:rPr>
                <w:rFonts w:ascii="Arial" w:hAnsi="Arial"/>
                <w:b/>
                <w:color w:val="FFFFFF"/>
                <w:sz w:val="17"/>
              </w:rPr>
              <w:t>GitNexus Standard Evidence</w:t>
            </w:r>
          </w:p>
        </w:tc>
      </w:tr>
      <w:tr>
        <w:tc>
          <w:tcPr>
            <w:tcW w:type="dxa" w:w="2304"/>
            <w:vAlign w:val="top"/>
          </w:tcPr>
          <w:p>
            <w:pPr>
              <w:spacing w:after="0"/>
            </w:pPr>
            <w:r/>
            <w:r>
              <w:rPr>
                <w:rFonts w:ascii="Arial" w:hAnsi="Arial"/>
                <w:b w:val="0"/>
                <w:sz w:val="17"/>
              </w:rPr>
              <w:t>Attributable</w:t>
            </w:r>
          </w:p>
        </w:tc>
        <w:tc>
          <w:tcPr>
            <w:tcW w:type="dxa" w:w="8352"/>
            <w:vAlign w:val="top"/>
          </w:tcPr>
          <w:p>
            <w:pPr>
              <w:spacing w:after="0"/>
            </w:pPr>
            <w:r/>
            <w:r>
              <w:rPr>
                <w:rFonts w:ascii="Arial" w:hAnsi="Arial"/>
                <w:b w:val="0"/>
                <w:sz w:val="17"/>
              </w:rPr>
              <w:t>Every material GitNexus analysis identifies repository, branch, commit, actor, tool version, index timestamp, reviewer, decision, and evidence path.</w:t>
            </w:r>
          </w:p>
        </w:tc>
      </w:tr>
      <w:tr>
        <w:tc>
          <w:tcPr>
            <w:tcW w:type="dxa" w:w="2304"/>
            <w:vAlign w:val="top"/>
            <w:shd w:fill="F7F7F7"/>
          </w:tcPr>
          <w:p>
            <w:pPr>
              <w:spacing w:after="0"/>
            </w:pPr>
            <w:r/>
            <w:r>
              <w:rPr>
                <w:rFonts w:ascii="Arial" w:hAnsi="Arial"/>
                <w:b w:val="0"/>
                <w:sz w:val="17"/>
              </w:rPr>
              <w:t>Verifiable</w:t>
            </w:r>
          </w:p>
        </w:tc>
        <w:tc>
          <w:tcPr>
            <w:tcW w:type="dxa" w:w="8352"/>
            <w:vAlign w:val="top"/>
            <w:shd w:fill="F7F7F7"/>
          </w:tcPr>
          <w:p>
            <w:pPr>
              <w:spacing w:after="0"/>
            </w:pPr>
            <w:r/>
            <w:r>
              <w:rPr>
                <w:rFonts w:ascii="Arial" w:hAnsi="Arial"/>
                <w:b w:val="0"/>
                <w:sz w:val="17"/>
              </w:rPr>
              <w:t>Findings are verified through tests, architecture checks, security scans, policy-as-code, CI artifacts, source-code review, and human approval.</w:t>
            </w:r>
          </w:p>
        </w:tc>
      </w:tr>
      <w:tr>
        <w:tc>
          <w:tcPr>
            <w:tcW w:type="dxa" w:w="2304"/>
            <w:vAlign w:val="top"/>
          </w:tcPr>
          <w:p>
            <w:pPr>
              <w:spacing w:after="0"/>
            </w:pPr>
            <w:r/>
            <w:r>
              <w:rPr>
                <w:rFonts w:ascii="Arial" w:hAnsi="Arial"/>
                <w:b w:val="0"/>
                <w:sz w:val="17"/>
              </w:rPr>
              <w:t>Classifiable</w:t>
            </w:r>
          </w:p>
        </w:tc>
        <w:tc>
          <w:tcPr>
            <w:tcW w:type="dxa" w:w="8352"/>
            <w:vAlign w:val="top"/>
          </w:tcPr>
          <w:p>
            <w:pPr>
              <w:spacing w:after="0"/>
            </w:pPr>
            <w:r/>
            <w:r>
              <w:rPr>
                <w:rFonts w:ascii="Arial" w:hAnsi="Arial"/>
                <w:b w:val="0"/>
                <w:sz w:val="17"/>
              </w:rPr>
              <w:t>Repositories, indexes, reports, generated files, MCP configs, and derived evidence inherit classification and handling rules from the source code and affected artifacts.</w:t>
            </w:r>
          </w:p>
        </w:tc>
      </w:tr>
      <w:tr>
        <w:tc>
          <w:tcPr>
            <w:tcW w:type="dxa" w:w="2304"/>
            <w:vAlign w:val="top"/>
            <w:shd w:fill="F7F7F7"/>
          </w:tcPr>
          <w:p>
            <w:pPr>
              <w:spacing w:after="0"/>
            </w:pPr>
            <w:r/>
            <w:r>
              <w:rPr>
                <w:rFonts w:ascii="Arial" w:hAnsi="Arial"/>
                <w:b w:val="0"/>
                <w:sz w:val="17"/>
              </w:rPr>
              <w:t>Improvable</w:t>
            </w:r>
          </w:p>
        </w:tc>
        <w:tc>
          <w:tcPr>
            <w:tcW w:type="dxa" w:w="8352"/>
            <w:vAlign w:val="top"/>
            <w:shd w:fill="F7F7F7"/>
          </w:tcPr>
          <w:p>
            <w:pPr>
              <w:spacing w:after="0"/>
            </w:pPr>
            <w:r/>
            <w:r>
              <w:rPr>
                <w:rFonts w:ascii="Arial" w:hAnsi="Arial"/>
                <w:b w:val="0"/>
                <w:sz w:val="17"/>
              </w:rPr>
              <w:t>Findings feed controlled backlog items, ADR/TDL updates, architecture fitness functions, test improvements, runbook updates, and knowledge promotion workflows.</w:t>
            </w:r>
          </w:p>
        </w:tc>
      </w:tr>
    </w:tbl>
    <w:p/>
    <w:tbl>
      <w:tblPr>
        <w:tblW w:type="auto" w:w="0"/>
        <w:jc w:val="center"/>
        <w:tblLook w:firstColumn="1" w:firstRow="1" w:lastColumn="0" w:lastRow="0" w:noHBand="0" w:noVBand="1" w:val="04A0"/>
        <w:tblBorders>
          <w:top w:val="single" w:sz="6" w:space="0" w:color="9EADBD"/>
          <w:left w:val="single" w:sz="6" w:space="0" w:color="9EADBD"/>
          <w:bottom w:val="single" w:sz="6" w:space="0" w:color="9EADBD"/>
          <w:right w:val="single" w:sz="6" w:space="0" w:color="9EADBD"/>
          <w:insideH w:val="single" w:sz="6" w:space="0" w:color="9EADBD"/>
          <w:insideV w:val="single" w:sz="6" w:space="0" w:color="9EADBD"/>
        </w:tblBorders>
      </w:tblPr>
      <w:tblGrid>
        <w:gridCol w:w="10368"/>
      </w:tblGrid>
      <w:tr>
        <w:tc>
          <w:tcPr>
            <w:tcW w:type="dxa" w:w="10368"/>
            <w:shd w:fill="D9EAF7"/>
          </w:tcPr>
          <w:p>
            <w:pPr>
              <w:spacing w:after="60"/>
            </w:pPr>
            <w:r>
              <w:rPr>
                <w:rFonts w:ascii="Arial" w:hAnsi="Arial"/>
                <w:b/>
                <w:color w:val="1F4E79"/>
                <w:sz w:val="18"/>
              </w:rPr>
              <w:t>AVCI Completion Rule</w:t>
            </w:r>
          </w:p>
          <w:p>
            <w:pPr>
              <w:spacing w:after="0"/>
            </w:pPr>
            <w:r>
              <w:rPr>
                <w:rFonts w:ascii="Arial" w:hAnsi="Arial"/>
                <w:sz w:val="17"/>
              </w:rPr>
              <w:t>GitNexus-related evidence is complete only when the analysis is traceable, reproducible, classification-safe, human-reviewed where required, and connected to an improvement or closure path.</w:t>
            </w:r>
          </w:p>
        </w:tc>
      </w:tr>
    </w:tbl>
    <w:p/>
    <w:p>
      <w:pPr>
        <w:pStyle w:val="Heading1"/>
        <w:keepNext w:val="0"/>
        <w:spacing w:after="80" w:line="252" w:lineRule="auto"/>
      </w:pPr>
      <w:r>
        <w:rPr>
          <w:rFonts w:ascii="Arial" w:hAnsi="Arial"/>
          <w:b w:val="0"/>
          <w:i w:val="0"/>
        </w:rPr>
        <w:t>Appendix A. GitNexus Evidence Record Schema</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2880"/>
            <w:shd w:fill="1F4E79"/>
            <w:vAlign w:val="center"/>
          </w:tcPr>
          <w:p>
            <w:pPr>
              <w:spacing w:after="0"/>
            </w:pPr>
            <w:r/>
            <w:r>
              <w:rPr>
                <w:rFonts w:ascii="Arial" w:hAnsi="Arial"/>
                <w:b/>
                <w:color w:val="FFFFFF"/>
                <w:sz w:val="16"/>
              </w:rPr>
              <w:t>Field</w:t>
            </w:r>
          </w:p>
        </w:tc>
        <w:tc>
          <w:tcPr>
            <w:tcW w:type="dxa" w:w="7776"/>
            <w:shd w:fill="1F4E79"/>
            <w:vAlign w:val="center"/>
          </w:tcPr>
          <w:p>
            <w:pPr>
              <w:spacing w:after="0"/>
            </w:pPr>
            <w:r/>
            <w:r>
              <w:rPr>
                <w:rFonts w:ascii="Arial" w:hAnsi="Arial"/>
                <w:b/>
                <w:color w:val="FFFFFF"/>
                <w:sz w:val="16"/>
              </w:rPr>
              <w:t>Required Meaning</w:t>
            </w:r>
          </w:p>
        </w:tc>
      </w:tr>
      <w:tr>
        <w:tc>
          <w:tcPr>
            <w:tcW w:type="dxa" w:w="2880"/>
            <w:vAlign w:val="top"/>
          </w:tcPr>
          <w:p>
            <w:pPr>
              <w:spacing w:after="0"/>
            </w:pPr>
            <w:r/>
            <w:r>
              <w:rPr>
                <w:rFonts w:ascii="Arial" w:hAnsi="Arial"/>
                <w:b w:val="0"/>
                <w:sz w:val="16"/>
              </w:rPr>
              <w:t>evidence_id</w:t>
            </w:r>
          </w:p>
        </w:tc>
        <w:tc>
          <w:tcPr>
            <w:tcW w:type="dxa" w:w="7776"/>
            <w:vAlign w:val="top"/>
          </w:tcPr>
          <w:p>
            <w:pPr>
              <w:spacing w:after="0"/>
            </w:pPr>
            <w:r/>
            <w:r>
              <w:rPr>
                <w:rFonts w:ascii="Arial" w:hAnsi="Arial"/>
                <w:b w:val="0"/>
                <w:sz w:val="16"/>
              </w:rPr>
              <w:t>Unique evidence identifier, e.g., GNX-EVD-YYYYMMDD-###.</w:t>
            </w:r>
          </w:p>
        </w:tc>
      </w:tr>
      <w:tr>
        <w:tc>
          <w:tcPr>
            <w:tcW w:type="dxa" w:w="2880"/>
            <w:vAlign w:val="top"/>
            <w:shd w:fill="F7F7F7"/>
          </w:tcPr>
          <w:p>
            <w:pPr>
              <w:spacing w:after="0"/>
            </w:pPr>
            <w:r/>
            <w:r>
              <w:rPr>
                <w:rFonts w:ascii="Arial" w:hAnsi="Arial"/>
                <w:b w:val="0"/>
                <w:sz w:val="16"/>
              </w:rPr>
              <w:t>repository</w:t>
            </w:r>
          </w:p>
        </w:tc>
        <w:tc>
          <w:tcPr>
            <w:tcW w:type="dxa" w:w="7776"/>
            <w:vAlign w:val="top"/>
            <w:shd w:fill="F7F7F7"/>
          </w:tcPr>
          <w:p>
            <w:pPr>
              <w:spacing w:after="0"/>
            </w:pPr>
            <w:r/>
            <w:r>
              <w:rPr>
                <w:rFonts w:ascii="Arial" w:hAnsi="Arial"/>
                <w:b w:val="0"/>
                <w:sz w:val="16"/>
              </w:rPr>
              <w:t>Repository name and canonical URL or internal identifier.</w:t>
            </w:r>
          </w:p>
        </w:tc>
      </w:tr>
      <w:tr>
        <w:tc>
          <w:tcPr>
            <w:tcW w:type="dxa" w:w="2880"/>
            <w:vAlign w:val="top"/>
          </w:tcPr>
          <w:p>
            <w:pPr>
              <w:spacing w:after="0"/>
            </w:pPr>
            <w:r/>
            <w:r>
              <w:rPr>
                <w:rFonts w:ascii="Arial" w:hAnsi="Arial"/>
                <w:b w:val="0"/>
                <w:sz w:val="16"/>
              </w:rPr>
              <w:t>branch</w:t>
            </w:r>
          </w:p>
        </w:tc>
        <w:tc>
          <w:tcPr>
            <w:tcW w:type="dxa" w:w="7776"/>
            <w:vAlign w:val="top"/>
          </w:tcPr>
          <w:p>
            <w:pPr>
              <w:spacing w:after="0"/>
            </w:pPr>
            <w:r/>
            <w:r>
              <w:rPr>
                <w:rFonts w:ascii="Arial" w:hAnsi="Arial"/>
                <w:b w:val="0"/>
                <w:sz w:val="16"/>
              </w:rPr>
              <w:t>Branch analyzed.</w:t>
            </w:r>
          </w:p>
        </w:tc>
      </w:tr>
      <w:tr>
        <w:tc>
          <w:tcPr>
            <w:tcW w:type="dxa" w:w="2880"/>
            <w:vAlign w:val="top"/>
            <w:shd w:fill="F7F7F7"/>
          </w:tcPr>
          <w:p>
            <w:pPr>
              <w:spacing w:after="0"/>
            </w:pPr>
            <w:r/>
            <w:r>
              <w:rPr>
                <w:rFonts w:ascii="Arial" w:hAnsi="Arial"/>
                <w:b w:val="0"/>
                <w:sz w:val="16"/>
              </w:rPr>
              <w:t>commit_sha</w:t>
            </w:r>
          </w:p>
        </w:tc>
        <w:tc>
          <w:tcPr>
            <w:tcW w:type="dxa" w:w="7776"/>
            <w:vAlign w:val="top"/>
            <w:shd w:fill="F7F7F7"/>
          </w:tcPr>
          <w:p>
            <w:pPr>
              <w:spacing w:after="0"/>
            </w:pPr>
            <w:r/>
            <w:r>
              <w:rPr>
                <w:rFonts w:ascii="Arial" w:hAnsi="Arial"/>
                <w:b w:val="0"/>
                <w:sz w:val="16"/>
              </w:rPr>
              <w:t>Commit SHA used for the index/report.</w:t>
            </w:r>
          </w:p>
        </w:tc>
      </w:tr>
      <w:tr>
        <w:tc>
          <w:tcPr>
            <w:tcW w:type="dxa" w:w="2880"/>
            <w:vAlign w:val="top"/>
          </w:tcPr>
          <w:p>
            <w:pPr>
              <w:spacing w:after="0"/>
            </w:pPr>
            <w:r/>
            <w:r>
              <w:rPr>
                <w:rFonts w:ascii="Arial" w:hAnsi="Arial"/>
                <w:b w:val="0"/>
                <w:sz w:val="16"/>
              </w:rPr>
              <w:t>gitnexus_version</w:t>
            </w:r>
          </w:p>
        </w:tc>
        <w:tc>
          <w:tcPr>
            <w:tcW w:type="dxa" w:w="7776"/>
            <w:vAlign w:val="top"/>
          </w:tcPr>
          <w:p>
            <w:pPr>
              <w:spacing w:after="0"/>
            </w:pPr>
            <w:r/>
            <w:r>
              <w:rPr>
                <w:rFonts w:ascii="Arial" w:hAnsi="Arial"/>
                <w:b w:val="0"/>
                <w:sz w:val="16"/>
              </w:rPr>
              <w:t>Pinned version used.</w:t>
            </w:r>
          </w:p>
        </w:tc>
      </w:tr>
      <w:tr>
        <w:tc>
          <w:tcPr>
            <w:tcW w:type="dxa" w:w="2880"/>
            <w:vAlign w:val="top"/>
            <w:shd w:fill="F7F7F7"/>
          </w:tcPr>
          <w:p>
            <w:pPr>
              <w:spacing w:after="0"/>
            </w:pPr>
            <w:r/>
            <w:r>
              <w:rPr>
                <w:rFonts w:ascii="Arial" w:hAnsi="Arial"/>
                <w:b w:val="0"/>
                <w:sz w:val="16"/>
              </w:rPr>
              <w:t>index_timestamp</w:t>
            </w:r>
          </w:p>
        </w:tc>
        <w:tc>
          <w:tcPr>
            <w:tcW w:type="dxa" w:w="7776"/>
            <w:vAlign w:val="top"/>
            <w:shd w:fill="F7F7F7"/>
          </w:tcPr>
          <w:p>
            <w:pPr>
              <w:spacing w:after="0"/>
            </w:pPr>
            <w:r/>
            <w:r>
              <w:rPr>
                <w:rFonts w:ascii="Arial" w:hAnsi="Arial"/>
                <w:b w:val="0"/>
                <w:sz w:val="16"/>
              </w:rPr>
              <w:t>When the index was generated/refreshed.</w:t>
            </w:r>
          </w:p>
        </w:tc>
      </w:tr>
      <w:tr>
        <w:tc>
          <w:tcPr>
            <w:tcW w:type="dxa" w:w="2880"/>
            <w:vAlign w:val="top"/>
          </w:tcPr>
          <w:p>
            <w:pPr>
              <w:spacing w:after="0"/>
            </w:pPr>
            <w:r/>
            <w:r>
              <w:rPr>
                <w:rFonts w:ascii="Arial" w:hAnsi="Arial"/>
                <w:b w:val="0"/>
                <w:sz w:val="16"/>
              </w:rPr>
              <w:t>classification</w:t>
            </w:r>
          </w:p>
        </w:tc>
        <w:tc>
          <w:tcPr>
            <w:tcW w:type="dxa" w:w="7776"/>
            <w:vAlign w:val="top"/>
          </w:tcPr>
          <w:p>
            <w:pPr>
              <w:spacing w:after="0"/>
            </w:pPr>
            <w:r/>
            <w:r>
              <w:rPr>
                <w:rFonts w:ascii="Arial" w:hAnsi="Arial"/>
                <w:b w:val="0"/>
                <w:sz w:val="16"/>
              </w:rPr>
              <w:t>Public / Internal / Confidential / Restricted.</w:t>
            </w:r>
          </w:p>
        </w:tc>
      </w:tr>
      <w:tr>
        <w:tc>
          <w:tcPr>
            <w:tcW w:type="dxa" w:w="2880"/>
            <w:vAlign w:val="top"/>
            <w:shd w:fill="F7F7F7"/>
          </w:tcPr>
          <w:p>
            <w:pPr>
              <w:spacing w:after="0"/>
            </w:pPr>
            <w:r/>
            <w:r>
              <w:rPr>
                <w:rFonts w:ascii="Arial" w:hAnsi="Arial"/>
                <w:b w:val="0"/>
                <w:sz w:val="16"/>
              </w:rPr>
              <w:t>trigger_type</w:t>
            </w:r>
          </w:p>
        </w:tc>
        <w:tc>
          <w:tcPr>
            <w:tcW w:type="dxa" w:w="7776"/>
            <w:vAlign w:val="top"/>
            <w:shd w:fill="F7F7F7"/>
          </w:tcPr>
          <w:p>
            <w:pPr>
              <w:spacing w:after="0"/>
            </w:pPr>
            <w:r/>
            <w:r>
              <w:rPr>
                <w:rFonts w:ascii="Arial" w:hAnsi="Arial"/>
                <w:b w:val="0"/>
                <w:sz w:val="16"/>
              </w:rPr>
              <w:t>local / PR / CI / release / incident / auto-heal / auto-learn / auto-improve.</w:t>
            </w:r>
          </w:p>
        </w:tc>
      </w:tr>
      <w:tr>
        <w:tc>
          <w:tcPr>
            <w:tcW w:type="dxa" w:w="2880"/>
            <w:vAlign w:val="top"/>
          </w:tcPr>
          <w:p>
            <w:pPr>
              <w:spacing w:after="0"/>
            </w:pPr>
            <w:r/>
            <w:r>
              <w:rPr>
                <w:rFonts w:ascii="Arial" w:hAnsi="Arial"/>
                <w:b w:val="0"/>
                <w:sz w:val="16"/>
              </w:rPr>
              <w:t>actor</w:t>
            </w:r>
          </w:p>
        </w:tc>
        <w:tc>
          <w:tcPr>
            <w:tcW w:type="dxa" w:w="7776"/>
            <w:vAlign w:val="top"/>
          </w:tcPr>
          <w:p>
            <w:pPr>
              <w:spacing w:after="0"/>
            </w:pPr>
            <w:r/>
            <w:r>
              <w:rPr>
                <w:rFonts w:ascii="Arial" w:hAnsi="Arial"/>
                <w:b w:val="0"/>
                <w:sz w:val="16"/>
              </w:rPr>
              <w:t>Human or agent requesting analysis.</w:t>
            </w:r>
          </w:p>
        </w:tc>
      </w:tr>
      <w:tr>
        <w:tc>
          <w:tcPr>
            <w:tcW w:type="dxa" w:w="2880"/>
            <w:vAlign w:val="top"/>
            <w:shd w:fill="F7F7F7"/>
          </w:tcPr>
          <w:p>
            <w:pPr>
              <w:spacing w:after="0"/>
            </w:pPr>
            <w:r/>
            <w:r>
              <w:rPr>
                <w:rFonts w:ascii="Arial" w:hAnsi="Arial"/>
                <w:b w:val="0"/>
                <w:sz w:val="16"/>
              </w:rPr>
              <w:t>approved_skill_scope</w:t>
            </w:r>
          </w:p>
        </w:tc>
        <w:tc>
          <w:tcPr>
            <w:tcW w:type="dxa" w:w="7776"/>
            <w:vAlign w:val="top"/>
            <w:shd w:fill="F7F7F7"/>
          </w:tcPr>
          <w:p>
            <w:pPr>
              <w:spacing w:after="0"/>
            </w:pPr>
            <w:r/>
            <w:r>
              <w:rPr>
                <w:rFonts w:ascii="Arial" w:hAnsi="Arial"/>
                <w:b w:val="0"/>
                <w:sz w:val="16"/>
              </w:rPr>
              <w:t>SBAC skill or role used for the action.</w:t>
            </w:r>
          </w:p>
        </w:tc>
      </w:tr>
      <w:tr>
        <w:tc>
          <w:tcPr>
            <w:tcW w:type="dxa" w:w="2880"/>
            <w:vAlign w:val="top"/>
          </w:tcPr>
          <w:p>
            <w:pPr>
              <w:spacing w:after="0"/>
            </w:pPr>
            <w:r/>
            <w:r>
              <w:rPr>
                <w:rFonts w:ascii="Arial" w:hAnsi="Arial"/>
                <w:b w:val="0"/>
                <w:sz w:val="16"/>
              </w:rPr>
              <w:t>changed_files</w:t>
            </w:r>
          </w:p>
        </w:tc>
        <w:tc>
          <w:tcPr>
            <w:tcW w:type="dxa" w:w="7776"/>
            <w:vAlign w:val="top"/>
          </w:tcPr>
          <w:p>
            <w:pPr>
              <w:spacing w:after="0"/>
            </w:pPr>
            <w:r/>
            <w:r>
              <w:rPr>
                <w:rFonts w:ascii="Arial" w:hAnsi="Arial"/>
                <w:b w:val="0"/>
                <w:sz w:val="16"/>
              </w:rPr>
              <w:t>Changed files or symbols analyzed.</w:t>
            </w:r>
          </w:p>
        </w:tc>
      </w:tr>
      <w:tr>
        <w:tc>
          <w:tcPr>
            <w:tcW w:type="dxa" w:w="2880"/>
            <w:vAlign w:val="top"/>
            <w:shd w:fill="F7F7F7"/>
          </w:tcPr>
          <w:p>
            <w:pPr>
              <w:spacing w:after="0"/>
            </w:pPr>
            <w:r/>
            <w:r>
              <w:rPr>
                <w:rFonts w:ascii="Arial" w:hAnsi="Arial"/>
                <w:b w:val="0"/>
                <w:sz w:val="16"/>
              </w:rPr>
              <w:t>affected_modules</w:t>
            </w:r>
          </w:p>
        </w:tc>
        <w:tc>
          <w:tcPr>
            <w:tcW w:type="dxa" w:w="7776"/>
            <w:vAlign w:val="top"/>
            <w:shd w:fill="F7F7F7"/>
          </w:tcPr>
          <w:p>
            <w:pPr>
              <w:spacing w:after="0"/>
            </w:pPr>
            <w:r/>
            <w:r>
              <w:rPr>
                <w:rFonts w:ascii="Arial" w:hAnsi="Arial"/>
                <w:b w:val="0"/>
                <w:sz w:val="16"/>
              </w:rPr>
              <w:t>Modules, bounded contexts, contracts, tests, or workflows affected.</w:t>
            </w:r>
          </w:p>
        </w:tc>
      </w:tr>
      <w:tr>
        <w:tc>
          <w:tcPr>
            <w:tcW w:type="dxa" w:w="2880"/>
            <w:vAlign w:val="top"/>
          </w:tcPr>
          <w:p>
            <w:pPr>
              <w:spacing w:after="0"/>
            </w:pPr>
            <w:r/>
            <w:r>
              <w:rPr>
                <w:rFonts w:ascii="Arial" w:hAnsi="Arial"/>
                <w:b w:val="0"/>
                <w:sz w:val="16"/>
              </w:rPr>
              <w:t>findings</w:t>
            </w:r>
          </w:p>
        </w:tc>
        <w:tc>
          <w:tcPr>
            <w:tcW w:type="dxa" w:w="7776"/>
            <w:vAlign w:val="top"/>
          </w:tcPr>
          <w:p>
            <w:pPr>
              <w:spacing w:after="0"/>
            </w:pPr>
            <w:r/>
            <w:r>
              <w:rPr>
                <w:rFonts w:ascii="Arial" w:hAnsi="Arial"/>
                <w:b w:val="0"/>
                <w:sz w:val="16"/>
              </w:rPr>
              <w:t>Boundary, dependency, security path, or test impact findings.</w:t>
            </w:r>
          </w:p>
        </w:tc>
      </w:tr>
      <w:tr>
        <w:tc>
          <w:tcPr>
            <w:tcW w:type="dxa" w:w="2880"/>
            <w:vAlign w:val="top"/>
            <w:shd w:fill="F7F7F7"/>
          </w:tcPr>
          <w:p>
            <w:pPr>
              <w:spacing w:after="0"/>
            </w:pPr>
            <w:r/>
            <w:r>
              <w:rPr>
                <w:rFonts w:ascii="Arial" w:hAnsi="Arial"/>
                <w:b w:val="0"/>
                <w:sz w:val="16"/>
              </w:rPr>
              <w:t>verification</w:t>
            </w:r>
          </w:p>
        </w:tc>
        <w:tc>
          <w:tcPr>
            <w:tcW w:type="dxa" w:w="7776"/>
            <w:vAlign w:val="top"/>
            <w:shd w:fill="F7F7F7"/>
          </w:tcPr>
          <w:p>
            <w:pPr>
              <w:spacing w:after="0"/>
            </w:pPr>
            <w:r/>
            <w:r>
              <w:rPr>
                <w:rFonts w:ascii="Arial" w:hAnsi="Arial"/>
                <w:b w:val="0"/>
                <w:sz w:val="16"/>
              </w:rPr>
              <w:t>Tests, scans, CI, and reviewer checks used to verify findings.</w:t>
            </w:r>
          </w:p>
        </w:tc>
      </w:tr>
      <w:tr>
        <w:tc>
          <w:tcPr>
            <w:tcW w:type="dxa" w:w="2880"/>
            <w:vAlign w:val="top"/>
          </w:tcPr>
          <w:p>
            <w:pPr>
              <w:spacing w:after="0"/>
            </w:pPr>
            <w:r/>
            <w:r>
              <w:rPr>
                <w:rFonts w:ascii="Arial" w:hAnsi="Arial"/>
                <w:b w:val="0"/>
                <w:sz w:val="16"/>
              </w:rPr>
              <w:t>decision</w:t>
            </w:r>
          </w:p>
        </w:tc>
        <w:tc>
          <w:tcPr>
            <w:tcW w:type="dxa" w:w="7776"/>
            <w:vAlign w:val="top"/>
          </w:tcPr>
          <w:p>
            <w:pPr>
              <w:spacing w:after="0"/>
            </w:pPr>
            <w:r/>
            <w:r>
              <w:rPr>
                <w:rFonts w:ascii="Arial" w:hAnsi="Arial"/>
                <w:b w:val="0"/>
                <w:sz w:val="16"/>
              </w:rPr>
              <w:t>pass / warn / block / waiver requested / follow-up backlog.</w:t>
            </w:r>
          </w:p>
        </w:tc>
      </w:tr>
      <w:tr>
        <w:tc>
          <w:tcPr>
            <w:tcW w:type="dxa" w:w="2880"/>
            <w:vAlign w:val="top"/>
            <w:shd w:fill="F7F7F7"/>
          </w:tcPr>
          <w:p>
            <w:pPr>
              <w:spacing w:after="0"/>
            </w:pPr>
            <w:r/>
            <w:r>
              <w:rPr>
                <w:rFonts w:ascii="Arial" w:hAnsi="Arial"/>
                <w:b w:val="0"/>
                <w:sz w:val="16"/>
              </w:rPr>
              <w:t>human_checker</w:t>
            </w:r>
          </w:p>
        </w:tc>
        <w:tc>
          <w:tcPr>
            <w:tcW w:type="dxa" w:w="7776"/>
            <w:vAlign w:val="top"/>
            <w:shd w:fill="F7F7F7"/>
          </w:tcPr>
          <w:p>
            <w:pPr>
              <w:spacing w:after="0"/>
            </w:pPr>
            <w:r/>
            <w:r>
              <w:rPr>
                <w:rFonts w:ascii="Arial" w:hAnsi="Arial"/>
                <w:b w:val="0"/>
                <w:sz w:val="16"/>
              </w:rPr>
              <w:t>Named checker for material decisions.</w:t>
            </w:r>
          </w:p>
        </w:tc>
      </w:tr>
      <w:tr>
        <w:tc>
          <w:tcPr>
            <w:tcW w:type="dxa" w:w="2880"/>
            <w:vAlign w:val="top"/>
          </w:tcPr>
          <w:p>
            <w:pPr>
              <w:spacing w:after="0"/>
            </w:pPr>
            <w:r/>
            <w:r>
              <w:rPr>
                <w:rFonts w:ascii="Arial" w:hAnsi="Arial"/>
                <w:b w:val="0"/>
                <w:sz w:val="16"/>
              </w:rPr>
              <w:t>evidence_path</w:t>
            </w:r>
          </w:p>
        </w:tc>
        <w:tc>
          <w:tcPr>
            <w:tcW w:type="dxa" w:w="7776"/>
            <w:vAlign w:val="top"/>
          </w:tcPr>
          <w:p>
            <w:pPr>
              <w:spacing w:after="0"/>
            </w:pPr>
            <w:r/>
            <w:r>
              <w:rPr>
                <w:rFonts w:ascii="Arial" w:hAnsi="Arial"/>
                <w:b w:val="0"/>
                <w:sz w:val="16"/>
              </w:rPr>
              <w:t>OpenKM/Git/CI artifact path.</w:t>
            </w:r>
          </w:p>
        </w:tc>
      </w:tr>
    </w:tbl>
    <w:p/>
    <w:p>
      <w:pPr>
        <w:pStyle w:val="Heading1"/>
        <w:keepNext w:val="0"/>
        <w:spacing w:after="80" w:line="252" w:lineRule="auto"/>
      </w:pPr>
      <w:r>
        <w:rPr>
          <w:rFonts w:ascii="Arial" w:hAnsi="Arial"/>
          <w:b w:val="0"/>
          <w:i w:val="0"/>
        </w:rPr>
        <w:t>Appendix B. Copy-Ready Mermaid Diagram</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368"/>
      </w:tblGrid>
      <w:tr>
        <w:tc>
          <w:tcPr>
            <w:tcW w:type="dxa" w:w="10368"/>
            <w:shd w:fill="F7F7F7"/>
          </w:tcPr>
          <w:p>
            <w:pPr>
              <w:spacing w:after="0"/>
            </w:pPr>
            <w:r>
              <w:rPr>
                <w:rFonts w:ascii="Courier New" w:hAnsi="Courier New"/>
                <w:sz w:val="16"/>
              </w:rPr>
              <w:t>flowchart TD</w:t>
            </w:r>
            <w:r>
              <w:br/>
            </w:r>
            <w:r>
              <w:rPr>
                <w:rFonts w:ascii="Courier New" w:hAnsi="Courier New"/>
                <w:sz w:val="16"/>
              </w:rPr>
              <w:t xml:space="preserve">    A[Approved AIRA Standards\nObsidian + LLM Wiki + LightRAG] --&gt; B[AIRA Agent / Developer]</w:t>
            </w:r>
            <w:r>
              <w:br/>
            </w:r>
            <w:r>
              <w:rPr>
                <w:rFonts w:ascii="Courier New" w:hAnsi="Courier New"/>
                <w:sz w:val="16"/>
              </w:rPr>
              <w:t xml:space="preserve">    C[Git Repository\nSource Code + Tests + Config] --&gt; D[GitNexus Code Graph]</w:t>
            </w:r>
            <w:r>
              <w:br/>
            </w:r>
            <w:r>
              <w:rPr>
                <w:rFonts w:ascii="Courier New" w:hAnsi="Courier New"/>
                <w:sz w:val="16"/>
              </w:rPr>
              <w:t xml:space="preserve">    D --&gt; B</w:t>
            </w:r>
            <w:r>
              <w:br/>
            </w:r>
            <w:r>
              <w:rPr>
                <w:rFonts w:ascii="Courier New" w:hAnsi="Courier New"/>
                <w:sz w:val="16"/>
              </w:rPr>
              <w:t xml:space="preserve">    B --&gt; E[Impact Analysis\nDependencies + Call Chains + Affected Tests]</w:t>
            </w:r>
            <w:r>
              <w:br/>
            </w:r>
            <w:r>
              <w:rPr>
                <w:rFonts w:ascii="Courier New" w:hAnsi="Courier New"/>
                <w:sz w:val="16"/>
              </w:rPr>
              <w:t xml:space="preserve">    E --&gt; F[DevSecOps Gates\nUnit + Contract + ArchUnit + SAST/SCA + OPA + SBOM]</w:t>
            </w:r>
            <w:r>
              <w:br/>
            </w:r>
            <w:r>
              <w:rPr>
                <w:rFonts w:ascii="Courier New" w:hAnsi="Courier New"/>
                <w:sz w:val="16"/>
              </w:rPr>
              <w:t xml:space="preserve">    F --&gt; G{Gate Decision}</w:t>
            </w:r>
            <w:r>
              <w:br/>
            </w:r>
            <w:r>
              <w:rPr>
                <w:rFonts w:ascii="Courier New" w:hAnsi="Courier New"/>
                <w:sz w:val="16"/>
              </w:rPr>
              <w:t xml:space="preserve">    G --&gt;|Pass/Warning| H[PR/MR Evidence + CODEOWNERS Review]</w:t>
            </w:r>
            <w:r>
              <w:br/>
            </w:r>
            <w:r>
              <w:rPr>
                <w:rFonts w:ascii="Courier New" w:hAnsi="Courier New"/>
                <w:sz w:val="16"/>
              </w:rPr>
              <w:t xml:space="preserve">    G --&gt;|Block| I[Rework / Waiver / ADR-TDL]</w:t>
            </w:r>
            <w:r>
              <w:br/>
            </w:r>
            <w:r>
              <w:rPr>
                <w:rFonts w:ascii="Courier New" w:hAnsi="Courier New"/>
                <w:sz w:val="16"/>
              </w:rPr>
              <w:t xml:space="preserve">    H --&gt; J[Human Approval / Merge Gate]</w:t>
            </w:r>
            <w:r>
              <w:br/>
            </w:r>
            <w:r>
              <w:rPr>
                <w:rFonts w:ascii="Courier New" w:hAnsi="Courier New"/>
                <w:sz w:val="16"/>
              </w:rPr>
              <w:t xml:space="preserve">    J --&gt; K[Release Evidence / Improvement Backlog]</w:t>
            </w:r>
            <w:r>
              <w:br/>
            </w:r>
          </w:p>
        </w:tc>
      </w:tr>
    </w:tbl>
    <w:p/>
    <w:p>
      <w:pPr>
        <w:pStyle w:val="Heading1"/>
        <w:keepNext w:val="0"/>
        <w:spacing w:after="80" w:line="252" w:lineRule="auto"/>
      </w:pPr>
      <w:r>
        <w:rPr>
          <w:rFonts w:ascii="Arial" w:hAnsi="Arial"/>
          <w:b w:val="0"/>
          <w:i w:val="0"/>
        </w:rPr>
        <w:t>Appendix C. Implementation Checklist</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7200"/>
            <w:shd w:fill="1F4E79"/>
            <w:vAlign w:val="center"/>
          </w:tcPr>
          <w:p>
            <w:pPr>
              <w:spacing w:after="0"/>
            </w:pPr>
            <w:r/>
            <w:r>
              <w:rPr>
                <w:rFonts w:ascii="Arial" w:hAnsi="Arial"/>
                <w:b/>
                <w:color w:val="FFFFFF"/>
                <w:sz w:val="16"/>
              </w:rPr>
              <w:t>Checklist Item</w:t>
            </w:r>
          </w:p>
        </w:tc>
        <w:tc>
          <w:tcPr>
            <w:tcW w:type="dxa" w:w="3456"/>
            <w:shd w:fill="1F4E79"/>
            <w:vAlign w:val="center"/>
          </w:tcPr>
          <w:p>
            <w:pPr>
              <w:spacing w:after="0"/>
            </w:pPr>
            <w:r/>
            <w:r>
              <w:rPr>
                <w:rFonts w:ascii="Arial" w:hAnsi="Arial"/>
                <w:b/>
                <w:color w:val="FFFFFF"/>
                <w:sz w:val="16"/>
              </w:rPr>
              <w:t>Status / Evidence</w:t>
            </w:r>
          </w:p>
        </w:tc>
      </w:tr>
      <w:tr>
        <w:tc>
          <w:tcPr>
            <w:tcW w:type="dxa" w:w="7200"/>
            <w:vAlign w:val="top"/>
          </w:tcPr>
          <w:p>
            <w:pPr>
              <w:spacing w:after="0"/>
            </w:pPr>
            <w:r/>
            <w:r>
              <w:rPr>
                <w:rFonts w:ascii="Arial" w:hAnsi="Arial"/>
                <w:b w:val="0"/>
                <w:sz w:val="16"/>
              </w:rPr>
              <w:t>Create ADR/TDL for GitNexus PoC.</w:t>
            </w:r>
          </w:p>
        </w:tc>
        <w:tc>
          <w:tcPr>
            <w:tcW w:type="dxa" w:w="3456"/>
            <w:vAlign w:val="top"/>
          </w:tcPr>
          <w:p>
            <w:pPr>
              <w:spacing w:after="0"/>
            </w:pPr>
            <w:r/>
            <w:r>
              <w:rPr>
                <w:rFonts w:ascii="Arial" w:hAnsi="Arial"/>
                <w:b w:val="0"/>
                <w:sz w:val="16"/>
              </w:rPr>
            </w:r>
          </w:p>
        </w:tc>
      </w:tr>
      <w:tr>
        <w:tc>
          <w:tcPr>
            <w:tcW w:type="dxa" w:w="7200"/>
            <w:vAlign w:val="top"/>
            <w:shd w:fill="F7F7F7"/>
          </w:tcPr>
          <w:p>
            <w:pPr>
              <w:spacing w:after="0"/>
            </w:pPr>
            <w:r/>
            <w:r>
              <w:rPr>
                <w:rFonts w:ascii="Arial" w:hAnsi="Arial"/>
                <w:b w:val="0"/>
                <w:sz w:val="16"/>
              </w:rPr>
              <w:t>Validate license/commercial-use posture.</w:t>
            </w:r>
          </w:p>
        </w:tc>
        <w:tc>
          <w:tcPr>
            <w:tcW w:type="dxa" w:w="3456"/>
            <w:vAlign w:val="top"/>
            <w:shd w:fill="F7F7F7"/>
          </w:tcPr>
          <w:p>
            <w:pPr>
              <w:spacing w:after="0"/>
            </w:pPr>
            <w:r/>
            <w:r>
              <w:rPr>
                <w:rFonts w:ascii="Arial" w:hAnsi="Arial"/>
                <w:b w:val="0"/>
                <w:sz w:val="16"/>
              </w:rPr>
            </w:r>
          </w:p>
        </w:tc>
      </w:tr>
      <w:tr>
        <w:tc>
          <w:tcPr>
            <w:tcW w:type="dxa" w:w="7200"/>
            <w:vAlign w:val="top"/>
          </w:tcPr>
          <w:p>
            <w:pPr>
              <w:spacing w:after="0"/>
            </w:pPr>
            <w:r/>
            <w:r>
              <w:rPr>
                <w:rFonts w:ascii="Arial" w:hAnsi="Arial"/>
                <w:b w:val="0"/>
                <w:sz w:val="16"/>
              </w:rPr>
              <w:t>Select sandbox repository or bounded context.</w:t>
            </w:r>
          </w:p>
        </w:tc>
        <w:tc>
          <w:tcPr>
            <w:tcW w:type="dxa" w:w="3456"/>
            <w:vAlign w:val="top"/>
          </w:tcPr>
          <w:p>
            <w:pPr>
              <w:spacing w:after="0"/>
            </w:pPr>
            <w:r/>
            <w:r>
              <w:rPr>
                <w:rFonts w:ascii="Arial" w:hAnsi="Arial"/>
                <w:b w:val="0"/>
                <w:sz w:val="16"/>
              </w:rPr>
            </w:r>
          </w:p>
        </w:tc>
      </w:tr>
      <w:tr>
        <w:tc>
          <w:tcPr>
            <w:tcW w:type="dxa" w:w="7200"/>
            <w:vAlign w:val="top"/>
            <w:shd w:fill="F7F7F7"/>
          </w:tcPr>
          <w:p>
            <w:pPr>
              <w:spacing w:after="0"/>
            </w:pPr>
            <w:r/>
            <w:r>
              <w:rPr>
                <w:rFonts w:ascii="Arial" w:hAnsi="Arial"/>
                <w:b w:val="0"/>
                <w:sz w:val="16"/>
              </w:rPr>
              <w:t>Pin GitNexus version in Golden Source.</w:t>
            </w:r>
          </w:p>
        </w:tc>
        <w:tc>
          <w:tcPr>
            <w:tcW w:type="dxa" w:w="3456"/>
            <w:vAlign w:val="top"/>
            <w:shd w:fill="F7F7F7"/>
          </w:tcPr>
          <w:p>
            <w:pPr>
              <w:spacing w:after="0"/>
            </w:pPr>
            <w:r/>
            <w:r>
              <w:rPr>
                <w:rFonts w:ascii="Arial" w:hAnsi="Arial"/>
                <w:b w:val="0"/>
                <w:sz w:val="16"/>
              </w:rPr>
            </w:r>
          </w:p>
        </w:tc>
      </w:tr>
      <w:tr>
        <w:tc>
          <w:tcPr>
            <w:tcW w:type="dxa" w:w="7200"/>
            <w:vAlign w:val="top"/>
          </w:tcPr>
          <w:p>
            <w:pPr>
              <w:spacing w:after="0"/>
            </w:pPr>
            <w:r/>
            <w:r>
              <w:rPr>
                <w:rFonts w:ascii="Arial" w:hAnsi="Arial"/>
                <w:b w:val="0"/>
                <w:sz w:val="16"/>
              </w:rPr>
              <w:t>Add .gitnexus/ to .gitignore unless exception approved.</w:t>
            </w:r>
          </w:p>
        </w:tc>
        <w:tc>
          <w:tcPr>
            <w:tcW w:type="dxa" w:w="3456"/>
            <w:vAlign w:val="top"/>
          </w:tcPr>
          <w:p>
            <w:pPr>
              <w:spacing w:after="0"/>
            </w:pPr>
            <w:r/>
            <w:r>
              <w:rPr>
                <w:rFonts w:ascii="Arial" w:hAnsi="Arial"/>
                <w:b w:val="0"/>
                <w:sz w:val="16"/>
              </w:rPr>
            </w:r>
          </w:p>
        </w:tc>
      </w:tr>
      <w:tr>
        <w:tc>
          <w:tcPr>
            <w:tcW w:type="dxa" w:w="7200"/>
            <w:vAlign w:val="top"/>
            <w:shd w:fill="F7F7F7"/>
          </w:tcPr>
          <w:p>
            <w:pPr>
              <w:spacing w:after="0"/>
            </w:pPr>
            <w:r/>
            <w:r>
              <w:rPr>
                <w:rFonts w:ascii="Arial" w:hAnsi="Arial"/>
                <w:b w:val="0"/>
                <w:sz w:val="16"/>
              </w:rPr>
              <w:t>Run initial local index and document command used.</w:t>
            </w:r>
          </w:p>
        </w:tc>
        <w:tc>
          <w:tcPr>
            <w:tcW w:type="dxa" w:w="3456"/>
            <w:vAlign w:val="top"/>
            <w:shd w:fill="F7F7F7"/>
          </w:tcPr>
          <w:p>
            <w:pPr>
              <w:spacing w:after="0"/>
            </w:pPr>
            <w:r/>
            <w:r>
              <w:rPr>
                <w:rFonts w:ascii="Arial" w:hAnsi="Arial"/>
                <w:b w:val="0"/>
                <w:sz w:val="16"/>
              </w:rPr>
            </w:r>
          </w:p>
        </w:tc>
      </w:tr>
      <w:tr>
        <w:tc>
          <w:tcPr>
            <w:tcW w:type="dxa" w:w="7200"/>
            <w:vAlign w:val="top"/>
          </w:tcPr>
          <w:p>
            <w:pPr>
              <w:spacing w:after="0"/>
            </w:pPr>
            <w:r/>
            <w:r>
              <w:rPr>
                <w:rFonts w:ascii="Arial" w:hAnsi="Arial"/>
                <w:b w:val="0"/>
                <w:sz w:val="16"/>
              </w:rPr>
              <w:t>Validate Java/Spring, TypeScript, SQL, YAML, Dockerfile, and policy-file coverage.</w:t>
            </w:r>
          </w:p>
        </w:tc>
        <w:tc>
          <w:tcPr>
            <w:tcW w:type="dxa" w:w="3456"/>
            <w:vAlign w:val="top"/>
          </w:tcPr>
          <w:p>
            <w:pPr>
              <w:spacing w:after="0"/>
            </w:pPr>
            <w:r/>
            <w:r>
              <w:rPr>
                <w:rFonts w:ascii="Arial" w:hAnsi="Arial"/>
                <w:b w:val="0"/>
                <w:sz w:val="16"/>
              </w:rPr>
            </w:r>
          </w:p>
        </w:tc>
      </w:tr>
      <w:tr>
        <w:tc>
          <w:tcPr>
            <w:tcW w:type="dxa" w:w="7200"/>
            <w:vAlign w:val="top"/>
            <w:shd w:fill="F7F7F7"/>
          </w:tcPr>
          <w:p>
            <w:pPr>
              <w:spacing w:after="0"/>
            </w:pPr>
            <w:r/>
            <w:r>
              <w:rPr>
                <w:rFonts w:ascii="Arial" w:hAnsi="Arial"/>
                <w:b w:val="0"/>
                <w:sz w:val="16"/>
              </w:rPr>
              <w:t>Test MCP connection with approved tool only.</w:t>
            </w:r>
          </w:p>
        </w:tc>
        <w:tc>
          <w:tcPr>
            <w:tcW w:type="dxa" w:w="3456"/>
            <w:vAlign w:val="top"/>
            <w:shd w:fill="F7F7F7"/>
          </w:tcPr>
          <w:p>
            <w:pPr>
              <w:spacing w:after="0"/>
            </w:pPr>
            <w:r/>
            <w:r>
              <w:rPr>
                <w:rFonts w:ascii="Arial" w:hAnsi="Arial"/>
                <w:b w:val="0"/>
                <w:sz w:val="16"/>
              </w:rPr>
            </w:r>
          </w:p>
        </w:tc>
      </w:tr>
      <w:tr>
        <w:tc>
          <w:tcPr>
            <w:tcW w:type="dxa" w:w="7200"/>
            <w:vAlign w:val="top"/>
          </w:tcPr>
          <w:p>
            <w:pPr>
              <w:spacing w:after="0"/>
            </w:pPr>
            <w:r/>
            <w:r>
              <w:rPr>
                <w:rFonts w:ascii="Arial" w:hAnsi="Arial"/>
                <w:b w:val="0"/>
                <w:sz w:val="16"/>
              </w:rPr>
              <w:t>Confirm generated AGENTS.md / CLAUDE.md behavior and preserve AIRA templates.</w:t>
            </w:r>
          </w:p>
        </w:tc>
        <w:tc>
          <w:tcPr>
            <w:tcW w:type="dxa" w:w="3456"/>
            <w:vAlign w:val="top"/>
          </w:tcPr>
          <w:p>
            <w:pPr>
              <w:spacing w:after="0"/>
            </w:pPr>
            <w:r/>
            <w:r>
              <w:rPr>
                <w:rFonts w:ascii="Arial" w:hAnsi="Arial"/>
                <w:b w:val="0"/>
                <w:sz w:val="16"/>
              </w:rPr>
            </w:r>
          </w:p>
        </w:tc>
      </w:tr>
      <w:tr>
        <w:tc>
          <w:tcPr>
            <w:tcW w:type="dxa" w:w="7200"/>
            <w:vAlign w:val="top"/>
            <w:shd w:fill="F7F7F7"/>
          </w:tcPr>
          <w:p>
            <w:pPr>
              <w:spacing w:after="0"/>
            </w:pPr>
            <w:r/>
            <w:r>
              <w:rPr>
                <w:rFonts w:ascii="Arial" w:hAnsi="Arial"/>
                <w:b w:val="0"/>
                <w:sz w:val="16"/>
              </w:rPr>
              <w:t>Create sample PR evidence using the template in Section 17.</w:t>
            </w:r>
          </w:p>
        </w:tc>
        <w:tc>
          <w:tcPr>
            <w:tcW w:type="dxa" w:w="3456"/>
            <w:vAlign w:val="top"/>
            <w:shd w:fill="F7F7F7"/>
          </w:tcPr>
          <w:p>
            <w:pPr>
              <w:spacing w:after="0"/>
            </w:pPr>
            <w:r/>
            <w:r>
              <w:rPr>
                <w:rFonts w:ascii="Arial" w:hAnsi="Arial"/>
                <w:b w:val="0"/>
                <w:sz w:val="16"/>
              </w:rPr>
            </w:r>
          </w:p>
        </w:tc>
      </w:tr>
      <w:tr>
        <w:tc>
          <w:tcPr>
            <w:tcW w:type="dxa" w:w="7200"/>
            <w:vAlign w:val="top"/>
          </w:tcPr>
          <w:p>
            <w:pPr>
              <w:spacing w:after="0"/>
            </w:pPr>
            <w:r/>
            <w:r>
              <w:rPr>
                <w:rFonts w:ascii="Arial" w:hAnsi="Arial"/>
                <w:b w:val="0"/>
                <w:sz w:val="16"/>
              </w:rPr>
              <w:t>Run security scan and confirm no secrets or PII in reports.</w:t>
            </w:r>
          </w:p>
        </w:tc>
        <w:tc>
          <w:tcPr>
            <w:tcW w:type="dxa" w:w="3456"/>
            <w:vAlign w:val="top"/>
          </w:tcPr>
          <w:p>
            <w:pPr>
              <w:spacing w:after="0"/>
            </w:pPr>
            <w:r/>
            <w:r>
              <w:rPr>
                <w:rFonts w:ascii="Arial" w:hAnsi="Arial"/>
                <w:b w:val="0"/>
                <w:sz w:val="16"/>
              </w:rPr>
            </w:r>
          </w:p>
        </w:tc>
      </w:tr>
      <w:tr>
        <w:tc>
          <w:tcPr>
            <w:tcW w:type="dxa" w:w="7200"/>
            <w:vAlign w:val="top"/>
            <w:shd w:fill="F7F7F7"/>
          </w:tcPr>
          <w:p>
            <w:pPr>
              <w:spacing w:after="0"/>
            </w:pPr>
            <w:r/>
            <w:r>
              <w:rPr>
                <w:rFonts w:ascii="Arial" w:hAnsi="Arial"/>
                <w:b w:val="0"/>
                <w:sz w:val="16"/>
              </w:rPr>
              <w:t>Document false positives, blind spots, and performance.</w:t>
            </w:r>
          </w:p>
        </w:tc>
        <w:tc>
          <w:tcPr>
            <w:tcW w:type="dxa" w:w="3456"/>
            <w:vAlign w:val="top"/>
            <w:shd w:fill="F7F7F7"/>
          </w:tcPr>
          <w:p>
            <w:pPr>
              <w:spacing w:after="0"/>
            </w:pPr>
            <w:r/>
            <w:r>
              <w:rPr>
                <w:rFonts w:ascii="Arial" w:hAnsi="Arial"/>
                <w:b w:val="0"/>
                <w:sz w:val="16"/>
              </w:rPr>
            </w:r>
          </w:p>
        </w:tc>
      </w:tr>
      <w:tr>
        <w:tc>
          <w:tcPr>
            <w:tcW w:type="dxa" w:w="7200"/>
            <w:vAlign w:val="top"/>
          </w:tcPr>
          <w:p>
            <w:pPr>
              <w:spacing w:after="0"/>
            </w:pPr>
            <w:r/>
            <w:r>
              <w:rPr>
                <w:rFonts w:ascii="Arial" w:hAnsi="Arial"/>
                <w:b w:val="0"/>
                <w:sz w:val="16"/>
              </w:rPr>
              <w:t>Present PoC result to Architecture Review Board.</w:t>
            </w:r>
          </w:p>
        </w:tc>
        <w:tc>
          <w:tcPr>
            <w:tcW w:type="dxa" w:w="3456"/>
            <w:vAlign w:val="top"/>
          </w:tcPr>
          <w:p>
            <w:pPr>
              <w:spacing w:after="0"/>
            </w:pPr>
            <w:r/>
            <w:r>
              <w:rPr>
                <w:rFonts w:ascii="Arial" w:hAnsi="Arial"/>
                <w:b w:val="0"/>
                <w:sz w:val="16"/>
              </w:rPr>
            </w:r>
          </w:p>
        </w:tc>
      </w:tr>
    </w:tbl>
    <w:p/>
    <w:p>
      <w:pPr>
        <w:pStyle w:val="Heading1"/>
        <w:keepNext w:val="0"/>
        <w:spacing w:after="80" w:line="252" w:lineRule="auto"/>
      </w:pPr>
      <w:r>
        <w:rPr>
          <w:rFonts w:ascii="Arial" w:hAnsi="Arial"/>
          <w:b w:val="0"/>
          <w:i w:val="0"/>
        </w:rPr>
        <w:t>Appendix D. External Source Register</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c>
          <w:tcPr>
            <w:tcW w:type="dxa" w:w="2880"/>
            <w:shd w:fill="1F4E79"/>
            <w:vAlign w:val="center"/>
          </w:tcPr>
          <w:p>
            <w:pPr>
              <w:spacing w:after="0"/>
            </w:pPr>
            <w:r/>
            <w:r>
              <w:rPr>
                <w:rFonts w:ascii="Arial" w:hAnsi="Arial"/>
                <w:b/>
                <w:color w:val="FFFFFF"/>
                <w:sz w:val="15"/>
              </w:rPr>
              <w:t>Source</w:t>
            </w:r>
          </w:p>
        </w:tc>
        <w:tc>
          <w:tcPr>
            <w:tcW w:type="dxa" w:w="5760"/>
            <w:shd w:fill="1F4E79"/>
            <w:vAlign w:val="center"/>
          </w:tcPr>
          <w:p>
            <w:pPr>
              <w:spacing w:after="0"/>
            </w:pPr>
            <w:r/>
            <w:r>
              <w:rPr>
                <w:rFonts w:ascii="Arial" w:hAnsi="Arial"/>
                <w:b/>
                <w:color w:val="FFFFFF"/>
                <w:sz w:val="15"/>
              </w:rPr>
              <w:t>Observation Used</w:t>
            </w:r>
          </w:p>
        </w:tc>
        <w:tc>
          <w:tcPr>
            <w:tcW w:type="dxa" w:w="2015"/>
            <w:shd w:fill="1F4E79"/>
            <w:vAlign w:val="center"/>
          </w:tcPr>
          <w:p>
            <w:pPr>
              <w:spacing w:after="0"/>
            </w:pPr>
            <w:r/>
            <w:r>
              <w:rPr>
                <w:rFonts w:ascii="Arial" w:hAnsi="Arial"/>
                <w:b/>
                <w:color w:val="FFFFFF"/>
                <w:sz w:val="15"/>
              </w:rPr>
              <w:t>Validation Note</w:t>
            </w:r>
          </w:p>
        </w:tc>
      </w:tr>
      <w:tr>
        <w:tc>
          <w:tcPr>
            <w:tcW w:type="dxa" w:w="2880"/>
            <w:vAlign w:val="top"/>
          </w:tcPr>
          <w:p>
            <w:pPr>
              <w:spacing w:after="0"/>
            </w:pPr>
            <w:r/>
            <w:r>
              <w:rPr>
                <w:rFonts w:ascii="Arial" w:hAnsi="Arial"/>
                <w:b w:val="0"/>
                <w:sz w:val="15"/>
              </w:rPr>
              <w:t>GitNexus GitHub README</w:t>
            </w:r>
          </w:p>
        </w:tc>
        <w:tc>
          <w:tcPr>
            <w:tcW w:type="dxa" w:w="5760"/>
            <w:vAlign w:val="top"/>
          </w:tcPr>
          <w:p>
            <w:pPr>
              <w:spacing w:after="0"/>
            </w:pPr>
            <w:r/>
            <w:r>
              <w:rPr>
                <w:rFonts w:ascii="Arial" w:hAnsi="Arial"/>
                <w:b w:val="0"/>
                <w:sz w:val="15"/>
              </w:rPr>
              <w:t>GitNexus indexes codebases into knowledge graphs and exposes repository structure to AI agents through CLI + MCP.</w:t>
            </w:r>
          </w:p>
        </w:tc>
        <w:tc>
          <w:tcPr>
            <w:tcW w:type="dxa" w:w="2015"/>
            <w:vAlign w:val="top"/>
          </w:tcPr>
          <w:p>
            <w:pPr>
              <w:spacing w:after="0"/>
            </w:pPr>
            <w:r/>
            <w:r>
              <w:rPr>
                <w:rFonts w:ascii="Arial" w:hAnsi="Arial"/>
                <w:b w:val="0"/>
                <w:sz w:val="15"/>
              </w:rPr>
              <w:t>Verified by web review on May 14, 2026.</w:t>
            </w:r>
          </w:p>
        </w:tc>
      </w:tr>
      <w:tr>
        <w:tc>
          <w:tcPr>
            <w:tcW w:type="dxa" w:w="2880"/>
            <w:vAlign w:val="top"/>
            <w:shd w:fill="F7F7F7"/>
          </w:tcPr>
          <w:p>
            <w:pPr>
              <w:spacing w:after="0"/>
            </w:pPr>
            <w:r/>
            <w:r>
              <w:rPr>
                <w:rFonts w:ascii="Arial" w:hAnsi="Arial"/>
                <w:b w:val="0"/>
                <w:sz w:val="15"/>
              </w:rPr>
              <w:t>GitNexus GitHub README</w:t>
            </w:r>
          </w:p>
        </w:tc>
        <w:tc>
          <w:tcPr>
            <w:tcW w:type="dxa" w:w="5760"/>
            <w:vAlign w:val="top"/>
            <w:shd w:fill="F7F7F7"/>
          </w:tcPr>
          <w:p>
            <w:pPr>
              <w:spacing w:after="0"/>
            </w:pPr>
            <w:r/>
            <w:r>
              <w:rPr>
                <w:rFonts w:ascii="Arial" w:hAnsi="Arial"/>
                <w:b w:val="0"/>
                <w:sz w:val="15"/>
              </w:rPr>
              <w:t>CLI + MCP is positioned for daily development with tools such as Claude Code, Codex, Cursor, Windsurf, and OpenCode.</w:t>
            </w:r>
          </w:p>
        </w:tc>
        <w:tc>
          <w:tcPr>
            <w:tcW w:type="dxa" w:w="2015"/>
            <w:vAlign w:val="top"/>
            <w:shd w:fill="F7F7F7"/>
          </w:tcPr>
          <w:p>
            <w:pPr>
              <w:spacing w:after="0"/>
            </w:pPr>
            <w:r/>
            <w:r>
              <w:rPr>
                <w:rFonts w:ascii="Arial" w:hAnsi="Arial"/>
                <w:b w:val="0"/>
                <w:sz w:val="15"/>
              </w:rPr>
              <w:t>Tool-specific support must be revalidated during PoC.</w:t>
            </w:r>
          </w:p>
        </w:tc>
      </w:tr>
      <w:tr>
        <w:tc>
          <w:tcPr>
            <w:tcW w:type="dxa" w:w="2880"/>
            <w:vAlign w:val="top"/>
          </w:tcPr>
          <w:p>
            <w:pPr>
              <w:spacing w:after="0"/>
            </w:pPr>
            <w:r/>
            <w:r>
              <w:rPr>
                <w:rFonts w:ascii="Arial" w:hAnsi="Arial"/>
                <w:b w:val="0"/>
                <w:sz w:val="15"/>
              </w:rPr>
              <w:t>GitNexus GitHub README</w:t>
            </w:r>
          </w:p>
        </w:tc>
        <w:tc>
          <w:tcPr>
            <w:tcW w:type="dxa" w:w="5760"/>
            <w:vAlign w:val="top"/>
          </w:tcPr>
          <w:p>
            <w:pPr>
              <w:spacing w:after="0"/>
            </w:pPr>
            <w:r/>
            <w:r>
              <w:rPr>
                <w:rFonts w:ascii="Arial" w:hAnsi="Arial"/>
                <w:b w:val="0"/>
                <w:sz w:val="15"/>
              </w:rPr>
              <w:t>Web UI is described as in-browser/no-server for core mode; local backend/enterprise modes are also described.</w:t>
            </w:r>
          </w:p>
        </w:tc>
        <w:tc>
          <w:tcPr>
            <w:tcW w:type="dxa" w:w="2015"/>
            <w:vAlign w:val="top"/>
          </w:tcPr>
          <w:p>
            <w:pPr>
              <w:spacing w:after="0"/>
            </w:pPr>
            <w:r/>
            <w:r>
              <w:rPr>
                <w:rFonts w:ascii="Arial" w:hAnsi="Arial"/>
                <w:b w:val="0"/>
                <w:sz w:val="15"/>
              </w:rPr>
              <w:t>AIRA still prohibits unmanaged public upload of Confidential/Restricted source.</w:t>
            </w:r>
          </w:p>
        </w:tc>
      </w:tr>
      <w:tr>
        <w:tc>
          <w:tcPr>
            <w:tcW w:type="dxa" w:w="2880"/>
            <w:vAlign w:val="top"/>
            <w:shd w:fill="F7F7F7"/>
          </w:tcPr>
          <w:p>
            <w:pPr>
              <w:spacing w:after="0"/>
            </w:pPr>
            <w:r/>
            <w:r>
              <w:rPr>
                <w:rFonts w:ascii="Arial" w:hAnsi="Arial"/>
                <w:b w:val="0"/>
                <w:sz w:val="15"/>
              </w:rPr>
              <w:t>GitNexus GitHub releases</w:t>
            </w:r>
          </w:p>
        </w:tc>
        <w:tc>
          <w:tcPr>
            <w:tcW w:type="dxa" w:w="5760"/>
            <w:vAlign w:val="top"/>
            <w:shd w:fill="F7F7F7"/>
          </w:tcPr>
          <w:p>
            <w:pPr>
              <w:spacing w:after="0"/>
            </w:pPr>
            <w:r/>
            <w:r>
              <w:rPr>
                <w:rFonts w:ascii="Arial" w:hAnsi="Arial"/>
                <w:b w:val="0"/>
                <w:sz w:val="15"/>
              </w:rPr>
              <w:t>The project has frequent releases; latest observed release on GitHub page was v1.6.4 dated May 10, 2026.</w:t>
            </w:r>
          </w:p>
        </w:tc>
        <w:tc>
          <w:tcPr>
            <w:tcW w:type="dxa" w:w="2015"/>
            <w:vAlign w:val="top"/>
            <w:shd w:fill="F7F7F7"/>
          </w:tcPr>
          <w:p>
            <w:pPr>
              <w:spacing w:after="0"/>
            </w:pPr>
            <w:r/>
            <w:r>
              <w:rPr>
                <w:rFonts w:ascii="Arial" w:hAnsi="Arial"/>
                <w:b w:val="0"/>
                <w:sz w:val="15"/>
              </w:rPr>
              <w:t>Do not rely on latest tag; pin approved version after PoC.</w:t>
            </w:r>
          </w:p>
        </w:tc>
      </w:tr>
      <w:tr>
        <w:tc>
          <w:tcPr>
            <w:tcW w:type="dxa" w:w="2880"/>
            <w:vAlign w:val="top"/>
          </w:tcPr>
          <w:p>
            <w:pPr>
              <w:spacing w:after="0"/>
            </w:pPr>
            <w:r/>
            <w:r>
              <w:rPr>
                <w:rFonts w:ascii="Arial" w:hAnsi="Arial"/>
                <w:b w:val="0"/>
                <w:sz w:val="15"/>
              </w:rPr>
              <w:t>AIRA source draft C. GitNexus.docx</w:t>
            </w:r>
          </w:p>
        </w:tc>
        <w:tc>
          <w:tcPr>
            <w:tcW w:type="dxa" w:w="5760"/>
            <w:vAlign w:val="top"/>
          </w:tcPr>
          <w:p>
            <w:pPr>
              <w:spacing w:after="0"/>
            </w:pPr>
            <w:r/>
            <w:r>
              <w:rPr>
                <w:rFonts w:ascii="Arial" w:hAnsi="Arial"/>
                <w:b w:val="0"/>
                <w:sz w:val="15"/>
              </w:rPr>
              <w:t>Recommended GitNexus as AIRA Code Intelligence Layer, not official knowledge source, and as agent-callable support for Auto-Heal/Learn/Improve.</w:t>
            </w:r>
          </w:p>
        </w:tc>
        <w:tc>
          <w:tcPr>
            <w:tcW w:type="dxa" w:w="2015"/>
            <w:vAlign w:val="top"/>
          </w:tcPr>
          <w:p>
            <w:pPr>
              <w:spacing w:after="0"/>
            </w:pPr>
            <w:r/>
            <w:r>
              <w:rPr>
                <w:rFonts w:ascii="Arial" w:hAnsi="Arial"/>
                <w:b w:val="0"/>
                <w:sz w:val="15"/>
              </w:rPr>
              <w:t>Converted into this governed standard.</w:t>
            </w:r>
          </w:p>
        </w:tc>
      </w:tr>
    </w:tbl>
    <w:p/>
    <w:sectPr w:rsidR="00FC693F" w:rsidRPr="0006063C" w:rsidSect="00034616">
      <w:headerReference w:type="default" r:id="rId9"/>
      <w:footerReference w:type="default" r:id="rId10"/>
      <w:pgSz w:w="12240" w:h="15840"/>
      <w:pgMar w:top="936"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04040"/>
        <w:sz w:val="16"/>
      </w:rPr>
      <w:t>Discipline First - Automation Second - Intelligence Third - AVCI Always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404040"/>
        <w:sz w:val="16"/>
      </w:rPr>
      <w:t>AIRA GitNexus Code Intelligence and Impact Analysis Standard v1.0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eastAsia="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40404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IRASmall">
    <w:name w:val="AIRA Small"/>
    <w:pPr>
      <w:spacing w:after="40"/>
    </w:pPr>
    <w:rPr>
      <w:rFonts w:ascii="Arial" w:hAnsi="Arial"/>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