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ptos" w:hAnsi="Aptos"/>
          <w:b/>
          <w:color w:val="203864"/>
          <w:sz w:val="54"/>
        </w:rPr>
        <w:t>AIRA</w:t>
      </w:r>
    </w:p>
    <w:p>
      <w:pPr>
        <w:jc w:val="center"/>
      </w:pPr>
      <w:r>
        <w:rPr>
          <w:rFonts w:ascii="Aptos" w:hAnsi="Aptos"/>
          <w:b/>
          <w:color w:val="1F4E79"/>
          <w:sz w:val="28"/>
        </w:rPr>
        <w:t>AI-Native Enterprise Platform</w:t>
      </w:r>
    </w:p>
    <w:p>
      <w:pPr>
        <w:spacing w:before="160"/>
        <w:jc w:val="center"/>
      </w:pPr>
      <w:r>
        <w:rPr>
          <w:rFonts w:ascii="Aptos" w:hAnsi="Aptos"/>
          <w:b/>
          <w:color w:val="203864"/>
          <w:sz w:val="48"/>
        </w:rPr>
        <w:t>CLAUDE.md Reference</w:t>
      </w:r>
    </w:p>
    <w:p>
      <w:pPr>
        <w:jc w:val="center"/>
      </w:pPr>
      <w:r>
        <w:rPr>
          <w:rFonts w:ascii="Aptos" w:hAnsi="Aptos"/>
          <w:b/>
          <w:color w:val="1F4E79"/>
          <w:sz w:val="22"/>
        </w:rPr>
        <w:t>Rules of Engagement for AI-Assisted and Human Development</w:t>
      </w:r>
    </w:p>
    <w:p>
      <w:pPr>
        <w:jc w:val="center"/>
      </w:pPr>
      <w:r>
        <w:rPr>
          <w:rFonts w:ascii="Aptos" w:hAnsi="Aptos"/>
          <w:b/>
          <w:color w:val="1F4E79"/>
          <w:sz w:val="21"/>
        </w:rPr>
        <w:t>Enterprise Design Principles | SOLID Enforcement | Architecture Fitness Functions | AVCI Evidence</w:t>
      </w:r>
    </w:p>
    <w:p>
      <w:pPr>
        <w:spacing w:before="180"/>
        <w:jc w:val="center"/>
      </w:pPr>
      <w:r>
        <w:rPr>
          <w:rFonts w:ascii="Aptos" w:hAnsi="Aptos"/>
          <w:b/>
          <w:color w:val="666666"/>
          <w:sz w:val="22"/>
        </w:rPr>
        <w:t>Version 3.0 - April 2026</w:t>
      </w:r>
    </w:p>
    <w:p>
      <w:pPr>
        <w:spacing w:before="40" w:after="160"/>
        <w:pBdr>
          <w:bottom w:val="single" w:sz="10" w:space="1" w:color="1F4E79"/>
        </w:pBdr>
      </w:pPr>
    </w:p>
    <w:tbl>
      <w:tblPr>
        <w:tblStyle w:val="TableGrid"/>
        <w:tblW w:type="auto" w:w="0"/>
        <w:jc w:val="center"/>
        <w:tblLook w:firstColumn="1" w:firstRow="1" w:lastColumn="0" w:lastRow="0" w:noHBand="0" w:noVBand="1" w:val="04A0"/>
      </w:tblPr>
      <w:tblGrid>
        <w:gridCol w:w="10454"/>
      </w:tblGrid>
      <w:tr>
        <w:tc>
          <w:tcPr>
            <w:tcW w:type="dxa" w:w="10454"/>
            <w:shd w:fill="FCE4D6"/>
            <w:tcMar>
              <w:top w:w="125" w:type="dxa"/>
              <w:start w:w="145" w:type="dxa"/>
              <w:bottom w:w="125" w:type="dxa"/>
              <w:end w:w="145" w:type="dxa"/>
            </w:tcMar>
          </w:tcPr>
          <w:p>
            <w:pPr>
              <w:spacing w:after="60"/>
            </w:pPr>
            <w:r>
              <w:rPr>
                <w:rFonts w:ascii="Aptos" w:hAnsi="Aptos"/>
                <w:b/>
                <w:color w:val="C65911"/>
                <w:sz w:val="18"/>
              </w:rPr>
              <w:t>Mandatory Operating Principle</w:t>
            </w:r>
          </w:p>
          <w:p>
            <w:pPr>
              <w:spacing w:after="0"/>
            </w:pPr>
            <w:r>
              <w:rPr>
                <w:rFonts w:ascii="Aptos" w:hAnsi="Aptos"/>
                <w:sz w:val="17"/>
              </w:rPr>
              <w:t>CLAUDE.md is the human-readable Golden Source for repository behavior. In v3.0, every repository rule must preserve or improve SOLID compliance, Clean Architecture boundaries, DDD bounded contexts, ports-and-adapters separation, testability, security posture, observability, reversibility, rollbackability, and AVCI evidence. AI may draft; humans remain accountable.</w:t>
            </w:r>
          </w:p>
        </w:tc>
      </w:tr>
    </w:tbl>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880"/>
            <w:shd w:fill="1F4E79"/>
            <w:tcMar>
              <w:top w:w="45" w:type="dxa"/>
              <w:start w:w="50" w:type="dxa"/>
              <w:bottom w:w="45" w:type="dxa"/>
              <w:end w:w="50" w:type="dxa"/>
            </w:tcMar>
          </w:tcPr>
          <w:p>
            <w:pPr>
              <w:spacing w:after="0"/>
              <w:jc w:val="center"/>
            </w:pPr>
            <w:r>
              <w:rPr>
                <w:rFonts w:ascii="Aptos" w:hAnsi="Aptos"/>
                <w:b/>
                <w:color w:val="FFFFFF"/>
                <w:sz w:val="14"/>
              </w:rPr>
              <w:t>Property</w:t>
            </w:r>
          </w:p>
        </w:tc>
        <w:tc>
          <w:tcPr>
            <w:tcW w:type="dxa" w:w="6912"/>
            <w:shd w:fill="1F4E79"/>
            <w:tcMar>
              <w:top w:w="45" w:type="dxa"/>
              <w:start w:w="50" w:type="dxa"/>
              <w:bottom w:w="45" w:type="dxa"/>
              <w:end w:w="50" w:type="dxa"/>
            </w:tcMar>
          </w:tcPr>
          <w:p>
            <w:pPr>
              <w:spacing w:after="0"/>
              <w:jc w:val="center"/>
            </w:pPr>
            <w:r>
              <w:rPr>
                <w:rFonts w:ascii="Aptos" w:hAnsi="Aptos"/>
                <w:b/>
                <w:color w:val="FFFFFF"/>
                <w:sz w:val="14"/>
              </w:rPr>
              <w:t>Value</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Document Title</w:t>
            </w:r>
          </w:p>
        </w:tc>
        <w:tc>
          <w:tcPr>
            <w:tcW w:type="dxa" w:w="6912"/>
            <w:vAlign w:val="top"/>
            <w:tcMar>
              <w:top w:w="42" w:type="dxa"/>
              <w:start w:w="50" w:type="dxa"/>
              <w:bottom w:w="42" w:type="dxa"/>
              <w:end w:w="50" w:type="dxa"/>
            </w:tcMar>
          </w:tcPr>
          <w:p>
            <w:pPr>
              <w:spacing w:after="0" w:line="240" w:lineRule="auto"/>
            </w:pPr>
            <w:r>
              <w:rPr>
                <w:rFonts w:ascii="Aptos" w:hAnsi="Aptos"/>
                <w:sz w:val="14"/>
              </w:rPr>
              <w:t>AIRA CLAUDE.md Reference</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Document Version</w:t>
            </w:r>
          </w:p>
        </w:tc>
        <w:tc>
          <w:tcPr>
            <w:tcW w:type="dxa" w:w="6912"/>
            <w:vAlign w:val="top"/>
            <w:tcMar>
              <w:top w:w="42" w:type="dxa"/>
              <w:start w:w="50" w:type="dxa"/>
              <w:bottom w:w="42" w:type="dxa"/>
              <w:end w:w="50" w:type="dxa"/>
            </w:tcMar>
          </w:tcPr>
          <w:p>
            <w:pPr>
              <w:spacing w:after="0" w:line="240" w:lineRule="auto"/>
            </w:pPr>
            <w:r>
              <w:rPr>
                <w:rFonts w:ascii="Aptos" w:hAnsi="Aptos"/>
                <w:sz w:val="14"/>
              </w:rPr>
              <w:t>v3.0 - Enterprise Design Principles and SOLID Enforcement Release</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Document ID</w:t>
            </w:r>
          </w:p>
        </w:tc>
        <w:tc>
          <w:tcPr>
            <w:tcW w:type="dxa" w:w="6912"/>
            <w:vAlign w:val="top"/>
            <w:tcMar>
              <w:top w:w="42" w:type="dxa"/>
              <w:start w:w="50" w:type="dxa"/>
              <w:bottom w:w="42" w:type="dxa"/>
              <w:end w:w="50" w:type="dxa"/>
            </w:tcMar>
          </w:tcPr>
          <w:p>
            <w:pPr>
              <w:spacing w:after="0" w:line="240" w:lineRule="auto"/>
            </w:pPr>
            <w:r>
              <w:rPr>
                <w:rFonts w:ascii="Aptos" w:hAnsi="Aptos"/>
                <w:sz w:val="14"/>
              </w:rPr>
              <w:t>AIRA-DOC-006</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Supersedes</w:t>
            </w:r>
          </w:p>
        </w:tc>
        <w:tc>
          <w:tcPr>
            <w:tcW w:type="dxa" w:w="6912"/>
            <w:vAlign w:val="top"/>
            <w:tcMar>
              <w:top w:w="42" w:type="dxa"/>
              <w:start w:w="50" w:type="dxa"/>
              <w:bottom w:w="42" w:type="dxa"/>
              <w:end w:w="50" w:type="dxa"/>
            </w:tcMar>
          </w:tcPr>
          <w:p>
            <w:pPr>
              <w:spacing w:after="0" w:line="240" w:lineRule="auto"/>
            </w:pPr>
            <w:r>
              <w:rPr>
                <w:rFonts w:ascii="Aptos" w:hAnsi="Aptos"/>
                <w:sz w:val="14"/>
              </w:rPr>
              <w:t>06-AIRA_CLAUDE_MD_Reference_v2.0</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Classification</w:t>
            </w:r>
          </w:p>
        </w:tc>
        <w:tc>
          <w:tcPr>
            <w:tcW w:type="dxa" w:w="6912"/>
            <w:vAlign w:val="top"/>
            <w:tcMar>
              <w:top w:w="42" w:type="dxa"/>
              <w:start w:w="50" w:type="dxa"/>
              <w:bottom w:w="42" w:type="dxa"/>
              <w:end w:w="50" w:type="dxa"/>
            </w:tcMar>
          </w:tcPr>
          <w:p>
            <w:pPr>
              <w:spacing w:after="0" w:line="240" w:lineRule="auto"/>
            </w:pPr>
            <w:r>
              <w:rPr>
                <w:rFonts w:ascii="Aptos" w:hAnsi="Aptos"/>
                <w:sz w:val="14"/>
              </w:rPr>
              <w:t>CONFIDENTIAL - Internal Use Only</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Status</w:t>
            </w:r>
          </w:p>
        </w:tc>
        <w:tc>
          <w:tcPr>
            <w:tcW w:type="dxa" w:w="6912"/>
            <w:vAlign w:val="top"/>
            <w:tcMar>
              <w:top w:w="42" w:type="dxa"/>
              <w:start w:w="50" w:type="dxa"/>
              <w:bottom w:w="42" w:type="dxa"/>
              <w:end w:w="50" w:type="dxa"/>
            </w:tcMar>
          </w:tcPr>
          <w:p>
            <w:pPr>
              <w:spacing w:after="0" w:line="240" w:lineRule="auto"/>
            </w:pPr>
            <w:r>
              <w:rPr>
                <w:rFonts w:ascii="Aptos" w:hAnsi="Aptos"/>
                <w:sz w:val="14"/>
              </w:rPr>
              <w:t>FOR ARCHITECTURE REVIEW BOARD / ENGINEERING ADOPTION</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Owner</w:t>
            </w:r>
          </w:p>
        </w:tc>
        <w:tc>
          <w:tcPr>
            <w:tcW w:type="dxa" w:w="6912"/>
            <w:vAlign w:val="top"/>
            <w:tcMar>
              <w:top w:w="42" w:type="dxa"/>
              <w:start w:w="50" w:type="dxa"/>
              <w:bottom w:w="42" w:type="dxa"/>
              <w:end w:w="50" w:type="dxa"/>
            </w:tcMar>
          </w:tcPr>
          <w:p>
            <w:pPr>
              <w:spacing w:after="0" w:line="240" w:lineRule="auto"/>
            </w:pPr>
            <w:r>
              <w:rPr>
                <w:rFonts w:ascii="Aptos" w:hAnsi="Aptos"/>
                <w:sz w:val="14"/>
              </w:rPr>
              <w:t>Solutions Architecture Office / AI DevSecOps Lead</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Co-Owners</w:t>
            </w:r>
          </w:p>
        </w:tc>
        <w:tc>
          <w:tcPr>
            <w:tcW w:type="dxa" w:w="6912"/>
            <w:vAlign w:val="top"/>
            <w:tcMar>
              <w:top w:w="42" w:type="dxa"/>
              <w:start w:w="50" w:type="dxa"/>
              <w:bottom w:w="42" w:type="dxa"/>
              <w:end w:w="50" w:type="dxa"/>
            </w:tcMar>
          </w:tcPr>
          <w:p>
            <w:pPr>
              <w:spacing w:after="0" w:line="240" w:lineRule="auto"/>
            </w:pPr>
            <w:r>
              <w:rPr>
                <w:rFonts w:ascii="Aptos" w:hAnsi="Aptos"/>
                <w:sz w:val="14"/>
              </w:rPr>
              <w:t>Software Development Lead; DevSecOps Lead; Security Architecture; Quality Engineering</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Effective Date</w:t>
            </w:r>
          </w:p>
        </w:tc>
        <w:tc>
          <w:tcPr>
            <w:tcW w:type="dxa" w:w="6912"/>
            <w:vAlign w:val="top"/>
            <w:tcMar>
              <w:top w:w="42" w:type="dxa"/>
              <w:start w:w="50" w:type="dxa"/>
              <w:bottom w:w="42" w:type="dxa"/>
              <w:end w:w="50" w:type="dxa"/>
            </w:tcMar>
          </w:tcPr>
          <w:p>
            <w:pPr>
              <w:spacing w:after="0" w:line="240" w:lineRule="auto"/>
            </w:pPr>
            <w:r>
              <w:rPr>
                <w:rFonts w:ascii="Aptos" w:hAnsi="Aptos"/>
                <w:sz w:val="14"/>
              </w:rPr>
              <w:t>Upon Architecture Review Board / CAB approval</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Review Cadence</w:t>
            </w:r>
          </w:p>
        </w:tc>
        <w:tc>
          <w:tcPr>
            <w:tcW w:type="dxa" w:w="6912"/>
            <w:vAlign w:val="top"/>
            <w:tcMar>
              <w:top w:w="42" w:type="dxa"/>
              <w:start w:w="50" w:type="dxa"/>
              <w:bottom w:w="42" w:type="dxa"/>
              <w:end w:w="50" w:type="dxa"/>
            </w:tcMar>
          </w:tcPr>
          <w:p>
            <w:pPr>
              <w:spacing w:after="0" w:line="240" w:lineRule="auto"/>
            </w:pPr>
            <w:r>
              <w:rPr>
                <w:rFonts w:ascii="Aptos" w:hAnsi="Aptos"/>
                <w:sz w:val="14"/>
              </w:rPr>
              <w:t>Quarterly; unscheduled on material AI tool, model, policy, repository, security, or architecture change</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Audience</w:t>
            </w:r>
          </w:p>
        </w:tc>
        <w:tc>
          <w:tcPr>
            <w:tcW w:type="dxa" w:w="6912"/>
            <w:vAlign w:val="top"/>
            <w:tcMar>
              <w:top w:w="42" w:type="dxa"/>
              <w:start w:w="50" w:type="dxa"/>
              <w:bottom w:w="42" w:type="dxa"/>
              <w:end w:w="50" w:type="dxa"/>
            </w:tcMar>
          </w:tcPr>
          <w:p>
            <w:pPr>
              <w:spacing w:after="0" w:line="240" w:lineRule="auto"/>
            </w:pPr>
            <w:r>
              <w:rPr>
                <w:rFonts w:ascii="Aptos" w:hAnsi="Aptos"/>
                <w:sz w:val="14"/>
              </w:rPr>
              <w:t>All developers, architects, DevSecOps, AI engineers, QA, SRE, database, platform, security, and repository maintainers</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Primary Governing Decision</w:t>
            </w:r>
          </w:p>
        </w:tc>
        <w:tc>
          <w:tcPr>
            <w:tcW w:type="dxa" w:w="6912"/>
            <w:vAlign w:val="top"/>
            <w:tcMar>
              <w:top w:w="42" w:type="dxa"/>
              <w:start w:w="50" w:type="dxa"/>
              <w:bottom w:w="42" w:type="dxa"/>
              <w:end w:w="50" w:type="dxa"/>
            </w:tcMar>
          </w:tcPr>
          <w:p>
            <w:pPr>
              <w:spacing w:after="0" w:line="240" w:lineRule="auto"/>
            </w:pPr>
            <w:r>
              <w:rPr>
                <w:rFonts w:ascii="Aptos" w:hAnsi="Aptos"/>
                <w:sz w:val="14"/>
              </w:rPr>
              <w:t>ADR-AIRA-2026-001 - Adoption of Enterprise Design Principles and SOLID Enforcement Layer</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Canonical Principle Reference</w:t>
            </w:r>
          </w:p>
        </w:tc>
        <w:tc>
          <w:tcPr>
            <w:tcW w:type="dxa" w:w="6912"/>
            <w:vAlign w:val="top"/>
            <w:tcMar>
              <w:top w:w="42" w:type="dxa"/>
              <w:start w:w="50" w:type="dxa"/>
              <w:bottom w:w="42" w:type="dxa"/>
              <w:end w:w="50" w:type="dxa"/>
            </w:tcMar>
          </w:tcPr>
          <w:p>
            <w:pPr>
              <w:spacing w:after="0" w:line="240" w:lineRule="auto"/>
            </w:pPr>
            <w:r>
              <w:rPr>
                <w:rFonts w:ascii="Aptos" w:hAnsi="Aptos"/>
                <w:sz w:val="14"/>
              </w:rPr>
              <w:t>01A-AIRA Enterprise Design Principles and SOLID Enforcement Layer v1.0</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Universal Quality Reference</w:t>
            </w:r>
          </w:p>
        </w:tc>
        <w:tc>
          <w:tcPr>
            <w:tcW w:type="dxa" w:w="6912"/>
            <w:vAlign w:val="top"/>
            <w:tcMar>
              <w:top w:w="42" w:type="dxa"/>
              <w:start w:w="50" w:type="dxa"/>
              <w:bottom w:w="42" w:type="dxa"/>
              <w:end w:w="50" w:type="dxa"/>
            </w:tcMar>
          </w:tcPr>
          <w:p>
            <w:pPr>
              <w:spacing w:after="0" w:line="240" w:lineRule="auto"/>
            </w:pPr>
            <w:r>
              <w:rPr>
                <w:rFonts w:ascii="Aptos" w:hAnsi="Aptos"/>
                <w:sz w:val="14"/>
              </w:rPr>
              <w:t>01-AIRA AVCI Engineering Standard v3.0</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Architecture Reference</w:t>
            </w:r>
          </w:p>
        </w:tc>
        <w:tc>
          <w:tcPr>
            <w:tcW w:type="dxa" w:w="6912"/>
            <w:vAlign w:val="top"/>
            <w:tcMar>
              <w:top w:w="42" w:type="dxa"/>
              <w:start w:w="50" w:type="dxa"/>
              <w:bottom w:w="42" w:type="dxa"/>
              <w:end w:w="50" w:type="dxa"/>
            </w:tcMar>
          </w:tcPr>
          <w:p>
            <w:pPr>
              <w:spacing w:after="0" w:line="240" w:lineRule="auto"/>
            </w:pPr>
            <w:r>
              <w:rPr>
                <w:rFonts w:ascii="Aptos" w:hAnsi="Aptos"/>
                <w:sz w:val="14"/>
              </w:rPr>
              <w:t>02-AIRA Engineering Blueprint v5.0</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Developer Reference</w:t>
            </w:r>
          </w:p>
        </w:tc>
        <w:tc>
          <w:tcPr>
            <w:tcW w:type="dxa" w:w="6912"/>
            <w:vAlign w:val="top"/>
            <w:tcMar>
              <w:top w:w="42" w:type="dxa"/>
              <w:start w:w="50" w:type="dxa"/>
              <w:bottom w:w="42" w:type="dxa"/>
              <w:end w:w="50" w:type="dxa"/>
            </w:tcMar>
          </w:tcPr>
          <w:p>
            <w:pPr>
              <w:spacing w:after="0" w:line="240" w:lineRule="auto"/>
            </w:pPr>
            <w:r>
              <w:rPr>
                <w:rFonts w:ascii="Aptos" w:hAnsi="Aptos"/>
                <w:sz w:val="14"/>
              </w:rPr>
              <w:t>03-AIRA Developer Guide v4.0</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Testing Reference</w:t>
            </w:r>
          </w:p>
        </w:tc>
        <w:tc>
          <w:tcPr>
            <w:tcW w:type="dxa" w:w="6912"/>
            <w:vAlign w:val="top"/>
            <w:tcMar>
              <w:top w:w="42" w:type="dxa"/>
              <w:start w:w="50" w:type="dxa"/>
              <w:bottom w:w="42" w:type="dxa"/>
              <w:end w:w="50" w:type="dxa"/>
            </w:tcMar>
          </w:tcPr>
          <w:p>
            <w:pPr>
              <w:spacing w:after="0" w:line="240" w:lineRule="auto"/>
            </w:pPr>
            <w:r>
              <w:rPr>
                <w:rFonts w:ascii="Aptos" w:hAnsi="Aptos"/>
                <w:sz w:val="14"/>
              </w:rPr>
              <w:t>08-AIRA Unit Testing Engineering Standard v3.0</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Companion Documents</w:t>
            </w:r>
          </w:p>
        </w:tc>
        <w:tc>
          <w:tcPr>
            <w:tcW w:type="dxa" w:w="6912"/>
            <w:vAlign w:val="top"/>
            <w:tcMar>
              <w:top w:w="42" w:type="dxa"/>
              <w:start w:w="50" w:type="dxa"/>
              <w:bottom w:w="42" w:type="dxa"/>
              <w:end w:w="50" w:type="dxa"/>
            </w:tcMar>
          </w:tcPr>
          <w:p>
            <w:pPr>
              <w:spacing w:after="0" w:line="240" w:lineRule="auto"/>
            </w:pPr>
            <w:r>
              <w:rPr>
                <w:rFonts w:ascii="Aptos" w:hAnsi="Aptos"/>
                <w:sz w:val="14"/>
              </w:rPr>
              <w:t>04 Technology Stack; 05 Information Nervous System; 07 Skills Framework; 09 Greenfield Environment; 10 MicroFunction Framework; 11 DevSecOps Standard; 12 Rollout Starter Pack; 14 ADR/TDL; 15 API Contract; 16 Database; 17 Security</w:t>
            </w:r>
          </w:p>
        </w:tc>
      </w:tr>
    </w:tbl>
    <w:p/>
    <w:p>
      <w:r>
        <w:br w:type="page"/>
      </w:r>
    </w:p>
    <w:p>
      <w:pPr>
        <w:pStyle w:val="Heading1"/>
        <w:keepNext/>
        <w:spacing w:before="160" w:after="80"/>
      </w:pPr>
    </w:p>
    <w:p>
      <w:pPr>
        <w:spacing w:after="80" w:line="250" w:lineRule="auto"/>
      </w:pPr>
      <w:r>
        <w:rPr>
          <w:rFonts w:ascii="Aptos" w:hAnsi="Aptos"/>
          <w:sz w:val="17"/>
        </w:rPr>
        <w:t>1. Executive Summary</w:t>
      </w:r>
    </w:p>
    <w:p>
      <w:pPr>
        <w:spacing w:after="80" w:line="250" w:lineRule="auto"/>
      </w:pPr>
      <w:r>
        <w:rPr>
          <w:rFonts w:ascii="Aptos" w:hAnsi="Aptos"/>
          <w:sz w:val="17"/>
        </w:rPr>
        <w:t>2. v3.0 Change Summary and Review Verdict</w:t>
      </w:r>
    </w:p>
    <w:p>
      <w:pPr>
        <w:spacing w:after="80" w:line="250" w:lineRule="auto"/>
      </w:pPr>
      <w:r>
        <w:rPr>
          <w:rFonts w:ascii="Aptos" w:hAnsi="Aptos"/>
          <w:sz w:val="17"/>
        </w:rPr>
        <w:t>3. Scope, Authority, and Document Hierarchy</w:t>
      </w:r>
    </w:p>
    <w:p>
      <w:pPr>
        <w:spacing w:after="80" w:line="250" w:lineRule="auto"/>
      </w:pPr>
      <w:r>
        <w:rPr>
          <w:rFonts w:ascii="Aptos" w:hAnsi="Aptos"/>
          <w:sz w:val="17"/>
        </w:rPr>
        <w:t>4. CLAUDE.md Operating Model</w:t>
      </w:r>
    </w:p>
    <w:p>
      <w:pPr>
        <w:spacing w:after="80" w:line="250" w:lineRule="auto"/>
      </w:pPr>
      <w:r>
        <w:rPr>
          <w:rFonts w:ascii="Aptos" w:hAnsi="Aptos"/>
          <w:sz w:val="17"/>
        </w:rPr>
        <w:t>5. Enterprise Design Principles and SOLID Enforcement Rules</w:t>
      </w:r>
    </w:p>
    <w:p>
      <w:pPr>
        <w:spacing w:after="80" w:line="250" w:lineRule="auto"/>
      </w:pPr>
      <w:r>
        <w:rPr>
          <w:rFonts w:ascii="Aptos" w:hAnsi="Aptos"/>
          <w:sz w:val="17"/>
        </w:rPr>
        <w:t>6. Root CLAUDE.md Global Baseline</w:t>
      </w:r>
    </w:p>
    <w:p>
      <w:pPr>
        <w:spacing w:after="80" w:line="250" w:lineRule="auto"/>
      </w:pPr>
      <w:r>
        <w:rPr>
          <w:rFonts w:ascii="Aptos" w:hAnsi="Aptos"/>
          <w:sz w:val="17"/>
        </w:rPr>
        <w:t>7. Directory-Specific Rule Sets</w:t>
      </w:r>
    </w:p>
    <w:p>
      <w:pPr>
        <w:spacing w:after="80" w:line="250" w:lineRule="auto"/>
      </w:pPr>
      <w:r>
        <w:rPr>
          <w:rFonts w:ascii="Aptos" w:hAnsi="Aptos"/>
          <w:sz w:val="17"/>
        </w:rPr>
        <w:t>8. Machine-Enforced Controls</w:t>
      </w:r>
    </w:p>
    <w:p>
      <w:pPr>
        <w:spacing w:after="80" w:line="250" w:lineRule="auto"/>
      </w:pPr>
      <w:r>
        <w:rPr>
          <w:rFonts w:ascii="Aptos" w:hAnsi="Aptos"/>
          <w:sz w:val="17"/>
        </w:rPr>
        <w:t>9. AI Tool Adapter and Multi-Assistant Governance</w:t>
      </w:r>
    </w:p>
    <w:p>
      <w:pPr>
        <w:spacing w:after="80" w:line="250" w:lineRule="auto"/>
      </w:pPr>
      <w:r>
        <w:rPr>
          <w:rFonts w:ascii="Aptos" w:hAnsi="Aptos"/>
          <w:sz w:val="17"/>
        </w:rPr>
        <w:t>10. Auto-Heal, Auto-Learn, and Auto-Improve Rules</w:t>
      </w:r>
    </w:p>
    <w:p>
      <w:pPr>
        <w:spacing w:after="80" w:line="250" w:lineRule="auto"/>
      </w:pPr>
      <w:r>
        <w:rPr>
          <w:rFonts w:ascii="Aptos" w:hAnsi="Aptos"/>
          <w:sz w:val="17"/>
        </w:rPr>
        <w:t>11. Merge Request Evidence and Completion Criteria</w:t>
      </w:r>
    </w:p>
    <w:p>
      <w:pPr>
        <w:spacing w:after="80" w:line="250" w:lineRule="auto"/>
      </w:pPr>
      <w:r>
        <w:rPr>
          <w:rFonts w:ascii="Aptos" w:hAnsi="Aptos"/>
          <w:sz w:val="17"/>
        </w:rPr>
        <w:t>12. RACI and Ownership</w:t>
      </w:r>
    </w:p>
    <w:p>
      <w:pPr>
        <w:spacing w:after="80" w:line="250" w:lineRule="auto"/>
      </w:pPr>
      <w:r>
        <w:rPr>
          <w:rFonts w:ascii="Aptos" w:hAnsi="Aptos"/>
          <w:sz w:val="17"/>
        </w:rPr>
        <w:t>13. Onboarding and Adoption Procedure</w:t>
      </w:r>
    </w:p>
    <w:p>
      <w:pPr>
        <w:spacing w:after="80" w:line="250" w:lineRule="auto"/>
      </w:pPr>
      <w:r>
        <w:rPr>
          <w:rFonts w:ascii="Aptos" w:hAnsi="Aptos"/>
          <w:sz w:val="17"/>
        </w:rPr>
        <w:t>14. Compliance and Control Mapping</w:t>
      </w:r>
    </w:p>
    <w:p>
      <w:pPr>
        <w:spacing w:after="80" w:line="250" w:lineRule="auto"/>
      </w:pPr>
      <w:r>
        <w:rPr>
          <w:rFonts w:ascii="Aptos" w:hAnsi="Aptos"/>
          <w:sz w:val="17"/>
        </w:rPr>
        <w:t>Appendix A. Root CLAUDE.md Template</w:t>
      </w:r>
    </w:p>
    <w:p>
      <w:pPr>
        <w:spacing w:after="80" w:line="250" w:lineRule="auto"/>
      </w:pPr>
      <w:r>
        <w:rPr>
          <w:rFonts w:ascii="Aptos" w:hAnsi="Aptos"/>
          <w:sz w:val="17"/>
        </w:rPr>
        <w:t>Appendix B. Directory CLAUDE.md Templates</w:t>
      </w:r>
    </w:p>
    <w:p>
      <w:pPr>
        <w:spacing w:after="80" w:line="250" w:lineRule="auto"/>
      </w:pPr>
      <w:r>
        <w:rPr>
          <w:rFonts w:ascii="Aptos" w:hAnsi="Aptos"/>
          <w:sz w:val="17"/>
        </w:rPr>
        <w:t>Appendix C. CI and Pre-Commit Control Examples</w:t>
      </w:r>
    </w:p>
    <w:p>
      <w:pPr>
        <w:spacing w:after="80" w:line="250" w:lineRule="auto"/>
      </w:pPr>
      <w:r>
        <w:rPr>
          <w:rFonts w:ascii="Aptos" w:hAnsi="Aptos"/>
          <w:sz w:val="17"/>
        </w:rPr>
        <w:t>Appendix D. AVCI Compliance Summary</w:t>
      </w:r>
    </w:p>
    <w:p>
      <w:r>
        <w:br w:type="page"/>
      </w:r>
    </w:p>
    <w:p>
      <w:pPr>
        <w:pStyle w:val="Heading1"/>
        <w:keepNext/>
        <w:spacing w:before="160" w:after="80"/>
      </w:pPr>
    </w:p>
    <w:p>
      <w:pPr>
        <w:spacing w:after="80" w:line="250" w:lineRule="auto"/>
      </w:pPr>
      <w:r>
        <w:rPr>
          <w:rFonts w:ascii="Aptos" w:hAnsi="Aptos"/>
          <w:sz w:val="18"/>
        </w:rPr>
        <w:t>This document upgrades the AIRA CLAUDE.md Reference from v2.0 to v3.0. The revision keeps the original purpose of CLAUDE.md as the repository rule-of-engagement file for AI-assisted and human development, but strengthens it with the Enterprise Design Principles and SOLID Enforcement Layer adopted through ADR-AIRA-2026-001.</w:t>
      </w:r>
    </w:p>
    <w:p>
      <w:pPr>
        <w:spacing w:after="80" w:line="250" w:lineRule="auto"/>
      </w:pPr>
      <w:r>
        <w:rPr>
          <w:rFonts w:ascii="Aptos" w:hAnsi="Aptos"/>
          <w:sz w:val="18"/>
        </w:rPr>
        <w:t>AIRA treats repository instructions as an enforceable control surface, not convenience notes. The root CLAUDE.md establishes the global baseline. Directory-specific CLAUDE.md files add stricter controls for high-risk areas. Tool-specific adapters such as AGENTS.md, IDE rules, Codex instructions, or CI policy bundles may be generated from CLAUDE.md, but they must not weaken the canonical rules.</w:t>
      </w:r>
    </w:p>
    <w:p>
      <w:pPr>
        <w:spacing w:after="80" w:line="250" w:lineRule="auto"/>
      </w:pPr>
      <w:r>
        <w:rPr>
          <w:rFonts w:ascii="Aptos" w:hAnsi="Aptos"/>
          <w:sz w:val="18"/>
        </w:rPr>
        <w:t>The v3.0 rule is simple: a change is not acceptable merely because it compiles or passes a happy-path test. It must preserve architecture boundaries, SOLID design, security controls, observability, deterministic testing, rollbackability, and AVCI evidence.</w:t>
      </w:r>
    </w:p>
    <w:tbl>
      <w:tblPr>
        <w:tblStyle w:val="TableGrid"/>
        <w:tblW w:type="auto" w:w="0"/>
        <w:jc w:val="center"/>
        <w:tblLook w:firstColumn="1" w:firstRow="1" w:lastColumn="0" w:lastRow="0" w:noHBand="0" w:noVBand="1" w:val="04A0"/>
      </w:tblPr>
      <w:tblGrid>
        <w:gridCol w:w="10454"/>
      </w:tblGrid>
      <w:tr>
        <w:tc>
          <w:tcPr>
            <w:tcW w:type="dxa" w:w="10454"/>
            <w:shd w:fill="EAF2F8"/>
            <w:tcMar>
              <w:top w:w="125" w:type="dxa"/>
              <w:start w:w="145" w:type="dxa"/>
              <w:bottom w:w="125" w:type="dxa"/>
              <w:end w:w="145" w:type="dxa"/>
            </w:tcMar>
          </w:tcPr>
          <w:p>
            <w:pPr>
              <w:spacing w:after="60"/>
            </w:pPr>
            <w:r>
              <w:rPr>
                <w:rFonts w:ascii="Aptos" w:hAnsi="Aptos"/>
                <w:b/>
                <w:color w:val="1F4E79"/>
                <w:sz w:val="18"/>
              </w:rPr>
              <w:t>Strategic Outcome</w:t>
            </w:r>
          </w:p>
          <w:p>
            <w:pPr>
              <w:spacing w:after="0"/>
            </w:pPr>
            <w:r>
              <w:rPr>
                <w:rFonts w:ascii="Aptos" w:hAnsi="Aptos"/>
                <w:sz w:val="17"/>
              </w:rPr>
              <w:t>Every AIRA repository becomes self-governing. A human engineer or AI assistant working in any directory can determine the applicable architecture, security, testing, AI, and evidence rules before editing files. Violations should fail locally, fail again in CI, and remain visible to reviewers and auditors.</w:t>
            </w:r>
          </w:p>
        </w:tc>
      </w:tr>
    </w:tbl>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232"/>
            <w:shd w:fill="1F4E79"/>
            <w:tcMar>
              <w:top w:w="45" w:type="dxa"/>
              <w:start w:w="50" w:type="dxa"/>
              <w:bottom w:w="45" w:type="dxa"/>
              <w:end w:w="50" w:type="dxa"/>
            </w:tcMar>
          </w:tcPr>
          <w:p>
            <w:pPr>
              <w:spacing w:after="0"/>
              <w:jc w:val="center"/>
            </w:pPr>
            <w:r>
              <w:rPr>
                <w:rFonts w:ascii="Aptos" w:hAnsi="Aptos"/>
                <w:b/>
                <w:color w:val="FFFFFF"/>
                <w:sz w:val="13"/>
              </w:rPr>
              <w:t>Change Area</w:t>
            </w:r>
          </w:p>
        </w:tc>
        <w:tc>
          <w:tcPr>
            <w:tcW w:type="dxa" w:w="3671"/>
            <w:shd w:fill="1F4E79"/>
            <w:tcMar>
              <w:top w:w="45" w:type="dxa"/>
              <w:start w:w="50" w:type="dxa"/>
              <w:bottom w:w="45" w:type="dxa"/>
              <w:end w:w="50" w:type="dxa"/>
            </w:tcMar>
          </w:tcPr>
          <w:p>
            <w:pPr>
              <w:spacing w:after="0"/>
              <w:jc w:val="center"/>
            </w:pPr>
            <w:r>
              <w:rPr>
                <w:rFonts w:ascii="Aptos" w:hAnsi="Aptos"/>
                <w:b/>
                <w:color w:val="FFFFFF"/>
                <w:sz w:val="13"/>
              </w:rPr>
              <w:t>v2.0 Baseline</w:t>
            </w:r>
          </w:p>
        </w:tc>
        <w:tc>
          <w:tcPr>
            <w:tcW w:type="dxa" w:w="3888"/>
            <w:shd w:fill="1F4E79"/>
            <w:tcMar>
              <w:top w:w="45" w:type="dxa"/>
              <w:start w:w="50" w:type="dxa"/>
              <w:bottom w:w="45" w:type="dxa"/>
              <w:end w:w="50" w:type="dxa"/>
            </w:tcMar>
          </w:tcPr>
          <w:p>
            <w:pPr>
              <w:spacing w:after="0"/>
              <w:jc w:val="center"/>
            </w:pPr>
            <w:r>
              <w:rPr>
                <w:rFonts w:ascii="Aptos" w:hAnsi="Aptos"/>
                <w:b/>
                <w:color w:val="FFFFFF"/>
                <w:sz w:val="13"/>
              </w:rPr>
              <w:t>v3.0 Enhancement</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AIRA alignment</w:t>
            </w:r>
          </w:p>
        </w:tc>
        <w:tc>
          <w:tcPr>
            <w:tcW w:type="dxa" w:w="3671"/>
            <w:vAlign w:val="top"/>
            <w:tcMar>
              <w:top w:w="42" w:type="dxa"/>
              <w:start w:w="50" w:type="dxa"/>
              <w:bottom w:w="42" w:type="dxa"/>
              <w:end w:w="50" w:type="dxa"/>
            </w:tcMar>
          </w:tcPr>
          <w:p>
            <w:pPr>
              <w:spacing w:after="0" w:line="240" w:lineRule="auto"/>
            </w:pPr>
            <w:r>
              <w:rPr>
                <w:rFonts w:ascii="Aptos" w:hAnsi="Aptos"/>
                <w:sz w:val="13"/>
              </w:rPr>
              <w:t>AIRA naming, Harness boundary, four guardrail checkpoints, AVCI evidence.</w:t>
            </w:r>
          </w:p>
        </w:tc>
        <w:tc>
          <w:tcPr>
            <w:tcW w:type="dxa" w:w="3888"/>
            <w:vAlign w:val="top"/>
            <w:tcMar>
              <w:top w:w="42" w:type="dxa"/>
              <w:start w:w="50" w:type="dxa"/>
              <w:bottom w:w="42" w:type="dxa"/>
              <w:end w:w="50" w:type="dxa"/>
            </w:tcMar>
          </w:tcPr>
          <w:p>
            <w:pPr>
              <w:spacing w:after="0" w:line="240" w:lineRule="auto"/>
            </w:pPr>
            <w:r>
              <w:rPr>
                <w:rFonts w:ascii="Aptos" w:hAnsi="Aptos"/>
                <w:sz w:val="13"/>
              </w:rPr>
              <w:t>Adds explicit 01A reference, ADR-AIRA-2026-001 traceability, and v3/v4/v5 companion document alignment.</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Repository rules</w:t>
            </w:r>
          </w:p>
        </w:tc>
        <w:tc>
          <w:tcPr>
            <w:tcW w:type="dxa" w:w="3671"/>
            <w:vAlign w:val="top"/>
            <w:tcMar>
              <w:top w:w="42" w:type="dxa"/>
              <w:start w:w="50" w:type="dxa"/>
              <w:bottom w:w="42" w:type="dxa"/>
              <w:end w:w="50" w:type="dxa"/>
            </w:tcMar>
          </w:tcPr>
          <w:p>
            <w:pPr>
              <w:spacing w:after="0" w:line="240" w:lineRule="auto"/>
            </w:pPr>
            <w:r>
              <w:rPr>
                <w:rFonts w:ascii="Aptos" w:hAnsi="Aptos"/>
                <w:sz w:val="13"/>
              </w:rPr>
              <w:t>Root and subdirectory CLAUDE.md hierarchy with stricter child rules.</w:t>
            </w:r>
          </w:p>
        </w:tc>
        <w:tc>
          <w:tcPr>
            <w:tcW w:type="dxa" w:w="3888"/>
            <w:vAlign w:val="top"/>
            <w:tcMar>
              <w:top w:w="42" w:type="dxa"/>
              <w:start w:w="50" w:type="dxa"/>
              <w:bottom w:w="42" w:type="dxa"/>
              <w:end w:w="50" w:type="dxa"/>
            </w:tcMar>
          </w:tcPr>
          <w:p>
            <w:pPr>
              <w:spacing w:after="0" w:line="240" w:lineRule="auto"/>
            </w:pPr>
            <w:r>
              <w:rPr>
                <w:rFonts w:ascii="Aptos" w:hAnsi="Aptos"/>
                <w:sz w:val="13"/>
              </w:rPr>
              <w:t>Adds SOLID, Clean Architecture, DDD, ports-and-adapters, reversibility, and fitness-function gates.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Machine enforcement</w:t>
            </w:r>
          </w:p>
        </w:tc>
        <w:tc>
          <w:tcPr>
            <w:tcW w:type="dxa" w:w="3671"/>
            <w:vAlign w:val="top"/>
            <w:tcMar>
              <w:top w:w="42" w:type="dxa"/>
              <w:start w:w="50" w:type="dxa"/>
              <w:bottom w:w="42" w:type="dxa"/>
              <w:end w:w="50" w:type="dxa"/>
            </w:tcMar>
          </w:tcPr>
          <w:p>
            <w:pPr>
              <w:spacing w:after="0" w:line="240" w:lineRule="auto"/>
            </w:pPr>
            <w:r>
              <w:rPr>
                <w:rFonts w:ascii="Aptos" w:hAnsi="Aptos"/>
                <w:sz w:val="13"/>
              </w:rPr>
              <w:t>Pre-commit, CI, CODEOWNERS, lock files, and MR evidence.</w:t>
            </w:r>
          </w:p>
        </w:tc>
        <w:tc>
          <w:tcPr>
            <w:tcW w:type="dxa" w:w="3888"/>
            <w:vAlign w:val="top"/>
            <w:tcMar>
              <w:top w:w="42" w:type="dxa"/>
              <w:start w:w="50" w:type="dxa"/>
              <w:bottom w:w="42" w:type="dxa"/>
              <w:end w:w="50" w:type="dxa"/>
            </w:tcMar>
          </w:tcPr>
          <w:p>
            <w:pPr>
              <w:spacing w:after="0" w:line="240" w:lineRule="auto"/>
            </w:pPr>
            <w:r>
              <w:rPr>
                <w:rFonts w:ascii="Aptos" w:hAnsi="Aptos"/>
                <w:sz w:val="13"/>
              </w:rPr>
              <w:t>Adds ArchUnit, Semgrep, SonarQube, OPA/Conftest, dependency checks, forbidden imports, and architecture tests.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AI governance</w:t>
            </w:r>
          </w:p>
        </w:tc>
        <w:tc>
          <w:tcPr>
            <w:tcW w:type="dxa" w:w="3671"/>
            <w:vAlign w:val="top"/>
            <w:tcMar>
              <w:top w:w="42" w:type="dxa"/>
              <w:start w:w="50" w:type="dxa"/>
              <w:bottom w:w="42" w:type="dxa"/>
              <w:end w:w="50" w:type="dxa"/>
            </w:tcMar>
          </w:tcPr>
          <w:p>
            <w:pPr>
              <w:spacing w:after="0" w:line="240" w:lineRule="auto"/>
            </w:pPr>
            <w:r>
              <w:rPr>
                <w:rFonts w:ascii="Aptos" w:hAnsi="Aptos"/>
                <w:sz w:val="13"/>
              </w:rPr>
              <w:t>AI may draft; Harness executes; OPA decides; humans approve high impact.</w:t>
            </w:r>
          </w:p>
        </w:tc>
        <w:tc>
          <w:tcPr>
            <w:tcW w:type="dxa" w:w="3888"/>
            <w:vAlign w:val="top"/>
            <w:tcMar>
              <w:top w:w="42" w:type="dxa"/>
              <w:start w:w="50" w:type="dxa"/>
              <w:bottom w:w="42" w:type="dxa"/>
              <w:end w:w="50" w:type="dxa"/>
            </w:tcMar>
          </w:tcPr>
          <w:p>
            <w:pPr>
              <w:spacing w:after="0" w:line="240" w:lineRule="auto"/>
            </w:pPr>
            <w:r>
              <w:rPr>
                <w:rFonts w:ascii="Aptos" w:hAnsi="Aptos"/>
                <w:sz w:val="13"/>
              </w:rPr>
              <w:t>Adds AI obligation to preserve design principles and reject fixes that weaken architecture, tests, security, or rollback paths.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Auto loops</w:t>
            </w:r>
          </w:p>
        </w:tc>
        <w:tc>
          <w:tcPr>
            <w:tcW w:type="dxa" w:w="3671"/>
            <w:vAlign w:val="top"/>
            <w:tcMar>
              <w:top w:w="42" w:type="dxa"/>
              <w:start w:w="50" w:type="dxa"/>
              <w:bottom w:w="42" w:type="dxa"/>
              <w:end w:w="50" w:type="dxa"/>
            </w:tcMar>
          </w:tcPr>
          <w:p>
            <w:pPr>
              <w:spacing w:after="0" w:line="240" w:lineRule="auto"/>
            </w:pPr>
            <w:r>
              <w:rPr>
                <w:rFonts w:ascii="Aptos" w:hAnsi="Aptos"/>
                <w:sz w:val="13"/>
              </w:rPr>
              <w:t>Auto-Heal, Auto-Learn, Auto-Improve under review.</w:t>
            </w:r>
          </w:p>
        </w:tc>
        <w:tc>
          <w:tcPr>
            <w:tcW w:type="dxa" w:w="3888"/>
            <w:vAlign w:val="top"/>
            <w:tcMar>
              <w:top w:w="42" w:type="dxa"/>
              <w:start w:w="50" w:type="dxa"/>
              <w:bottom w:w="42" w:type="dxa"/>
              <w:end w:w="50" w:type="dxa"/>
            </w:tcMar>
          </w:tcPr>
          <w:p>
            <w:pPr>
              <w:spacing w:after="0" w:line="240" w:lineRule="auto"/>
            </w:pPr>
            <w:r>
              <w:rPr>
                <w:rFonts w:ascii="Aptos" w:hAnsi="Aptos"/>
                <w:sz w:val="13"/>
              </w:rPr>
              <w:t>Adds principle-preservation gates and prohibits self-modifying or unreviewed repository rule updates.</w:t>
            </w:r>
          </w:p>
        </w:tc>
      </w:tr>
    </w:tbl>
    <w:p/>
    <w:tbl>
      <w:tblPr>
        <w:tblStyle w:val="TableGrid"/>
        <w:tblW w:type="auto" w:w="0"/>
        <w:jc w:val="center"/>
        <w:tblLook w:firstColumn="1" w:firstRow="1" w:lastColumn="0" w:lastRow="0" w:noHBand="0" w:noVBand="1" w:val="04A0"/>
      </w:tblPr>
      <w:tblGrid>
        <w:gridCol w:w="10454"/>
      </w:tblGrid>
      <w:tr>
        <w:tc>
          <w:tcPr>
            <w:tcW w:type="dxa" w:w="10454"/>
            <w:shd w:fill="E2F0D9"/>
            <w:tcMar>
              <w:top w:w="125" w:type="dxa"/>
              <w:start w:w="145" w:type="dxa"/>
              <w:bottom w:w="125" w:type="dxa"/>
              <w:end w:w="145" w:type="dxa"/>
            </w:tcMar>
          </w:tcPr>
          <w:p>
            <w:pPr>
              <w:spacing w:after="60"/>
            </w:pPr>
            <w:r>
              <w:rPr>
                <w:rFonts w:ascii="Aptos" w:hAnsi="Aptos"/>
                <w:b/>
                <w:color w:val="548235"/>
                <w:sz w:val="18"/>
              </w:rPr>
              <w:t>v3.0 Review Verdict</w:t>
            </w:r>
          </w:p>
          <w:p>
            <w:pPr>
              <w:spacing w:after="0"/>
            </w:pPr>
            <w:r>
              <w:rPr>
                <w:rFonts w:ascii="Aptos" w:hAnsi="Aptos"/>
                <w:sz w:val="17"/>
              </w:rPr>
              <w:t>This is a major governance release. It should be adopted before regenerating or enforcing the AIRA repository rule set, CLAUDE.md rollout pack, AI coding agents, and CI compliance hooks.</w:t>
            </w:r>
          </w:p>
        </w:tc>
      </w:tr>
    </w:tbl>
    <w:p/>
    <w:p>
      <w:pPr>
        <w:pStyle w:val="Heading1"/>
        <w:keepNext/>
        <w:spacing w:before="160" w:after="80"/>
      </w:pPr>
    </w:p>
    <w:p>
      <w:pPr>
        <w:pStyle w:val="Heading2"/>
        <w:keepNext/>
        <w:spacing w:before="100" w:after="80"/>
      </w:pPr>
    </w:p>
    <w:p>
      <w:pPr>
        <w:pStyle w:val="ListBullet"/>
        <w:spacing w:after="40"/>
        <w:ind w:left="230"/>
      </w:pPr>
      <w:r>
        <w:rPr>
          <w:rFonts w:ascii="Aptos" w:hAnsi="Aptos"/>
          <w:sz w:val="17"/>
        </w:rPr>
        <w:t>All AIRA application, infrastructure, prompt, guardrail, model configuration, documentation, contract, migration, and test repositories.</w:t>
      </w:r>
    </w:p>
    <w:p>
      <w:pPr>
        <w:pStyle w:val="ListBullet"/>
        <w:spacing w:after="40"/>
        <w:ind w:left="230"/>
      </w:pPr>
      <w:r>
        <w:rPr>
          <w:rFonts w:ascii="Aptos" w:hAnsi="Aptos"/>
          <w:sz w:val="17"/>
        </w:rPr>
        <w:t>All root and directory-specific CLAUDE.md files, generated adapters, lock files, and compiled rule bundles.</w:t>
      </w:r>
    </w:p>
    <w:p>
      <w:pPr>
        <w:pStyle w:val="ListBullet"/>
        <w:spacing w:after="40"/>
        <w:ind w:left="230"/>
      </w:pPr>
      <w:r>
        <w:rPr>
          <w:rFonts w:ascii="Aptos" w:hAnsi="Aptos"/>
          <w:sz w:val="17"/>
        </w:rPr>
        <w:t>All human-authored and AI-assisted changes made by ChatGPT, Codex, Claude Code, Windsurf, Copilot, task agents, remediation agents, or equivalent approved tools.</w:t>
      </w:r>
    </w:p>
    <w:p>
      <w:pPr>
        <w:pStyle w:val="ListBullet"/>
        <w:spacing w:after="40"/>
        <w:ind w:left="230"/>
      </w:pPr>
      <w:r>
        <w:rPr>
          <w:rFonts w:ascii="Aptos" w:hAnsi="Aptos"/>
          <w:sz w:val="17"/>
        </w:rPr>
        <w:t>All merge request evidence required to prove AVCI and Enterprise Design Principles compliance.</w:t>
      </w:r>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648"/>
            <w:shd w:fill="1F4E79"/>
            <w:tcMar>
              <w:top w:w="45" w:type="dxa"/>
              <w:start w:w="50" w:type="dxa"/>
              <w:bottom w:w="45" w:type="dxa"/>
              <w:end w:w="50" w:type="dxa"/>
            </w:tcMar>
          </w:tcPr>
          <w:p>
            <w:pPr>
              <w:spacing w:after="0"/>
              <w:jc w:val="center"/>
            </w:pPr>
            <w:r>
              <w:rPr>
                <w:rFonts w:ascii="Aptos" w:hAnsi="Aptos"/>
                <w:b/>
                <w:color w:val="FFFFFF"/>
                <w:sz w:val="13"/>
              </w:rPr>
              <w:t>Level</w:t>
            </w:r>
          </w:p>
        </w:tc>
        <w:tc>
          <w:tcPr>
            <w:tcW w:type="dxa" w:w="3671"/>
            <w:shd w:fill="1F4E79"/>
            <w:tcMar>
              <w:top w:w="45" w:type="dxa"/>
              <w:start w:w="50" w:type="dxa"/>
              <w:bottom w:w="45" w:type="dxa"/>
              <w:end w:w="50" w:type="dxa"/>
            </w:tcMar>
          </w:tcPr>
          <w:p>
            <w:pPr>
              <w:spacing w:after="0"/>
              <w:jc w:val="center"/>
            </w:pPr>
            <w:r>
              <w:rPr>
                <w:rFonts w:ascii="Aptos" w:hAnsi="Aptos"/>
                <w:b/>
                <w:color w:val="FFFFFF"/>
                <w:sz w:val="13"/>
              </w:rPr>
              <w:t>Document / Control</w:t>
            </w:r>
          </w:p>
        </w:tc>
        <w:tc>
          <w:tcPr>
            <w:tcW w:type="dxa" w:w="5400"/>
            <w:shd w:fill="1F4E79"/>
            <w:tcMar>
              <w:top w:w="45" w:type="dxa"/>
              <w:start w:w="50" w:type="dxa"/>
              <w:bottom w:w="45" w:type="dxa"/>
              <w:end w:w="50" w:type="dxa"/>
            </w:tcMar>
          </w:tcPr>
          <w:p>
            <w:pPr>
              <w:spacing w:after="0"/>
              <w:jc w:val="center"/>
            </w:pPr>
            <w:r>
              <w:rPr>
                <w:rFonts w:ascii="Aptos" w:hAnsi="Aptos"/>
                <w:b/>
                <w:color w:val="FFFFFF"/>
                <w:sz w:val="13"/>
              </w:rPr>
              <w:t>Authority Scope</w:t>
            </w:r>
          </w:p>
        </w:tc>
      </w:tr>
      <w:tr>
        <w:trPr>
          <w:cantSplit/>
        </w:trPr>
        <w:tc>
          <w:tcPr>
            <w:tcW w:type="dxa" w:w="648"/>
            <w:vAlign w:val="top"/>
            <w:tcMar>
              <w:top w:w="42" w:type="dxa"/>
              <w:start w:w="50" w:type="dxa"/>
              <w:bottom w:w="42" w:type="dxa"/>
              <w:end w:w="50" w:type="dxa"/>
            </w:tcMar>
          </w:tcPr>
          <w:p>
            <w:pPr>
              <w:spacing w:after="0" w:line="240" w:lineRule="auto"/>
            </w:pPr>
            <w:r>
              <w:rPr>
                <w:rFonts w:ascii="Aptos" w:hAnsi="Aptos"/>
                <w:sz w:val="13"/>
              </w:rPr>
              <w:t>L0</w:t>
            </w:r>
          </w:p>
        </w:tc>
        <w:tc>
          <w:tcPr>
            <w:tcW w:type="dxa" w:w="3671"/>
            <w:vAlign w:val="top"/>
            <w:tcMar>
              <w:top w:w="42" w:type="dxa"/>
              <w:start w:w="50" w:type="dxa"/>
              <w:bottom w:w="42" w:type="dxa"/>
              <w:end w:w="50" w:type="dxa"/>
            </w:tcMar>
          </w:tcPr>
          <w:p>
            <w:pPr>
              <w:spacing w:after="0" w:line="240" w:lineRule="auto"/>
            </w:pPr>
            <w:r>
              <w:rPr>
                <w:rFonts w:ascii="Aptos" w:hAnsi="Aptos"/>
                <w:sz w:val="13"/>
              </w:rPr>
              <w:t>AIRA Consolidated Architecture Authority / Architecture Board</w:t>
            </w:r>
          </w:p>
        </w:tc>
        <w:tc>
          <w:tcPr>
            <w:tcW w:type="dxa" w:w="5400"/>
            <w:vAlign w:val="top"/>
            <w:tcMar>
              <w:top w:w="42" w:type="dxa"/>
              <w:start w:w="50" w:type="dxa"/>
              <w:bottom w:w="42" w:type="dxa"/>
              <w:end w:w="50" w:type="dxa"/>
            </w:tcMar>
          </w:tcPr>
          <w:p>
            <w:pPr>
              <w:spacing w:after="0" w:line="240" w:lineRule="auto"/>
            </w:pPr>
            <w:r>
              <w:rPr>
                <w:rFonts w:ascii="Aptos" w:hAnsi="Aptos"/>
                <w:sz w:val="13"/>
              </w:rPr>
              <w:t>End-to-end architecture direction, major exceptions, and conflict resolution.</w:t>
            </w:r>
          </w:p>
        </w:tc>
      </w:tr>
      <w:tr>
        <w:trPr>
          <w:cantSplit/>
        </w:trPr>
        <w:tc>
          <w:tcPr>
            <w:tcW w:type="dxa" w:w="648"/>
            <w:vAlign w:val="top"/>
            <w:tcMar>
              <w:top w:w="42" w:type="dxa"/>
              <w:start w:w="50" w:type="dxa"/>
              <w:bottom w:w="42" w:type="dxa"/>
              <w:end w:w="50" w:type="dxa"/>
            </w:tcMar>
          </w:tcPr>
          <w:p>
            <w:pPr>
              <w:spacing w:after="0" w:line="240" w:lineRule="auto"/>
            </w:pPr>
            <w:r>
              <w:rPr>
                <w:rFonts w:ascii="Aptos" w:hAnsi="Aptos"/>
                <w:sz w:val="13"/>
              </w:rPr>
              <w:t>L1</w:t>
            </w:r>
          </w:p>
        </w:tc>
        <w:tc>
          <w:tcPr>
            <w:tcW w:type="dxa" w:w="3671"/>
            <w:vAlign w:val="top"/>
            <w:tcMar>
              <w:top w:w="42" w:type="dxa"/>
              <w:start w:w="50" w:type="dxa"/>
              <w:bottom w:w="42" w:type="dxa"/>
              <w:end w:w="50" w:type="dxa"/>
            </w:tcMar>
          </w:tcPr>
          <w:p>
            <w:pPr>
              <w:spacing w:after="0" w:line="240" w:lineRule="auto"/>
            </w:pPr>
            <w:r>
              <w:rPr>
                <w:rFonts w:ascii="Aptos" w:hAnsi="Aptos"/>
                <w:sz w:val="13"/>
              </w:rPr>
              <w:t>02-AIRA Engineering Blueprint v5.0</w:t>
            </w:r>
          </w:p>
        </w:tc>
        <w:tc>
          <w:tcPr>
            <w:tcW w:type="dxa" w:w="5400"/>
            <w:vAlign w:val="top"/>
            <w:tcMar>
              <w:top w:w="42" w:type="dxa"/>
              <w:start w:w="50" w:type="dxa"/>
              <w:bottom w:w="42" w:type="dxa"/>
              <w:end w:w="50" w:type="dxa"/>
            </w:tcMar>
          </w:tcPr>
          <w:p>
            <w:pPr>
              <w:spacing w:after="0" w:line="240" w:lineRule="auto"/>
            </w:pPr>
            <w:r>
              <w:rPr>
                <w:rFonts w:ascii="Aptos" w:hAnsi="Aptos"/>
                <w:sz w:val="13"/>
              </w:rPr>
              <w:t>Service boundaries, architecture invariants, workflow partition, model gateway, evidence model.</w:t>
            </w:r>
          </w:p>
        </w:tc>
      </w:tr>
      <w:tr>
        <w:trPr>
          <w:cantSplit/>
        </w:trPr>
        <w:tc>
          <w:tcPr>
            <w:tcW w:type="dxa" w:w="648"/>
            <w:vAlign w:val="top"/>
            <w:tcMar>
              <w:top w:w="42" w:type="dxa"/>
              <w:start w:w="50" w:type="dxa"/>
              <w:bottom w:w="42" w:type="dxa"/>
              <w:end w:w="50" w:type="dxa"/>
            </w:tcMar>
          </w:tcPr>
          <w:p>
            <w:pPr>
              <w:spacing w:after="0" w:line="240" w:lineRule="auto"/>
            </w:pPr>
            <w:r>
              <w:rPr>
                <w:rFonts w:ascii="Aptos" w:hAnsi="Aptos"/>
                <w:sz w:val="13"/>
              </w:rPr>
              <w:t>L1</w:t>
            </w:r>
          </w:p>
        </w:tc>
        <w:tc>
          <w:tcPr>
            <w:tcW w:type="dxa" w:w="3671"/>
            <w:vAlign w:val="top"/>
            <w:tcMar>
              <w:top w:w="42" w:type="dxa"/>
              <w:start w:w="50" w:type="dxa"/>
              <w:bottom w:w="42" w:type="dxa"/>
              <w:end w:w="50" w:type="dxa"/>
            </w:tcMar>
          </w:tcPr>
          <w:p>
            <w:pPr>
              <w:spacing w:after="0" w:line="240" w:lineRule="auto"/>
            </w:pPr>
            <w:r>
              <w:rPr>
                <w:rFonts w:ascii="Aptos" w:hAnsi="Aptos"/>
                <w:sz w:val="13"/>
              </w:rPr>
              <w:t>11-AIRA AI-Native DevSecOps Standard</w:t>
            </w:r>
          </w:p>
        </w:tc>
        <w:tc>
          <w:tcPr>
            <w:tcW w:type="dxa" w:w="5400"/>
            <w:vAlign w:val="top"/>
            <w:tcMar>
              <w:top w:w="42" w:type="dxa"/>
              <w:start w:w="50" w:type="dxa"/>
              <w:bottom w:w="42" w:type="dxa"/>
              <w:end w:w="50" w:type="dxa"/>
            </w:tcMar>
          </w:tcPr>
          <w:p>
            <w:pPr>
              <w:spacing w:after="0" w:line="240" w:lineRule="auto"/>
            </w:pPr>
            <w:r>
              <w:rPr>
                <w:rFonts w:ascii="Aptos" w:hAnsi="Aptos"/>
                <w:sz w:val="13"/>
              </w:rPr>
              <w:t>Operating discipline, lifecycle gates, CI/CD, release, deployment, and AI execution model.</w:t>
            </w:r>
          </w:p>
        </w:tc>
      </w:tr>
      <w:tr>
        <w:trPr>
          <w:cantSplit/>
        </w:trPr>
        <w:tc>
          <w:tcPr>
            <w:tcW w:type="dxa" w:w="648"/>
            <w:vAlign w:val="top"/>
            <w:tcMar>
              <w:top w:w="42" w:type="dxa"/>
              <w:start w:w="50" w:type="dxa"/>
              <w:bottom w:w="42" w:type="dxa"/>
              <w:end w:w="50" w:type="dxa"/>
            </w:tcMar>
          </w:tcPr>
          <w:p>
            <w:pPr>
              <w:spacing w:after="0" w:line="240" w:lineRule="auto"/>
            </w:pPr>
            <w:r>
              <w:rPr>
                <w:rFonts w:ascii="Aptos" w:hAnsi="Aptos"/>
                <w:sz w:val="13"/>
              </w:rPr>
              <w:t>L2</w:t>
            </w:r>
          </w:p>
        </w:tc>
        <w:tc>
          <w:tcPr>
            <w:tcW w:type="dxa" w:w="3671"/>
            <w:vAlign w:val="top"/>
            <w:tcMar>
              <w:top w:w="42" w:type="dxa"/>
              <w:start w:w="50" w:type="dxa"/>
              <w:bottom w:w="42" w:type="dxa"/>
              <w:end w:w="50" w:type="dxa"/>
            </w:tcMar>
          </w:tcPr>
          <w:p>
            <w:pPr>
              <w:spacing w:after="0" w:line="240" w:lineRule="auto"/>
            </w:pPr>
            <w:r>
              <w:rPr>
                <w:rFonts w:ascii="Aptos" w:hAnsi="Aptos"/>
                <w:sz w:val="13"/>
              </w:rPr>
              <w:t>01-AIRA AVCI Engineering Standard v3.0</w:t>
            </w:r>
          </w:p>
        </w:tc>
        <w:tc>
          <w:tcPr>
            <w:tcW w:type="dxa" w:w="5400"/>
            <w:vAlign w:val="top"/>
            <w:tcMar>
              <w:top w:w="42" w:type="dxa"/>
              <w:start w:w="50" w:type="dxa"/>
              <w:bottom w:w="42" w:type="dxa"/>
              <w:end w:w="50" w:type="dxa"/>
            </w:tcMar>
          </w:tcPr>
          <w:p>
            <w:pPr>
              <w:spacing w:after="0" w:line="240" w:lineRule="auto"/>
            </w:pPr>
            <w:r>
              <w:rPr>
                <w:rFonts w:ascii="Aptos" w:hAnsi="Aptos"/>
                <w:sz w:val="13"/>
              </w:rPr>
              <w:t>Universal quality gate for every artifact and AI-assisted output.</w:t>
            </w:r>
          </w:p>
        </w:tc>
      </w:tr>
      <w:tr>
        <w:trPr>
          <w:cantSplit/>
        </w:trPr>
        <w:tc>
          <w:tcPr>
            <w:tcW w:type="dxa" w:w="648"/>
            <w:vAlign w:val="top"/>
            <w:tcMar>
              <w:top w:w="42" w:type="dxa"/>
              <w:start w:w="50" w:type="dxa"/>
              <w:bottom w:w="42" w:type="dxa"/>
              <w:end w:w="50" w:type="dxa"/>
            </w:tcMar>
          </w:tcPr>
          <w:p>
            <w:pPr>
              <w:spacing w:after="0" w:line="240" w:lineRule="auto"/>
            </w:pPr>
            <w:r>
              <w:rPr>
                <w:rFonts w:ascii="Aptos" w:hAnsi="Aptos"/>
                <w:sz w:val="13"/>
              </w:rPr>
              <w:t>L2</w:t>
            </w:r>
          </w:p>
        </w:tc>
        <w:tc>
          <w:tcPr>
            <w:tcW w:type="dxa" w:w="3671"/>
            <w:vAlign w:val="top"/>
            <w:tcMar>
              <w:top w:w="42" w:type="dxa"/>
              <w:start w:w="50" w:type="dxa"/>
              <w:bottom w:w="42" w:type="dxa"/>
              <w:end w:w="50" w:type="dxa"/>
            </w:tcMar>
          </w:tcPr>
          <w:p>
            <w:pPr>
              <w:spacing w:after="0" w:line="240" w:lineRule="auto"/>
            </w:pPr>
            <w:r>
              <w:rPr>
                <w:rFonts w:ascii="Aptos" w:hAnsi="Aptos"/>
                <w:sz w:val="13"/>
              </w:rPr>
              <w:t>01A Enterprise Design Principles and SOLID Enforcement Layer</w:t>
            </w:r>
          </w:p>
        </w:tc>
        <w:tc>
          <w:tcPr>
            <w:tcW w:type="dxa" w:w="5400"/>
            <w:vAlign w:val="top"/>
            <w:tcMar>
              <w:top w:w="42" w:type="dxa"/>
              <w:start w:w="50" w:type="dxa"/>
              <w:bottom w:w="42" w:type="dxa"/>
              <w:end w:w="50" w:type="dxa"/>
            </w:tcMar>
          </w:tcPr>
          <w:p>
            <w:pPr>
              <w:spacing w:after="0" w:line="240" w:lineRule="auto"/>
            </w:pPr>
            <w:r>
              <w:rPr>
                <w:rFonts w:ascii="Aptos" w:hAnsi="Aptos"/>
                <w:sz w:val="13"/>
              </w:rPr>
              <w:t>Canonical definition of the 20 enterprise design principles and enforcement expectations.</w:t>
            </w:r>
          </w:p>
        </w:tc>
      </w:tr>
      <w:tr>
        <w:trPr>
          <w:cantSplit/>
        </w:trPr>
        <w:tc>
          <w:tcPr>
            <w:tcW w:type="dxa" w:w="648"/>
            <w:vAlign w:val="top"/>
            <w:tcMar>
              <w:top w:w="42" w:type="dxa"/>
              <w:start w:w="50" w:type="dxa"/>
              <w:bottom w:w="42" w:type="dxa"/>
              <w:end w:w="50" w:type="dxa"/>
            </w:tcMar>
          </w:tcPr>
          <w:p>
            <w:pPr>
              <w:spacing w:after="0" w:line="240" w:lineRule="auto"/>
            </w:pPr>
            <w:r>
              <w:rPr>
                <w:rFonts w:ascii="Aptos" w:hAnsi="Aptos"/>
                <w:sz w:val="13"/>
              </w:rPr>
              <w:t>L3</w:t>
            </w:r>
          </w:p>
        </w:tc>
        <w:tc>
          <w:tcPr>
            <w:tcW w:type="dxa" w:w="3671"/>
            <w:vAlign w:val="top"/>
            <w:tcMar>
              <w:top w:w="42" w:type="dxa"/>
              <w:start w:w="50" w:type="dxa"/>
              <w:bottom w:w="42" w:type="dxa"/>
              <w:end w:w="50" w:type="dxa"/>
            </w:tcMar>
          </w:tcPr>
          <w:p>
            <w:pPr>
              <w:spacing w:after="0" w:line="240" w:lineRule="auto"/>
            </w:pPr>
            <w:r>
              <w:rPr>
                <w:rFonts w:ascii="Aptos" w:hAnsi="Aptos"/>
                <w:sz w:val="13"/>
              </w:rPr>
              <w:t>This CLAUDE.md Reference</w:t>
            </w:r>
          </w:p>
        </w:tc>
        <w:tc>
          <w:tcPr>
            <w:tcW w:type="dxa" w:w="5400"/>
            <w:vAlign w:val="top"/>
            <w:tcMar>
              <w:top w:w="42" w:type="dxa"/>
              <w:start w:w="50" w:type="dxa"/>
              <w:bottom w:w="42" w:type="dxa"/>
              <w:end w:w="50" w:type="dxa"/>
            </w:tcMar>
          </w:tcPr>
          <w:p>
            <w:pPr>
              <w:spacing w:after="0" w:line="240" w:lineRule="auto"/>
            </w:pPr>
            <w:r>
              <w:rPr>
                <w:rFonts w:ascii="Aptos" w:hAnsi="Aptos"/>
                <w:sz w:val="13"/>
              </w:rPr>
              <w:t>Repository rules of engagement for human and AI-assisted changes.</w:t>
            </w:r>
          </w:p>
        </w:tc>
      </w:tr>
      <w:tr>
        <w:trPr>
          <w:cantSplit/>
        </w:trPr>
        <w:tc>
          <w:tcPr>
            <w:tcW w:type="dxa" w:w="648"/>
            <w:vAlign w:val="top"/>
            <w:tcMar>
              <w:top w:w="42" w:type="dxa"/>
              <w:start w:w="50" w:type="dxa"/>
              <w:bottom w:w="42" w:type="dxa"/>
              <w:end w:w="50" w:type="dxa"/>
            </w:tcMar>
          </w:tcPr>
          <w:p>
            <w:pPr>
              <w:spacing w:after="0" w:line="240" w:lineRule="auto"/>
            </w:pPr>
            <w:r>
              <w:rPr>
                <w:rFonts w:ascii="Aptos" w:hAnsi="Aptos"/>
                <w:sz w:val="13"/>
              </w:rPr>
              <w:t>L4</w:t>
            </w:r>
          </w:p>
        </w:tc>
        <w:tc>
          <w:tcPr>
            <w:tcW w:type="dxa" w:w="3671"/>
            <w:vAlign w:val="top"/>
            <w:tcMar>
              <w:top w:w="42" w:type="dxa"/>
              <w:start w:w="50" w:type="dxa"/>
              <w:bottom w:w="42" w:type="dxa"/>
              <w:end w:w="50" w:type="dxa"/>
            </w:tcMar>
          </w:tcPr>
          <w:p>
            <w:pPr>
              <w:spacing w:after="0" w:line="240" w:lineRule="auto"/>
            </w:pPr>
            <w:r>
              <w:rPr>
                <w:rFonts w:ascii="Aptos" w:hAnsi="Aptos"/>
                <w:sz w:val="13"/>
              </w:rPr>
              <w:t>Repository CLAUDE.md, lock files, pre-commit, CI, CODEOWNERS, OPA, Harness</w:t>
            </w:r>
          </w:p>
        </w:tc>
        <w:tc>
          <w:tcPr>
            <w:tcW w:type="dxa" w:w="5400"/>
            <w:vAlign w:val="top"/>
            <w:tcMar>
              <w:top w:w="42" w:type="dxa"/>
              <w:start w:w="50" w:type="dxa"/>
              <w:bottom w:w="42" w:type="dxa"/>
              <w:end w:w="50" w:type="dxa"/>
            </w:tcMar>
          </w:tcPr>
          <w:p>
            <w:pPr>
              <w:spacing w:after="0" w:line="240" w:lineRule="auto"/>
            </w:pPr>
            <w:r>
              <w:rPr>
                <w:rFonts w:ascii="Aptos" w:hAnsi="Aptos"/>
                <w:sz w:val="13"/>
              </w:rPr>
              <w:t>Executable enforcement of the approved rules.</w:t>
            </w:r>
          </w:p>
        </w:tc>
      </w:tr>
    </w:tbl>
    <w:p/>
    <w:tbl>
      <w:tblPr>
        <w:tblStyle w:val="TableGrid"/>
        <w:tblW w:type="auto" w:w="0"/>
        <w:jc w:val="center"/>
        <w:tblLook w:firstColumn="1" w:firstRow="1" w:lastColumn="0" w:lastRow="0" w:noHBand="0" w:noVBand="1" w:val="04A0"/>
      </w:tblPr>
      <w:tblGrid>
        <w:gridCol w:w="10454"/>
      </w:tblGrid>
      <w:tr>
        <w:tc>
          <w:tcPr>
            <w:tcW w:type="dxa" w:w="10454"/>
            <w:shd w:fill="FFF2CC"/>
            <w:tcMar>
              <w:top w:w="125" w:type="dxa"/>
              <w:start w:w="145" w:type="dxa"/>
              <w:bottom w:w="125" w:type="dxa"/>
              <w:end w:w="145" w:type="dxa"/>
            </w:tcMar>
          </w:tcPr>
          <w:p>
            <w:pPr>
              <w:spacing w:after="60"/>
            </w:pPr>
            <w:r>
              <w:rPr>
                <w:rFonts w:ascii="Aptos" w:hAnsi="Aptos"/>
                <w:b/>
                <w:color w:val="7F6000"/>
                <w:sz w:val="18"/>
              </w:rPr>
              <w:t>Conflict Rule</w:t>
            </w:r>
          </w:p>
          <w:p>
            <w:pPr>
              <w:spacing w:after="0"/>
            </w:pPr>
            <w:r>
              <w:rPr>
                <w:rFonts w:ascii="Aptos" w:hAnsi="Aptos"/>
                <w:sz w:val="17"/>
              </w:rPr>
              <w:t>Application repositories may tighten the AIRA rule set but must not weaken it. If a directory-specific rule conflicts with a parent rule, the stricter rule prevails. If a CLAUDE.md file conflicts with the Engineering Blueprint, AVCI Standard, 01A, or Security Standard, the higher-authority standard prevails and the repository rule must be corrected.</w:t>
            </w:r>
          </w:p>
        </w:tc>
      </w:tr>
    </w:tbl>
    <w:p/>
    <w:p>
      <w:pPr>
        <w:pStyle w:val="Heading1"/>
        <w:keepNext/>
        <w:spacing w:before="160" w:after="80"/>
      </w:pPr>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520"/>
            <w:shd w:fill="1F4E79"/>
            <w:tcMar>
              <w:top w:w="45" w:type="dxa"/>
              <w:start w:w="50" w:type="dxa"/>
              <w:bottom w:w="45" w:type="dxa"/>
              <w:end w:w="50" w:type="dxa"/>
            </w:tcMar>
          </w:tcPr>
          <w:p>
            <w:pPr>
              <w:spacing w:after="0"/>
              <w:jc w:val="center"/>
            </w:pPr>
            <w:r>
              <w:rPr>
                <w:rFonts w:ascii="Aptos" w:hAnsi="Aptos"/>
                <w:b/>
                <w:color w:val="FFFFFF"/>
                <w:sz w:val="13"/>
              </w:rPr>
              <w:t>Rule</w:t>
            </w:r>
          </w:p>
        </w:tc>
        <w:tc>
          <w:tcPr>
            <w:tcW w:type="dxa" w:w="7200"/>
            <w:shd w:fill="1F4E79"/>
            <w:tcMar>
              <w:top w:w="45" w:type="dxa"/>
              <w:start w:w="50" w:type="dxa"/>
              <w:bottom w:w="45" w:type="dxa"/>
              <w:end w:w="50" w:type="dxa"/>
            </w:tcMar>
          </w:tcPr>
          <w:p>
            <w:pPr>
              <w:spacing w:after="0"/>
              <w:jc w:val="center"/>
            </w:pPr>
            <w:r>
              <w:rPr>
                <w:rFonts w:ascii="Aptos" w:hAnsi="Aptos"/>
                <w:b/>
                <w:color w:val="FFFFFF"/>
                <w:sz w:val="13"/>
              </w:rPr>
              <w:t>Requirement</w:t>
            </w:r>
          </w:p>
        </w:tc>
      </w:tr>
      <w:tr>
        <w:trPr>
          <w:cantSplit/>
        </w:trPr>
        <w:tc>
          <w:tcPr>
            <w:tcW w:type="dxa" w:w="2520"/>
            <w:vAlign w:val="top"/>
            <w:tcMar>
              <w:top w:w="42" w:type="dxa"/>
              <w:start w:w="50" w:type="dxa"/>
              <w:bottom w:w="42" w:type="dxa"/>
              <w:end w:w="50" w:type="dxa"/>
            </w:tcMar>
          </w:tcPr>
          <w:p>
            <w:pPr>
              <w:spacing w:after="0" w:line="240" w:lineRule="auto"/>
            </w:pPr>
            <w:r>
              <w:rPr>
                <w:rFonts w:ascii="Aptos" w:hAnsi="Aptos"/>
                <w:sz w:val="13"/>
              </w:rPr>
              <w:t>Root baseline</w:t>
            </w:r>
          </w:p>
        </w:tc>
        <w:tc>
          <w:tcPr>
            <w:tcW w:type="dxa" w:w="7200"/>
            <w:vAlign w:val="top"/>
            <w:tcMar>
              <w:top w:w="42" w:type="dxa"/>
              <w:start w:w="50" w:type="dxa"/>
              <w:bottom w:w="42" w:type="dxa"/>
              <w:end w:w="50" w:type="dxa"/>
            </w:tcMar>
          </w:tcPr>
          <w:p>
            <w:pPr>
              <w:spacing w:after="0" w:line="240" w:lineRule="auto"/>
            </w:pPr>
            <w:r>
              <w:rPr>
                <w:rFonts w:ascii="Aptos" w:hAnsi="Aptos"/>
                <w:sz w:val="13"/>
              </w:rPr>
              <w:t>The root CLAUDE.md applies to every file in the repository.</w:t>
            </w:r>
          </w:p>
        </w:tc>
      </w:tr>
      <w:tr>
        <w:trPr>
          <w:cantSplit/>
        </w:trPr>
        <w:tc>
          <w:tcPr>
            <w:tcW w:type="dxa" w:w="2520"/>
            <w:vAlign w:val="top"/>
            <w:tcMar>
              <w:top w:w="42" w:type="dxa"/>
              <w:start w:w="50" w:type="dxa"/>
              <w:bottom w:w="42" w:type="dxa"/>
              <w:end w:w="50" w:type="dxa"/>
            </w:tcMar>
          </w:tcPr>
          <w:p>
            <w:pPr>
              <w:spacing w:after="0" w:line="240" w:lineRule="auto"/>
            </w:pPr>
            <w:r>
              <w:rPr>
                <w:rFonts w:ascii="Aptos" w:hAnsi="Aptos"/>
                <w:sz w:val="13"/>
              </w:rPr>
              <w:t>Subdirectory hardening</w:t>
            </w:r>
          </w:p>
        </w:tc>
        <w:tc>
          <w:tcPr>
            <w:tcW w:type="dxa" w:w="7200"/>
            <w:vAlign w:val="top"/>
            <w:tcMar>
              <w:top w:w="42" w:type="dxa"/>
              <w:start w:w="50" w:type="dxa"/>
              <w:bottom w:w="42" w:type="dxa"/>
              <w:end w:w="50" w:type="dxa"/>
            </w:tcMar>
          </w:tcPr>
          <w:p>
            <w:pPr>
              <w:spacing w:after="0" w:line="240" w:lineRule="auto"/>
            </w:pPr>
            <w:r>
              <w:rPr>
                <w:rFonts w:ascii="Aptos" w:hAnsi="Aptos"/>
                <w:sz w:val="13"/>
              </w:rPr>
              <w:t>High-risk directories must contain their own CLAUDE.md with stricter rules.</w:t>
            </w:r>
          </w:p>
        </w:tc>
      </w:tr>
      <w:tr>
        <w:trPr>
          <w:cantSplit/>
        </w:trPr>
        <w:tc>
          <w:tcPr>
            <w:tcW w:type="dxa" w:w="2520"/>
            <w:vAlign w:val="top"/>
            <w:tcMar>
              <w:top w:w="42" w:type="dxa"/>
              <w:start w:w="50" w:type="dxa"/>
              <w:bottom w:w="42" w:type="dxa"/>
              <w:end w:w="50" w:type="dxa"/>
            </w:tcMar>
          </w:tcPr>
          <w:p>
            <w:pPr>
              <w:spacing w:after="0" w:line="240" w:lineRule="auto"/>
            </w:pPr>
            <w:r>
              <w:rPr>
                <w:rFonts w:ascii="Aptos" w:hAnsi="Aptos"/>
                <w:sz w:val="13"/>
              </w:rPr>
              <w:t>Nearest file wins only if stricter</w:t>
            </w:r>
          </w:p>
        </w:tc>
        <w:tc>
          <w:tcPr>
            <w:tcW w:type="dxa" w:w="7200"/>
            <w:vAlign w:val="top"/>
            <w:tcMar>
              <w:top w:w="42" w:type="dxa"/>
              <w:start w:w="50" w:type="dxa"/>
              <w:bottom w:w="42" w:type="dxa"/>
              <w:end w:w="50" w:type="dxa"/>
            </w:tcMar>
          </w:tcPr>
          <w:p>
            <w:pPr>
              <w:spacing w:after="0" w:line="240" w:lineRule="auto"/>
            </w:pPr>
            <w:r>
              <w:rPr>
                <w:rFonts w:ascii="Aptos" w:hAnsi="Aptos"/>
                <w:sz w:val="13"/>
              </w:rPr>
              <w:t>Apply root plus every parent plus nearest file. A child rule cannot relax a parent rule.</w:t>
            </w:r>
          </w:p>
        </w:tc>
      </w:tr>
      <w:tr>
        <w:trPr>
          <w:cantSplit/>
        </w:trPr>
        <w:tc>
          <w:tcPr>
            <w:tcW w:type="dxa" w:w="2520"/>
            <w:vAlign w:val="top"/>
            <w:tcMar>
              <w:top w:w="42" w:type="dxa"/>
              <w:start w:w="50" w:type="dxa"/>
              <w:bottom w:w="42" w:type="dxa"/>
              <w:end w:w="50" w:type="dxa"/>
            </w:tcMar>
          </w:tcPr>
          <w:p>
            <w:pPr>
              <w:spacing w:after="0" w:line="240" w:lineRule="auto"/>
            </w:pPr>
            <w:r>
              <w:rPr>
                <w:rFonts w:ascii="Aptos" w:hAnsi="Aptos"/>
                <w:sz w:val="13"/>
              </w:rPr>
              <w:t>More restrictive prevails</w:t>
            </w:r>
          </w:p>
        </w:tc>
        <w:tc>
          <w:tcPr>
            <w:tcW w:type="dxa" w:w="7200"/>
            <w:vAlign w:val="top"/>
            <w:tcMar>
              <w:top w:w="42" w:type="dxa"/>
              <w:start w:w="50" w:type="dxa"/>
              <w:bottom w:w="42" w:type="dxa"/>
              <w:end w:w="50" w:type="dxa"/>
            </w:tcMar>
          </w:tcPr>
          <w:p>
            <w:pPr>
              <w:spacing w:after="0" w:line="240" w:lineRule="auto"/>
            </w:pPr>
            <w:r>
              <w:rPr>
                <w:rFonts w:ascii="Aptos" w:hAnsi="Aptos"/>
                <w:sz w:val="13"/>
              </w:rPr>
              <w:t>Security, compliance, audit, AI, data, model, test, and production-risk conflicts resolve to the stricter rule.</w:t>
            </w:r>
          </w:p>
        </w:tc>
      </w:tr>
      <w:tr>
        <w:trPr>
          <w:cantSplit/>
        </w:trPr>
        <w:tc>
          <w:tcPr>
            <w:tcW w:type="dxa" w:w="2520"/>
            <w:vAlign w:val="top"/>
            <w:tcMar>
              <w:top w:w="42" w:type="dxa"/>
              <w:start w:w="50" w:type="dxa"/>
              <w:bottom w:w="42" w:type="dxa"/>
              <w:end w:w="50" w:type="dxa"/>
            </w:tcMar>
          </w:tcPr>
          <w:p>
            <w:pPr>
              <w:spacing w:after="0" w:line="240" w:lineRule="auto"/>
            </w:pPr>
            <w:r>
              <w:rPr>
                <w:rFonts w:ascii="Aptos" w:hAnsi="Aptos"/>
                <w:sz w:val="13"/>
              </w:rPr>
              <w:t>No silent exceptions</w:t>
            </w:r>
          </w:p>
        </w:tc>
        <w:tc>
          <w:tcPr>
            <w:tcW w:type="dxa" w:w="7200"/>
            <w:vAlign w:val="top"/>
            <w:tcMar>
              <w:top w:w="42" w:type="dxa"/>
              <w:start w:w="50" w:type="dxa"/>
              <w:bottom w:w="42" w:type="dxa"/>
              <w:end w:w="50" w:type="dxa"/>
            </w:tcMar>
          </w:tcPr>
          <w:p>
            <w:pPr>
              <w:spacing w:after="0" w:line="240" w:lineRule="auto"/>
            </w:pPr>
            <w:r>
              <w:rPr>
                <w:rFonts w:ascii="Aptos" w:hAnsi="Aptos"/>
                <w:sz w:val="13"/>
              </w:rPr>
              <w:t>Waivers require ticket, owner, expiry, risk acceptance, approver, and remediation plan.</w:t>
            </w:r>
          </w:p>
        </w:tc>
      </w:tr>
      <w:tr>
        <w:trPr>
          <w:cantSplit/>
        </w:trPr>
        <w:tc>
          <w:tcPr>
            <w:tcW w:type="dxa" w:w="2520"/>
            <w:vAlign w:val="top"/>
            <w:tcMar>
              <w:top w:w="42" w:type="dxa"/>
              <w:start w:w="50" w:type="dxa"/>
              <w:bottom w:w="42" w:type="dxa"/>
              <w:end w:w="50" w:type="dxa"/>
            </w:tcMar>
          </w:tcPr>
          <w:p>
            <w:pPr>
              <w:spacing w:after="0" w:line="240" w:lineRule="auto"/>
            </w:pPr>
            <w:r>
              <w:rPr>
                <w:rFonts w:ascii="Aptos" w:hAnsi="Aptos"/>
                <w:sz w:val="13"/>
              </w:rPr>
              <w:t>Machine-readable lock</w:t>
            </w:r>
          </w:p>
        </w:tc>
        <w:tc>
          <w:tcPr>
            <w:tcW w:type="dxa" w:w="7200"/>
            <w:vAlign w:val="top"/>
            <w:tcMar>
              <w:top w:w="42" w:type="dxa"/>
              <w:start w:w="50" w:type="dxa"/>
              <w:bottom w:w="42" w:type="dxa"/>
              <w:end w:w="50" w:type="dxa"/>
            </w:tcMar>
          </w:tcPr>
          <w:p>
            <w:pPr>
              <w:spacing w:after="0" w:line="240" w:lineRule="auto"/>
            </w:pPr>
            <w:r>
              <w:rPr>
                <w:rFonts w:ascii="Aptos" w:hAnsi="Aptos"/>
                <w:sz w:val="13"/>
              </w:rPr>
              <w:t>The compiled rule set is version-locked using .claude-md.lock or the approved AIRA equivalent.</w:t>
            </w:r>
          </w:p>
        </w:tc>
      </w:tr>
      <w:tr>
        <w:trPr>
          <w:cantSplit/>
        </w:trPr>
        <w:tc>
          <w:tcPr>
            <w:tcW w:type="dxa" w:w="2520"/>
            <w:vAlign w:val="top"/>
            <w:tcMar>
              <w:top w:w="42" w:type="dxa"/>
              <w:start w:w="50" w:type="dxa"/>
              <w:bottom w:w="42" w:type="dxa"/>
              <w:end w:w="50" w:type="dxa"/>
            </w:tcMar>
          </w:tcPr>
          <w:p>
            <w:pPr>
              <w:spacing w:after="0" w:line="240" w:lineRule="auto"/>
            </w:pPr>
            <w:r>
              <w:rPr>
                <w:rFonts w:ascii="Aptos" w:hAnsi="Aptos"/>
                <w:sz w:val="13"/>
              </w:rPr>
              <w:t>Generated adapters only</w:t>
            </w:r>
          </w:p>
        </w:tc>
        <w:tc>
          <w:tcPr>
            <w:tcW w:type="dxa" w:w="7200"/>
            <w:vAlign w:val="top"/>
            <w:tcMar>
              <w:top w:w="42" w:type="dxa"/>
              <w:start w:w="50" w:type="dxa"/>
              <w:bottom w:w="42" w:type="dxa"/>
              <w:end w:w="50" w:type="dxa"/>
            </w:tcMar>
          </w:tcPr>
          <w:p>
            <w:pPr>
              <w:spacing w:after="0" w:line="240" w:lineRule="auto"/>
            </w:pPr>
            <w:r>
              <w:rPr>
                <w:rFonts w:ascii="Aptos" w:hAnsi="Aptos"/>
                <w:sz w:val="13"/>
              </w:rPr>
              <w:t>Tool-specific instructions must be generated from the canonical CLAUDE.md source and reviewed like code.</w:t>
            </w:r>
          </w:p>
        </w:tc>
      </w:tr>
    </w:tbl>
    <w:p/>
    <w:p>
      <w:pPr>
        <w:pStyle w:val="Heading2"/>
        <w:keepNext/>
        <w:spacing w:before="100" w:after="80"/>
      </w:pPr>
    </w:p>
    <w:p>
      <w:pPr>
        <w:spacing w:after="40"/>
      </w:pPr>
      <w:r>
        <w:rPr>
          <w:rFonts w:ascii="Aptos" w:hAnsi="Aptos"/>
          <w:b/>
          <w:color w:val="1F4E79"/>
          <w:sz w:val="17"/>
        </w:rPr>
        <w:t>Repository Rule Layout</w:t>
      </w:r>
    </w:p>
    <w:tbl>
      <w:tblPr>
        <w:tblStyle w:val="TableGrid"/>
        <w:tblW w:type="auto" w:w="0"/>
        <w:tblLook w:firstColumn="1" w:firstRow="1" w:lastColumn="0" w:lastRow="0" w:noHBand="0" w:noVBand="1" w:val="04A0"/>
      </w:tblPr>
      <w:tblGrid>
        <w:gridCol w:w="10454"/>
      </w:tblGrid>
      <w:tr>
        <w:tc>
          <w:tcPr>
            <w:tcW w:type="dxa" w:w="10454"/>
            <w:shd w:fill="F4F6F7"/>
            <w:tcMar>
              <w:top w:w="70" w:type="dxa"/>
              <w:start w:w="85" w:type="dxa"/>
              <w:bottom w:w="70" w:type="dxa"/>
              <w:end w:w="85" w:type="dxa"/>
            </w:tcMar>
          </w:tcPr>
          <w:p>
            <w:pPr>
              <w:spacing w:after="0"/>
            </w:pPr>
            <w:r>
              <w:rPr>
                <w:rFonts w:ascii="Courier New" w:hAnsi="Courier New"/>
                <w:color w:val="333333"/>
                <w:sz w:val="12"/>
              </w:rPr>
              <w:t>aira-platform/</w:t>
            </w:r>
            <w:r>
              <w:br/>
            </w:r>
            <w:r>
              <w:rPr>
                <w:rFonts w:ascii="Courier New" w:hAnsi="Courier New"/>
                <w:color w:val="333333"/>
                <w:sz w:val="12"/>
              </w:rPr>
              <w:t xml:space="preserve">  CLAUDE.md                         # Global baseline</w:t>
            </w:r>
            <w:r>
              <w:br/>
            </w:r>
            <w:r>
              <w:rPr>
                <w:rFonts w:ascii="Courier New" w:hAnsi="Courier New"/>
                <w:color w:val="333333"/>
                <w:sz w:val="12"/>
              </w:rPr>
              <w:t xml:space="preserve">  .claude-md.lock                   # Version-locked compiled rule set</w:t>
            </w:r>
            <w:r>
              <w:br/>
            </w:r>
            <w:r>
              <w:rPr>
                <w:rFonts w:ascii="Courier New" w:hAnsi="Courier New"/>
                <w:color w:val="333333"/>
                <w:sz w:val="12"/>
              </w:rPr>
              <w:t xml:space="preserve">  .pre-commit-config.yaml           # Local deterministic enforcement</w:t>
            </w:r>
            <w:r>
              <w:br/>
            </w:r>
            <w:r>
              <w:rPr>
                <w:rFonts w:ascii="Courier New" w:hAnsi="Courier New"/>
                <w:color w:val="333333"/>
                <w:sz w:val="12"/>
              </w:rPr>
              <w:t xml:space="preserve">  .github/ or .gitlab/              # CI enforcement and MR templates</w:t>
            </w:r>
            <w:r>
              <w:br/>
            </w:r>
            <w:r>
              <w:rPr>
                <w:rFonts w:ascii="Courier New" w:hAnsi="Courier New"/>
                <w:color w:val="333333"/>
                <w:sz w:val="12"/>
              </w:rPr>
              <w:t xml:space="preserve">  services/</w:t>
            </w:r>
            <w:r>
              <w:br/>
            </w:r>
            <w:r>
              <w:rPr>
                <w:rFonts w:ascii="Courier New" w:hAnsi="Courier New"/>
                <w:color w:val="333333"/>
                <w:sz w:val="12"/>
              </w:rPr>
              <w:t xml:space="preserve">    orchestrator-service/CLAUDE.md  # AI orchestration hardening</w:t>
            </w:r>
            <w:r>
              <w:br/>
            </w:r>
            <w:r>
              <w:rPr>
                <w:rFonts w:ascii="Courier New" w:hAnsi="Courier New"/>
                <w:color w:val="333333"/>
                <w:sz w:val="12"/>
              </w:rPr>
              <w:t xml:space="preserve">    retrieval-service/CLAUDE.md     # Retrieval, citations, and evidence hardening</w:t>
            </w:r>
            <w:r>
              <w:br/>
            </w:r>
            <w:r>
              <w:rPr>
                <w:rFonts w:ascii="Courier New" w:hAnsi="Courier New"/>
                <w:color w:val="333333"/>
                <w:sz w:val="12"/>
              </w:rPr>
              <w:t xml:space="preserve">    harness-service/CLAUDE.md       # Agent execution boundary hardening</w:t>
            </w:r>
            <w:r>
              <w:br/>
            </w:r>
            <w:r>
              <w:rPr>
                <w:rFonts w:ascii="Courier New" w:hAnsi="Courier New"/>
                <w:color w:val="333333"/>
                <w:sz w:val="12"/>
              </w:rPr>
              <w:t xml:space="preserve">    workflow-service/CLAUDE.md      # Temporal and Flowable partition rules</w:t>
            </w:r>
            <w:r>
              <w:br/>
            </w:r>
            <w:r>
              <w:rPr>
                <w:rFonts w:ascii="Courier New" w:hAnsi="Courier New"/>
                <w:color w:val="333333"/>
                <w:sz w:val="12"/>
              </w:rPr>
              <w:t xml:space="preserve">  libs/</w:t>
            </w:r>
            <w:r>
              <w:br/>
            </w:r>
            <w:r>
              <w:rPr>
                <w:rFonts w:ascii="Courier New" w:hAnsi="Courier New"/>
                <w:color w:val="333333"/>
                <w:sz w:val="12"/>
              </w:rPr>
              <w:t xml:space="preserve">    aira-security/CLAUDE.md         # IAM, token, mTLS, RLS hardening</w:t>
            </w:r>
            <w:r>
              <w:br/>
            </w:r>
            <w:r>
              <w:rPr>
                <w:rFonts w:ascii="Courier New" w:hAnsi="Courier New"/>
                <w:color w:val="333333"/>
                <w:sz w:val="12"/>
              </w:rPr>
              <w:t xml:space="preserve">  infra/</w:t>
            </w:r>
            <w:r>
              <w:br/>
            </w:r>
            <w:r>
              <w:rPr>
                <w:rFonts w:ascii="Courier New" w:hAnsi="Courier New"/>
                <w:color w:val="333333"/>
                <w:sz w:val="12"/>
              </w:rPr>
              <w:t xml:space="preserve">    kubernetes/CLAUDE.md            # GitOps and cluster hardening</w:t>
            </w:r>
            <w:r>
              <w:br/>
            </w:r>
            <w:r>
              <w:rPr>
                <w:rFonts w:ascii="Courier New" w:hAnsi="Courier New"/>
                <w:color w:val="333333"/>
                <w:sz w:val="12"/>
              </w:rPr>
              <w:t xml:space="preserve">    flyway/CLAUDE.md                # Database migration hardening</w:t>
            </w:r>
            <w:r>
              <w:br/>
            </w:r>
            <w:r>
              <w:rPr>
                <w:rFonts w:ascii="Courier New" w:hAnsi="Courier New"/>
                <w:color w:val="333333"/>
                <w:sz w:val="12"/>
              </w:rPr>
              <w:t xml:space="preserve">  ai/</w:t>
            </w:r>
            <w:r>
              <w:br/>
            </w:r>
            <w:r>
              <w:rPr>
                <w:rFonts w:ascii="Courier New" w:hAnsi="Courier New"/>
                <w:color w:val="333333"/>
                <w:sz w:val="12"/>
              </w:rPr>
              <w:t xml:space="preserve">    prompts/CLAUDE.md               # Prompt lifecycle and classification rules</w:t>
            </w:r>
            <w:r>
              <w:br/>
            </w:r>
            <w:r>
              <w:rPr>
                <w:rFonts w:ascii="Courier New" w:hAnsi="Courier New"/>
                <w:color w:val="333333"/>
                <w:sz w:val="12"/>
              </w:rPr>
              <w:t xml:space="preserve">    guardrails/CLAUDE.md            # NeMo Guardrails rules</w:t>
            </w:r>
            <w:r>
              <w:br/>
            </w:r>
            <w:r>
              <w:rPr>
                <w:rFonts w:ascii="Courier New" w:hAnsi="Courier New"/>
                <w:color w:val="333333"/>
                <w:sz w:val="12"/>
              </w:rPr>
              <w:t xml:space="preserve">    models/CLAUDE.md                # Model aliases and routing rules</w:t>
            </w:r>
            <w:r>
              <w:br/>
            </w:r>
            <w:r>
              <w:rPr>
                <w:rFonts w:ascii="Courier New" w:hAnsi="Courier New"/>
                <w:color w:val="333333"/>
                <w:sz w:val="12"/>
              </w:rPr>
              <w:t xml:space="preserve">    evaluations/CLAUDE.md           # Golden datasets and AI evaluation rules</w:t>
            </w:r>
            <w:r>
              <w:br/>
            </w:r>
            <w:r>
              <w:rPr>
                <w:rFonts w:ascii="Courier New" w:hAnsi="Courier New"/>
                <w:color w:val="333333"/>
                <w:sz w:val="12"/>
              </w:rPr>
              <w:t xml:space="preserve">  microfunctions/CLAUDE.md          # Configuration-driven process rules</w:t>
            </w:r>
            <w:r>
              <w:br/>
            </w:r>
            <w:r>
              <w:rPr>
                <w:rFonts w:ascii="Courier New" w:hAnsi="Courier New"/>
                <w:color w:val="333333"/>
                <w:sz w:val="12"/>
              </w:rPr>
              <w:t xml:space="preserve">  docs/CLAUDE.md                    # Standards, ADR, and evidence rules</w:t>
            </w:r>
            <w:r>
              <w:br/>
            </w:r>
            <w:r>
              <w:rPr>
                <w:rFonts w:ascii="Courier New" w:hAnsi="Courier New"/>
                <w:color w:val="333333"/>
                <w:sz w:val="12"/>
              </w:rPr>
              <w:t xml:space="preserve">  tests/CLAUDE.md                   # TDD, deterministic tests, synthetic data rules</w:t>
            </w:r>
          </w:p>
        </w:tc>
      </w:tr>
    </w:tbl>
    <w:p/>
    <w:p>
      <w:pPr>
        <w:pStyle w:val="Heading1"/>
        <w:keepNext/>
        <w:spacing w:before="160" w:after="80"/>
      </w:pPr>
    </w:p>
    <w:p>
      <w:pPr>
        <w:spacing w:after="80" w:line="250" w:lineRule="auto"/>
      </w:pPr>
      <w:r>
        <w:rPr>
          <w:rFonts w:ascii="Aptos" w:hAnsi="Aptos"/>
          <w:sz w:val="18"/>
        </w:rPr>
        <w:t>Every CLAUDE.md rule set must include or inherit the following design-principle requirements. AI assistants must treat these as constraints before generating, modifying, or refactoring code. Human reviewers must treat them as merge gates.</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376"/>
            <w:shd w:fill="1F4E79"/>
            <w:tcMar>
              <w:top w:w="45" w:type="dxa"/>
              <w:start w:w="50" w:type="dxa"/>
              <w:bottom w:w="45" w:type="dxa"/>
              <w:end w:w="50" w:type="dxa"/>
            </w:tcMar>
          </w:tcPr>
          <w:p>
            <w:pPr>
              <w:spacing w:after="0"/>
              <w:jc w:val="center"/>
            </w:pPr>
            <w:r>
              <w:rPr>
                <w:rFonts w:ascii="Aptos" w:hAnsi="Aptos"/>
                <w:b/>
                <w:color w:val="FFFFFF"/>
                <w:sz w:val="12"/>
              </w:rPr>
              <w:t>Principle</w:t>
            </w:r>
          </w:p>
        </w:tc>
        <w:tc>
          <w:tcPr>
            <w:tcW w:type="dxa" w:w="7416"/>
            <w:shd w:fill="1F4E79"/>
            <w:tcMar>
              <w:top w:w="45" w:type="dxa"/>
              <w:start w:w="50" w:type="dxa"/>
              <w:bottom w:w="45" w:type="dxa"/>
              <w:end w:w="50" w:type="dxa"/>
            </w:tcMar>
          </w:tcPr>
          <w:p>
            <w:pPr>
              <w:spacing w:after="0"/>
              <w:jc w:val="center"/>
            </w:pPr>
            <w:r>
              <w:rPr>
                <w:rFonts w:ascii="Aptos" w:hAnsi="Aptos"/>
                <w:b/>
                <w:color w:val="FFFFFF"/>
                <w:sz w:val="12"/>
              </w:rPr>
              <w:t>CLAUDE.md Enforcement Rule</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SOLID</w:t>
            </w:r>
          </w:p>
        </w:tc>
        <w:tc>
          <w:tcPr>
            <w:tcW w:type="dxa" w:w="7416"/>
            <w:vAlign w:val="top"/>
            <w:tcMar>
              <w:top w:w="42" w:type="dxa"/>
              <w:start w:w="50" w:type="dxa"/>
              <w:bottom w:w="42" w:type="dxa"/>
              <w:end w:w="50" w:type="dxa"/>
            </w:tcMar>
          </w:tcPr>
          <w:p>
            <w:pPr>
              <w:spacing w:after="0" w:line="240" w:lineRule="auto"/>
            </w:pPr>
            <w:r>
              <w:rPr>
                <w:rFonts w:ascii="Aptos" w:hAnsi="Aptos"/>
                <w:sz w:val="12"/>
              </w:rPr>
              <w:t>Require small cohesive classes, interface-based boundaries, dependency inversion, and no god services.</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Clean Architecture</w:t>
            </w:r>
          </w:p>
        </w:tc>
        <w:tc>
          <w:tcPr>
            <w:tcW w:type="dxa" w:w="7416"/>
            <w:vAlign w:val="top"/>
            <w:tcMar>
              <w:top w:w="42" w:type="dxa"/>
              <w:start w:w="50" w:type="dxa"/>
              <w:bottom w:w="42" w:type="dxa"/>
              <w:end w:w="50" w:type="dxa"/>
            </w:tcMar>
          </w:tcPr>
          <w:p>
            <w:pPr>
              <w:spacing w:after="0" w:line="240" w:lineRule="auto"/>
            </w:pPr>
            <w:r>
              <w:rPr>
                <w:rFonts w:ascii="Aptos" w:hAnsi="Aptos"/>
                <w:sz w:val="12"/>
              </w:rPr>
              <w:t>Domain/application logic must not depend on infrastructure frameworks, provider SDKs, database clients, or messaging clients.</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DDD / Bounded Contexts</w:t>
            </w:r>
          </w:p>
        </w:tc>
        <w:tc>
          <w:tcPr>
            <w:tcW w:type="dxa" w:w="7416"/>
            <w:vAlign w:val="top"/>
            <w:tcMar>
              <w:top w:w="42" w:type="dxa"/>
              <w:start w:w="50" w:type="dxa"/>
              <w:bottom w:w="42" w:type="dxa"/>
              <w:end w:w="50" w:type="dxa"/>
            </w:tcMar>
          </w:tcPr>
          <w:p>
            <w:pPr>
              <w:spacing w:after="0" w:line="240" w:lineRule="auto"/>
            </w:pPr>
            <w:r>
              <w:rPr>
                <w:rFonts w:ascii="Aptos" w:hAnsi="Aptos"/>
                <w:sz w:val="12"/>
              </w:rPr>
              <w:t>Each bounded context owns its language, model, schema, contracts, and responsibilities.</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Ports and Adapters</w:t>
            </w:r>
          </w:p>
        </w:tc>
        <w:tc>
          <w:tcPr>
            <w:tcW w:type="dxa" w:w="7416"/>
            <w:vAlign w:val="top"/>
            <w:tcMar>
              <w:top w:w="42" w:type="dxa"/>
              <w:start w:w="50" w:type="dxa"/>
              <w:bottom w:w="42" w:type="dxa"/>
              <w:end w:w="50" w:type="dxa"/>
            </w:tcMar>
          </w:tcPr>
          <w:p>
            <w:pPr>
              <w:spacing w:after="0" w:line="240" w:lineRule="auto"/>
            </w:pPr>
            <w:r>
              <w:rPr>
                <w:rFonts w:ascii="Aptos" w:hAnsi="Aptos"/>
                <w:sz w:val="12"/>
              </w:rPr>
              <w:t>External dependencies are behind ports; adapters are replaceable and testable.</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DRY, KISS, YAGNI</w:t>
            </w:r>
          </w:p>
        </w:tc>
        <w:tc>
          <w:tcPr>
            <w:tcW w:type="dxa" w:w="7416"/>
            <w:vAlign w:val="top"/>
            <w:tcMar>
              <w:top w:w="42" w:type="dxa"/>
              <w:start w:w="50" w:type="dxa"/>
              <w:bottom w:w="42" w:type="dxa"/>
              <w:end w:w="50" w:type="dxa"/>
            </w:tcMar>
          </w:tcPr>
          <w:p>
            <w:pPr>
              <w:spacing w:after="0" w:line="240" w:lineRule="auto"/>
            </w:pPr>
            <w:r>
              <w:rPr>
                <w:rFonts w:ascii="Aptos" w:hAnsi="Aptos"/>
                <w:sz w:val="12"/>
              </w:rPr>
              <w:t>Reject duplicated plumbing, speculative abstractions, and unnecessary framework complexity.</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Idempotency</w:t>
            </w:r>
          </w:p>
        </w:tc>
        <w:tc>
          <w:tcPr>
            <w:tcW w:type="dxa" w:w="7416"/>
            <w:vAlign w:val="top"/>
            <w:tcMar>
              <w:top w:w="42" w:type="dxa"/>
              <w:start w:w="50" w:type="dxa"/>
              <w:bottom w:w="42" w:type="dxa"/>
              <w:end w:w="50" w:type="dxa"/>
            </w:tcMar>
          </w:tcPr>
          <w:p>
            <w:pPr>
              <w:spacing w:after="0" w:line="240" w:lineRule="auto"/>
            </w:pPr>
            <w:r>
              <w:rPr>
                <w:rFonts w:ascii="Aptos" w:hAnsi="Aptos"/>
                <w:sz w:val="12"/>
              </w:rPr>
              <w:t>Mutation, workflow, event, and external-call changes require retry-safe behavior.</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Determinism</w:t>
            </w:r>
          </w:p>
        </w:tc>
        <w:tc>
          <w:tcPr>
            <w:tcW w:type="dxa" w:w="7416"/>
            <w:vAlign w:val="top"/>
            <w:tcMar>
              <w:top w:w="42" w:type="dxa"/>
              <w:start w:w="50" w:type="dxa"/>
              <w:bottom w:w="42" w:type="dxa"/>
              <w:end w:w="50" w:type="dxa"/>
            </w:tcMar>
          </w:tcPr>
          <w:p>
            <w:pPr>
              <w:spacing w:after="0" w:line="240" w:lineRule="auto"/>
            </w:pPr>
            <w:r>
              <w:rPr>
                <w:rFonts w:ascii="Aptos" w:hAnsi="Aptos"/>
                <w:sz w:val="12"/>
              </w:rPr>
              <w:t>Tests, builds, migrations, model evaluations, and generated artifacts must be reproducible.</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Fail-Safe</w:t>
            </w:r>
          </w:p>
        </w:tc>
        <w:tc>
          <w:tcPr>
            <w:tcW w:type="dxa" w:w="7416"/>
            <w:vAlign w:val="top"/>
            <w:tcMar>
              <w:top w:w="42" w:type="dxa"/>
              <w:start w:w="50" w:type="dxa"/>
              <w:bottom w:w="42" w:type="dxa"/>
              <w:end w:w="50" w:type="dxa"/>
            </w:tcMar>
          </w:tcPr>
          <w:p>
            <w:pPr>
              <w:spacing w:after="0" w:line="240" w:lineRule="auto"/>
            </w:pPr>
            <w:r>
              <w:rPr>
                <w:rFonts w:ascii="Aptos" w:hAnsi="Aptos"/>
                <w:sz w:val="12"/>
              </w:rPr>
              <w:t>Unavailable OPA, Harness, LiteLLM, Guardrails, Vault, Keycloak, or audit blocks protected actions.</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Human-in-the-Loop</w:t>
            </w:r>
          </w:p>
        </w:tc>
        <w:tc>
          <w:tcPr>
            <w:tcW w:type="dxa" w:w="7416"/>
            <w:vAlign w:val="top"/>
            <w:tcMar>
              <w:top w:w="42" w:type="dxa"/>
              <w:start w:w="50" w:type="dxa"/>
              <w:bottom w:w="42" w:type="dxa"/>
              <w:end w:w="50" w:type="dxa"/>
            </w:tcMar>
          </w:tcPr>
          <w:p>
            <w:pPr>
              <w:spacing w:after="0" w:line="240" w:lineRule="auto"/>
            </w:pPr>
            <w:r>
              <w:rPr>
                <w:rFonts w:ascii="Aptos" w:hAnsi="Aptos"/>
                <w:sz w:val="12"/>
              </w:rPr>
              <w:t>High-risk, low-confidence, Confidential/Restricted, or production-impacting actions need named human review.</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Least Privilege / SBAC</w:t>
            </w:r>
          </w:p>
        </w:tc>
        <w:tc>
          <w:tcPr>
            <w:tcW w:type="dxa" w:w="7416"/>
            <w:vAlign w:val="top"/>
            <w:tcMar>
              <w:top w:w="42" w:type="dxa"/>
              <w:start w:w="50" w:type="dxa"/>
              <w:bottom w:w="42" w:type="dxa"/>
              <w:end w:w="50" w:type="dxa"/>
            </w:tcMar>
          </w:tcPr>
          <w:p>
            <w:pPr>
              <w:spacing w:after="0" w:line="240" w:lineRule="auto"/>
            </w:pPr>
            <w:r>
              <w:rPr>
                <w:rFonts w:ascii="Aptos" w:hAnsi="Aptos"/>
                <w:sz w:val="12"/>
              </w:rPr>
              <w:t>Agents and humans need the required role, skill, trust level, scope, and policy decision.</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Separation of Duties</w:t>
            </w:r>
          </w:p>
        </w:tc>
        <w:tc>
          <w:tcPr>
            <w:tcW w:type="dxa" w:w="7416"/>
            <w:vAlign w:val="top"/>
            <w:tcMar>
              <w:top w:w="42" w:type="dxa"/>
              <w:start w:w="50" w:type="dxa"/>
              <w:bottom w:w="42" w:type="dxa"/>
              <w:end w:w="50" w:type="dxa"/>
            </w:tcMar>
          </w:tcPr>
          <w:p>
            <w:pPr>
              <w:spacing w:after="0" w:line="240" w:lineRule="auto"/>
            </w:pPr>
            <w:r>
              <w:rPr>
                <w:rFonts w:ascii="Aptos" w:hAnsi="Aptos"/>
                <w:sz w:val="12"/>
              </w:rPr>
              <w:t>Maker, checker, approver, deployer, and auditor duties remain separated.</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Observability</w:t>
            </w:r>
          </w:p>
        </w:tc>
        <w:tc>
          <w:tcPr>
            <w:tcW w:type="dxa" w:w="7416"/>
            <w:vAlign w:val="top"/>
            <w:tcMar>
              <w:top w:w="42" w:type="dxa"/>
              <w:start w:w="50" w:type="dxa"/>
              <w:bottom w:w="42" w:type="dxa"/>
              <w:end w:w="50" w:type="dxa"/>
            </w:tcMar>
          </w:tcPr>
          <w:p>
            <w:pPr>
              <w:spacing w:after="0" w:line="240" w:lineRule="auto"/>
            </w:pPr>
            <w:r>
              <w:rPr>
                <w:rFonts w:ascii="Aptos" w:hAnsi="Aptos"/>
                <w:sz w:val="12"/>
              </w:rPr>
              <w:t>Changes must preserve or improve logs, metrics, traces, audit records, and evidence references.</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Policy as Code</w:t>
            </w:r>
          </w:p>
        </w:tc>
        <w:tc>
          <w:tcPr>
            <w:tcW w:type="dxa" w:w="7416"/>
            <w:vAlign w:val="top"/>
            <w:tcMar>
              <w:top w:w="42" w:type="dxa"/>
              <w:start w:w="50" w:type="dxa"/>
              <w:bottom w:w="42" w:type="dxa"/>
              <w:end w:w="50" w:type="dxa"/>
            </w:tcMar>
          </w:tcPr>
          <w:p>
            <w:pPr>
              <w:spacing w:after="0" w:line="240" w:lineRule="auto"/>
            </w:pPr>
            <w:r>
              <w:rPr>
                <w:rFonts w:ascii="Aptos" w:hAnsi="Aptos"/>
                <w:sz w:val="12"/>
              </w:rPr>
              <w:t>Security, architecture, and deployment rules are executable via OPA, CI checks, admission policies, or equivalent.</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Testability</w:t>
            </w:r>
          </w:p>
        </w:tc>
        <w:tc>
          <w:tcPr>
            <w:tcW w:type="dxa" w:w="7416"/>
            <w:vAlign w:val="top"/>
            <w:tcMar>
              <w:top w:w="42" w:type="dxa"/>
              <w:start w:w="50" w:type="dxa"/>
              <w:bottom w:w="42" w:type="dxa"/>
              <w:end w:w="50" w:type="dxa"/>
            </w:tcMar>
          </w:tcPr>
          <w:p>
            <w:pPr>
              <w:spacing w:after="0" w:line="240" w:lineRule="auto"/>
            </w:pPr>
            <w:r>
              <w:rPr>
                <w:rFonts w:ascii="Aptos" w:hAnsi="Aptos"/>
                <w:sz w:val="12"/>
              </w:rPr>
              <w:t>Code must remain testable through mocks, ports, fixtures, deterministic clocks, and no hidden dependencies.</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Secure by Design</w:t>
            </w:r>
          </w:p>
        </w:tc>
        <w:tc>
          <w:tcPr>
            <w:tcW w:type="dxa" w:w="7416"/>
            <w:vAlign w:val="top"/>
            <w:tcMar>
              <w:top w:w="42" w:type="dxa"/>
              <w:start w:w="50" w:type="dxa"/>
              <w:bottom w:w="42" w:type="dxa"/>
              <w:end w:w="50" w:type="dxa"/>
            </w:tcMar>
          </w:tcPr>
          <w:p>
            <w:pPr>
              <w:spacing w:after="0" w:line="240" w:lineRule="auto"/>
            </w:pPr>
            <w:r>
              <w:rPr>
                <w:rFonts w:ascii="Aptos" w:hAnsi="Aptos"/>
                <w:sz w:val="12"/>
              </w:rPr>
              <w:t>No secrets, PII leakage, raw stack traces, insecure defaults, or unclassified prompt exposure.</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Resilience</w:t>
            </w:r>
          </w:p>
        </w:tc>
        <w:tc>
          <w:tcPr>
            <w:tcW w:type="dxa" w:w="7416"/>
            <w:vAlign w:val="top"/>
            <w:tcMar>
              <w:top w:w="42" w:type="dxa"/>
              <w:start w:w="50" w:type="dxa"/>
              <w:bottom w:w="42" w:type="dxa"/>
              <w:end w:w="50" w:type="dxa"/>
            </w:tcMar>
          </w:tcPr>
          <w:p>
            <w:pPr>
              <w:spacing w:after="0" w:line="240" w:lineRule="auto"/>
            </w:pPr>
            <w:r>
              <w:rPr>
                <w:rFonts w:ascii="Aptos" w:hAnsi="Aptos"/>
                <w:sz w:val="12"/>
              </w:rPr>
              <w:t>Timeouts, retries, circuit breakers, DLQs, compensation, and fallback rules must be explicit.</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Fitness Functions</w:t>
            </w:r>
          </w:p>
        </w:tc>
        <w:tc>
          <w:tcPr>
            <w:tcW w:type="dxa" w:w="7416"/>
            <w:vAlign w:val="top"/>
            <w:tcMar>
              <w:top w:w="42" w:type="dxa"/>
              <w:start w:w="50" w:type="dxa"/>
              <w:bottom w:w="42" w:type="dxa"/>
              <w:end w:w="50" w:type="dxa"/>
            </w:tcMar>
          </w:tcPr>
          <w:p>
            <w:pPr>
              <w:spacing w:after="0" w:line="240" w:lineRule="auto"/>
            </w:pPr>
            <w:r>
              <w:rPr>
                <w:rFonts w:ascii="Aptos" w:hAnsi="Aptos"/>
                <w:sz w:val="12"/>
              </w:rPr>
              <w:t>Automated architecture checks must detect boundary violations and forbidden dependencies.</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Progressive Autonomy</w:t>
            </w:r>
          </w:p>
        </w:tc>
        <w:tc>
          <w:tcPr>
            <w:tcW w:type="dxa" w:w="7416"/>
            <w:vAlign w:val="top"/>
            <w:tcMar>
              <w:top w:w="42" w:type="dxa"/>
              <w:start w:w="50" w:type="dxa"/>
              <w:bottom w:w="42" w:type="dxa"/>
              <w:end w:w="50" w:type="dxa"/>
            </w:tcMar>
          </w:tcPr>
          <w:p>
            <w:pPr>
              <w:spacing w:after="0" w:line="240" w:lineRule="auto"/>
            </w:pPr>
            <w:r>
              <w:rPr>
                <w:rFonts w:ascii="Aptos" w:hAnsi="Aptos"/>
                <w:sz w:val="12"/>
              </w:rPr>
              <w:t>AI agent authority increases only with evidence, bounded trust, and human approval.</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Reversibility</w:t>
            </w:r>
          </w:p>
        </w:tc>
        <w:tc>
          <w:tcPr>
            <w:tcW w:type="dxa" w:w="7416"/>
            <w:vAlign w:val="top"/>
            <w:tcMar>
              <w:top w:w="42" w:type="dxa"/>
              <w:start w:w="50" w:type="dxa"/>
              <w:bottom w:w="42" w:type="dxa"/>
              <w:end w:w="50" w:type="dxa"/>
            </w:tcMar>
          </w:tcPr>
          <w:p>
            <w:pPr>
              <w:spacing w:after="0" w:line="240" w:lineRule="auto"/>
            </w:pPr>
            <w:r>
              <w:rPr>
                <w:rFonts w:ascii="Aptos" w:hAnsi="Aptos"/>
                <w:sz w:val="12"/>
              </w:rPr>
              <w:t>Changes must be rollback-aware, forward-fixable, or compensatable.</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AVCI</w:t>
            </w:r>
          </w:p>
        </w:tc>
        <w:tc>
          <w:tcPr>
            <w:tcW w:type="dxa" w:w="7416"/>
            <w:vAlign w:val="top"/>
            <w:tcMar>
              <w:top w:w="42" w:type="dxa"/>
              <w:start w:w="50" w:type="dxa"/>
              <w:bottom w:w="42" w:type="dxa"/>
              <w:end w:w="50" w:type="dxa"/>
            </w:tcMar>
          </w:tcPr>
          <w:p>
            <w:pPr>
              <w:spacing w:after="0" w:line="240" w:lineRule="auto"/>
            </w:pPr>
            <w:r>
              <w:rPr>
                <w:rFonts w:ascii="Aptos" w:hAnsi="Aptos"/>
                <w:sz w:val="12"/>
              </w:rPr>
              <w:t>Every change must prove owner, evidence, classification, and improvement path.</w:t>
            </w:r>
          </w:p>
        </w:tc>
      </w:tr>
    </w:tbl>
    <w:p/>
    <w:tbl>
      <w:tblPr>
        <w:tblStyle w:val="TableGrid"/>
        <w:tblW w:type="auto" w:w="0"/>
        <w:jc w:val="center"/>
        <w:tblLook w:firstColumn="1" w:firstRow="1" w:lastColumn="0" w:lastRow="0" w:noHBand="0" w:noVBand="1" w:val="04A0"/>
      </w:tblPr>
      <w:tblGrid>
        <w:gridCol w:w="10454"/>
      </w:tblGrid>
      <w:tr>
        <w:tc>
          <w:tcPr>
            <w:tcW w:type="dxa" w:w="10454"/>
            <w:shd w:fill="F4CCCC"/>
            <w:tcMar>
              <w:top w:w="125" w:type="dxa"/>
              <w:start w:w="145" w:type="dxa"/>
              <w:bottom w:w="125" w:type="dxa"/>
              <w:end w:w="145" w:type="dxa"/>
            </w:tcMar>
          </w:tcPr>
          <w:p>
            <w:pPr>
              <w:spacing w:after="60"/>
            </w:pPr>
            <w:r>
              <w:rPr>
                <w:rFonts w:ascii="Aptos" w:hAnsi="Aptos"/>
                <w:b/>
                <w:color w:val="990000"/>
                <w:sz w:val="18"/>
              </w:rPr>
              <w:t>AI Instruction Rule</w:t>
            </w:r>
          </w:p>
          <w:p>
            <w:pPr>
              <w:spacing w:after="0"/>
            </w:pPr>
            <w:r>
              <w:rPr>
                <w:rFonts w:ascii="Aptos" w:hAnsi="Aptos"/>
                <w:sz w:val="17"/>
              </w:rPr>
              <w:t>AI assistants must not optimize only for passing tests or quick fixes. Any generated code, prompt, migration, policy, or configuration must preserve or improve SOLID, architecture boundaries, testability, security, observability, rollbackability, and AVCI evidence.</w:t>
            </w:r>
          </w:p>
        </w:tc>
      </w:tr>
    </w:tbl>
    <w:p/>
    <w:p>
      <w:pPr>
        <w:pStyle w:val="Heading1"/>
        <w:keepNext/>
        <w:spacing w:before="160" w:after="80"/>
      </w:pPr>
    </w:p>
    <w:p>
      <w:pPr>
        <w:spacing w:after="80" w:line="250" w:lineRule="auto"/>
      </w:pPr>
      <w:r>
        <w:rPr>
          <w:rFonts w:ascii="Aptos" w:hAnsi="Aptos"/>
          <w:sz w:val="18"/>
        </w:rPr>
        <w:t>The root CLAUDE.md must contain the minimum baseline below or stricter equivalents. Directory-specific files may add rules but must not weaken the root baseline.</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800"/>
            <w:shd w:fill="1F4E79"/>
            <w:tcMar>
              <w:top w:w="45" w:type="dxa"/>
              <w:start w:w="50" w:type="dxa"/>
              <w:bottom w:w="45" w:type="dxa"/>
              <w:end w:w="50" w:type="dxa"/>
            </w:tcMar>
          </w:tcPr>
          <w:p>
            <w:pPr>
              <w:spacing w:after="0"/>
              <w:jc w:val="center"/>
            </w:pPr>
            <w:r>
              <w:rPr>
                <w:rFonts w:ascii="Aptos" w:hAnsi="Aptos"/>
                <w:b/>
                <w:color w:val="FFFFFF"/>
                <w:sz w:val="12"/>
              </w:rPr>
              <w:t>Rule ID</w:t>
            </w:r>
          </w:p>
        </w:tc>
        <w:tc>
          <w:tcPr>
            <w:tcW w:type="dxa" w:w="6768"/>
            <w:shd w:fill="1F4E79"/>
            <w:tcMar>
              <w:top w:w="45" w:type="dxa"/>
              <w:start w:w="50" w:type="dxa"/>
              <w:bottom w:w="45" w:type="dxa"/>
              <w:end w:w="50" w:type="dxa"/>
            </w:tcMar>
          </w:tcPr>
          <w:p>
            <w:pPr>
              <w:spacing w:after="0"/>
              <w:jc w:val="center"/>
            </w:pPr>
            <w:r>
              <w:rPr>
                <w:rFonts w:ascii="Aptos" w:hAnsi="Aptos"/>
                <w:b/>
                <w:color w:val="FFFFFF"/>
                <w:sz w:val="12"/>
              </w:rPr>
              <w:t>Rule</w:t>
            </w:r>
          </w:p>
        </w:tc>
        <w:tc>
          <w:tcPr>
            <w:tcW w:type="dxa" w:w="1224"/>
            <w:shd w:fill="1F4E79"/>
            <w:tcMar>
              <w:top w:w="45" w:type="dxa"/>
              <w:start w:w="50" w:type="dxa"/>
              <w:bottom w:w="45" w:type="dxa"/>
              <w:end w:w="50" w:type="dxa"/>
            </w:tcMar>
          </w:tcPr>
          <w:p>
            <w:pPr>
              <w:spacing w:after="0"/>
              <w:jc w:val="center"/>
            </w:pPr>
            <w:r>
              <w:rPr>
                <w:rFonts w:ascii="Aptos" w:hAnsi="Aptos"/>
                <w:b/>
                <w:color w:val="FFFFFF"/>
                <w:sz w:val="12"/>
              </w:rPr>
              <w:t>Severity</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AIRA-ROOT-001</w:t>
            </w:r>
          </w:p>
        </w:tc>
        <w:tc>
          <w:tcPr>
            <w:tcW w:type="dxa" w:w="6768"/>
            <w:vAlign w:val="top"/>
            <w:tcMar>
              <w:top w:w="42" w:type="dxa"/>
              <w:start w:w="50" w:type="dxa"/>
              <w:bottom w:w="42" w:type="dxa"/>
              <w:end w:w="50" w:type="dxa"/>
            </w:tcMar>
          </w:tcPr>
          <w:p>
            <w:pPr>
              <w:spacing w:after="0" w:line="240" w:lineRule="auto"/>
            </w:pPr>
            <w:r>
              <w:rPr>
                <w:rFonts w:ascii="Aptos" w:hAnsi="Aptos"/>
                <w:sz w:val="12"/>
              </w:rPr>
              <w:t>Follow 01A Enterprise Design Principles and SOLID Enforcement Layer for every material change.</w:t>
            </w:r>
          </w:p>
        </w:tc>
        <w:tc>
          <w:tcPr>
            <w:tcW w:type="dxa" w:w="1224"/>
            <w:vAlign w:val="top"/>
            <w:tcMar>
              <w:top w:w="42" w:type="dxa"/>
              <w:start w:w="50" w:type="dxa"/>
              <w:bottom w:w="42" w:type="dxa"/>
              <w:end w:w="50" w:type="dxa"/>
            </w:tcMar>
          </w:tcPr>
          <w:p>
            <w:pPr>
              <w:spacing w:after="0" w:line="240" w:lineRule="auto"/>
            </w:pPr>
            <w:r>
              <w:rPr>
                <w:rFonts w:ascii="Aptos" w:hAnsi="Aptos"/>
                <w:sz w:val="12"/>
              </w:rPr>
              <w:t>Blocker</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AIRA-ROOT-002</w:t>
            </w:r>
          </w:p>
        </w:tc>
        <w:tc>
          <w:tcPr>
            <w:tcW w:type="dxa" w:w="6768"/>
            <w:vAlign w:val="top"/>
            <w:tcMar>
              <w:top w:w="42" w:type="dxa"/>
              <w:start w:w="50" w:type="dxa"/>
              <w:bottom w:w="42" w:type="dxa"/>
              <w:end w:w="50" w:type="dxa"/>
            </w:tcMar>
          </w:tcPr>
          <w:p>
            <w:pPr>
              <w:spacing w:after="0" w:line="240" w:lineRule="auto"/>
            </w:pPr>
            <w:r>
              <w:rPr>
                <w:rFonts w:ascii="Aptos" w:hAnsi="Aptos"/>
                <w:sz w:val="12"/>
              </w:rPr>
              <w:t>No direct model provider SDK calls. All model traffic routes through LiteLLM aliases and approved guardrails.</w:t>
            </w:r>
          </w:p>
        </w:tc>
        <w:tc>
          <w:tcPr>
            <w:tcW w:type="dxa" w:w="1224"/>
            <w:vAlign w:val="top"/>
            <w:tcMar>
              <w:top w:w="42" w:type="dxa"/>
              <w:start w:w="50" w:type="dxa"/>
              <w:bottom w:w="42" w:type="dxa"/>
              <w:end w:w="50" w:type="dxa"/>
            </w:tcMar>
          </w:tcPr>
          <w:p>
            <w:pPr>
              <w:spacing w:after="0" w:line="240" w:lineRule="auto"/>
            </w:pPr>
            <w:r>
              <w:rPr>
                <w:rFonts w:ascii="Aptos" w:hAnsi="Aptos"/>
                <w:sz w:val="12"/>
              </w:rPr>
              <w:t>Blocker</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AIRA-ROOT-003</w:t>
            </w:r>
          </w:p>
        </w:tc>
        <w:tc>
          <w:tcPr>
            <w:tcW w:type="dxa" w:w="6768"/>
            <w:vAlign w:val="top"/>
            <w:tcMar>
              <w:top w:w="42" w:type="dxa"/>
              <w:start w:w="50" w:type="dxa"/>
              <w:bottom w:w="42" w:type="dxa"/>
              <w:end w:w="50" w:type="dxa"/>
            </w:tcMar>
          </w:tcPr>
          <w:p>
            <w:pPr>
              <w:spacing w:after="0" w:line="240" w:lineRule="auto"/>
            </w:pPr>
            <w:r>
              <w:rPr>
                <w:rFonts w:ascii="Aptos" w:hAnsi="Aptos"/>
                <w:sz w:val="12"/>
              </w:rPr>
              <w:t>No AI agent may execute tools directly. Tool actions require Harness, SBAC, OPA, trust score, and audit.</w:t>
            </w:r>
          </w:p>
        </w:tc>
        <w:tc>
          <w:tcPr>
            <w:tcW w:type="dxa" w:w="1224"/>
            <w:vAlign w:val="top"/>
            <w:tcMar>
              <w:top w:w="42" w:type="dxa"/>
              <w:start w:w="50" w:type="dxa"/>
              <w:bottom w:w="42" w:type="dxa"/>
              <w:end w:w="50" w:type="dxa"/>
            </w:tcMar>
          </w:tcPr>
          <w:p>
            <w:pPr>
              <w:spacing w:after="0" w:line="240" w:lineRule="auto"/>
            </w:pPr>
            <w:r>
              <w:rPr>
                <w:rFonts w:ascii="Aptos" w:hAnsi="Aptos"/>
                <w:sz w:val="12"/>
              </w:rPr>
              <w:t>Blocker</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AIRA-ROOT-004</w:t>
            </w:r>
          </w:p>
        </w:tc>
        <w:tc>
          <w:tcPr>
            <w:tcW w:type="dxa" w:w="6768"/>
            <w:vAlign w:val="top"/>
            <w:tcMar>
              <w:top w:w="42" w:type="dxa"/>
              <w:start w:w="50" w:type="dxa"/>
              <w:bottom w:w="42" w:type="dxa"/>
              <w:end w:w="50" w:type="dxa"/>
            </w:tcMar>
          </w:tcPr>
          <w:p>
            <w:pPr>
              <w:spacing w:after="0" w:line="240" w:lineRule="auto"/>
            </w:pPr>
            <w:r>
              <w:rPr>
                <w:rFonts w:ascii="Aptos" w:hAnsi="Aptos"/>
                <w:sz w:val="12"/>
              </w:rPr>
              <w:t>No bypass flags for NeMo Guardrails Input, Retrieval, Execution, or Output checkpoints.</w:t>
            </w:r>
          </w:p>
        </w:tc>
        <w:tc>
          <w:tcPr>
            <w:tcW w:type="dxa" w:w="1224"/>
            <w:vAlign w:val="top"/>
            <w:tcMar>
              <w:top w:w="42" w:type="dxa"/>
              <w:start w:w="50" w:type="dxa"/>
              <w:bottom w:w="42" w:type="dxa"/>
              <w:end w:w="50" w:type="dxa"/>
            </w:tcMar>
          </w:tcPr>
          <w:p>
            <w:pPr>
              <w:spacing w:after="0" w:line="240" w:lineRule="auto"/>
            </w:pPr>
            <w:r>
              <w:rPr>
                <w:rFonts w:ascii="Aptos" w:hAnsi="Aptos"/>
                <w:sz w:val="12"/>
              </w:rPr>
              <w:t>Blocker</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AIRA-ROOT-005</w:t>
            </w:r>
          </w:p>
        </w:tc>
        <w:tc>
          <w:tcPr>
            <w:tcW w:type="dxa" w:w="6768"/>
            <w:vAlign w:val="top"/>
            <w:tcMar>
              <w:top w:w="42" w:type="dxa"/>
              <w:start w:w="50" w:type="dxa"/>
              <w:bottom w:w="42" w:type="dxa"/>
              <w:end w:w="50" w:type="dxa"/>
            </w:tcMar>
          </w:tcPr>
          <w:p>
            <w:pPr>
              <w:spacing w:after="0" w:line="240" w:lineRule="auto"/>
            </w:pPr>
            <w:r>
              <w:rPr>
                <w:rFonts w:ascii="Aptos" w:hAnsi="Aptos"/>
                <w:sz w:val="12"/>
              </w:rPr>
              <w:t>No secrets, credentials, raw PII, production data, tokens, or Restricted content in prompts, logs, tests, examples, or docs.</w:t>
            </w:r>
          </w:p>
        </w:tc>
        <w:tc>
          <w:tcPr>
            <w:tcW w:type="dxa" w:w="1224"/>
            <w:vAlign w:val="top"/>
            <w:tcMar>
              <w:top w:w="42" w:type="dxa"/>
              <w:start w:w="50" w:type="dxa"/>
              <w:bottom w:w="42" w:type="dxa"/>
              <w:end w:w="50" w:type="dxa"/>
            </w:tcMar>
          </w:tcPr>
          <w:p>
            <w:pPr>
              <w:spacing w:after="0" w:line="240" w:lineRule="auto"/>
            </w:pPr>
            <w:r>
              <w:rPr>
                <w:rFonts w:ascii="Aptos" w:hAnsi="Aptos"/>
                <w:sz w:val="12"/>
              </w:rPr>
              <w:t>Blocker</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AIRA-ROOT-006</w:t>
            </w:r>
          </w:p>
        </w:tc>
        <w:tc>
          <w:tcPr>
            <w:tcW w:type="dxa" w:w="6768"/>
            <w:vAlign w:val="top"/>
            <w:tcMar>
              <w:top w:w="42" w:type="dxa"/>
              <w:start w:w="50" w:type="dxa"/>
              <w:bottom w:w="42" w:type="dxa"/>
              <w:end w:w="50" w:type="dxa"/>
            </w:tcMar>
          </w:tcPr>
          <w:p>
            <w:pPr>
              <w:spacing w:after="0" w:line="240" w:lineRule="auto"/>
            </w:pPr>
            <w:r>
              <w:rPr>
                <w:rFonts w:ascii="Aptos" w:hAnsi="Aptos"/>
                <w:sz w:val="12"/>
              </w:rPr>
              <w:t>Preserve Clean Architecture dependency direction and DDD bounded-context ownership.</w:t>
            </w:r>
          </w:p>
        </w:tc>
        <w:tc>
          <w:tcPr>
            <w:tcW w:type="dxa" w:w="1224"/>
            <w:vAlign w:val="top"/>
            <w:tcMar>
              <w:top w:w="42" w:type="dxa"/>
              <w:start w:w="50" w:type="dxa"/>
              <w:bottom w:w="42" w:type="dxa"/>
              <w:end w:w="50" w:type="dxa"/>
            </w:tcMar>
          </w:tcPr>
          <w:p>
            <w:pPr>
              <w:spacing w:after="0" w:line="240" w:lineRule="auto"/>
            </w:pPr>
            <w:r>
              <w:rPr>
                <w:rFonts w:ascii="Aptos" w:hAnsi="Aptos"/>
                <w:sz w:val="12"/>
              </w:rPr>
              <w:t>Blocker</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AIRA-ROOT-007</w:t>
            </w:r>
          </w:p>
        </w:tc>
        <w:tc>
          <w:tcPr>
            <w:tcW w:type="dxa" w:w="6768"/>
            <w:vAlign w:val="top"/>
            <w:tcMar>
              <w:top w:w="42" w:type="dxa"/>
              <w:start w:w="50" w:type="dxa"/>
              <w:bottom w:w="42" w:type="dxa"/>
              <w:end w:w="50" w:type="dxa"/>
            </w:tcMar>
          </w:tcPr>
          <w:p>
            <w:pPr>
              <w:spacing w:after="0" w:line="240" w:lineRule="auto"/>
            </w:pPr>
            <w:r>
              <w:rPr>
                <w:rFonts w:ascii="Aptos" w:hAnsi="Aptos"/>
                <w:sz w:val="12"/>
              </w:rPr>
              <w:t>Use TDD, deterministic tests, architecture tests, and CI evidence before merge.</w:t>
            </w:r>
          </w:p>
        </w:tc>
        <w:tc>
          <w:tcPr>
            <w:tcW w:type="dxa" w:w="1224"/>
            <w:vAlign w:val="top"/>
            <w:tcMar>
              <w:top w:w="42" w:type="dxa"/>
              <w:start w:w="50" w:type="dxa"/>
              <w:bottom w:w="42" w:type="dxa"/>
              <w:end w:w="50" w:type="dxa"/>
            </w:tcMar>
          </w:tcPr>
          <w:p>
            <w:pPr>
              <w:spacing w:after="0" w:line="240" w:lineRule="auto"/>
            </w:pPr>
            <w:r>
              <w:rPr>
                <w:rFonts w:ascii="Aptos" w:hAnsi="Aptos"/>
                <w:sz w:val="12"/>
              </w:rPr>
              <w:t>High</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AIRA-ROOT-008</w:t>
            </w:r>
          </w:p>
        </w:tc>
        <w:tc>
          <w:tcPr>
            <w:tcW w:type="dxa" w:w="6768"/>
            <w:vAlign w:val="top"/>
            <w:tcMar>
              <w:top w:w="42" w:type="dxa"/>
              <w:start w:w="50" w:type="dxa"/>
              <w:bottom w:w="42" w:type="dxa"/>
              <w:end w:w="50" w:type="dxa"/>
            </w:tcMar>
          </w:tcPr>
          <w:p>
            <w:pPr>
              <w:spacing w:after="0" w:line="240" w:lineRule="auto"/>
            </w:pPr>
            <w:r>
              <w:rPr>
                <w:rFonts w:ascii="Aptos" w:hAnsi="Aptos"/>
                <w:sz w:val="12"/>
              </w:rPr>
              <w:t>Every mutation must consider idempotency, retry safety, compensation, audit, and rollback/forward-fix path.</w:t>
            </w:r>
          </w:p>
        </w:tc>
        <w:tc>
          <w:tcPr>
            <w:tcW w:type="dxa" w:w="1224"/>
            <w:vAlign w:val="top"/>
            <w:tcMar>
              <w:top w:w="42" w:type="dxa"/>
              <w:start w:w="50" w:type="dxa"/>
              <w:bottom w:w="42" w:type="dxa"/>
              <w:end w:w="50" w:type="dxa"/>
            </w:tcMar>
          </w:tcPr>
          <w:p>
            <w:pPr>
              <w:spacing w:after="0" w:line="240" w:lineRule="auto"/>
            </w:pPr>
            <w:r>
              <w:rPr>
                <w:rFonts w:ascii="Aptos" w:hAnsi="Aptos"/>
                <w:sz w:val="12"/>
              </w:rPr>
              <w:t>High</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AIRA-ROOT-009</w:t>
            </w:r>
          </w:p>
        </w:tc>
        <w:tc>
          <w:tcPr>
            <w:tcW w:type="dxa" w:w="6768"/>
            <w:vAlign w:val="top"/>
            <w:tcMar>
              <w:top w:w="42" w:type="dxa"/>
              <w:start w:w="50" w:type="dxa"/>
              <w:bottom w:w="42" w:type="dxa"/>
              <w:end w:w="50" w:type="dxa"/>
            </w:tcMar>
          </w:tcPr>
          <w:p>
            <w:pPr>
              <w:spacing w:after="0" w:line="240" w:lineRule="auto"/>
            </w:pPr>
            <w:r>
              <w:rPr>
                <w:rFonts w:ascii="Aptos" w:hAnsi="Aptos"/>
                <w:sz w:val="12"/>
              </w:rPr>
              <w:t>Every PR must include an AVCI Compliance Summary and design-principle impact statement.</w:t>
            </w:r>
          </w:p>
        </w:tc>
        <w:tc>
          <w:tcPr>
            <w:tcW w:type="dxa" w:w="1224"/>
            <w:vAlign w:val="top"/>
            <w:tcMar>
              <w:top w:w="42" w:type="dxa"/>
              <w:start w:w="50" w:type="dxa"/>
              <w:bottom w:w="42" w:type="dxa"/>
              <w:end w:w="50" w:type="dxa"/>
            </w:tcMar>
          </w:tcPr>
          <w:p>
            <w:pPr>
              <w:spacing w:after="0" w:line="240" w:lineRule="auto"/>
            </w:pPr>
            <w:r>
              <w:rPr>
                <w:rFonts w:ascii="Aptos" w:hAnsi="Aptos"/>
                <w:sz w:val="12"/>
              </w:rPr>
              <w:t>High</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AIRA-ROOT-010</w:t>
            </w:r>
          </w:p>
        </w:tc>
        <w:tc>
          <w:tcPr>
            <w:tcW w:type="dxa" w:w="6768"/>
            <w:vAlign w:val="top"/>
            <w:tcMar>
              <w:top w:w="42" w:type="dxa"/>
              <w:start w:w="50" w:type="dxa"/>
              <w:bottom w:w="42" w:type="dxa"/>
              <w:end w:w="50" w:type="dxa"/>
            </w:tcMar>
          </w:tcPr>
          <w:p>
            <w:pPr>
              <w:spacing w:after="0" w:line="240" w:lineRule="auto"/>
            </w:pPr>
            <w:r>
              <w:rPr>
                <w:rFonts w:ascii="Aptos" w:hAnsi="Aptos"/>
                <w:sz w:val="12"/>
              </w:rPr>
              <w:t>Waivers must have owner, expiry, risk acceptance, evidence, and remediation plan.</w:t>
            </w:r>
          </w:p>
        </w:tc>
        <w:tc>
          <w:tcPr>
            <w:tcW w:type="dxa" w:w="1224"/>
            <w:vAlign w:val="top"/>
            <w:tcMar>
              <w:top w:w="42" w:type="dxa"/>
              <w:start w:w="50" w:type="dxa"/>
              <w:bottom w:w="42" w:type="dxa"/>
              <w:end w:w="50" w:type="dxa"/>
            </w:tcMar>
          </w:tcPr>
          <w:p>
            <w:pPr>
              <w:spacing w:after="0" w:line="240" w:lineRule="auto"/>
            </w:pPr>
            <w:r>
              <w:rPr>
                <w:rFonts w:ascii="Aptos" w:hAnsi="Aptos"/>
                <w:sz w:val="12"/>
              </w:rPr>
              <w:t>High</w:t>
            </w:r>
          </w:p>
        </w:tc>
      </w:tr>
    </w:tbl>
    <w:p/>
    <w:p>
      <w:pPr>
        <w:pStyle w:val="Heading1"/>
        <w:keepNext/>
        <w:spacing w:before="160" w:after="80"/>
      </w:pPr>
    </w:p>
    <w:p>
      <w:pPr>
        <w:spacing w:after="80" w:line="250" w:lineRule="auto"/>
      </w:pPr>
      <w:r>
        <w:rPr>
          <w:rFonts w:ascii="Aptos" w:hAnsi="Aptos"/>
          <w:sz w:val="18"/>
        </w:rPr>
        <w:t>The following directories require stricter CLAUDE.md files because they can affect architecture, security, production behavior, AI behavior, data correctness, or audit evidence.</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592"/>
            <w:shd w:fill="1F4E79"/>
            <w:tcMar>
              <w:top w:w="45" w:type="dxa"/>
              <w:start w:w="50" w:type="dxa"/>
              <w:bottom w:w="45" w:type="dxa"/>
              <w:end w:w="50" w:type="dxa"/>
            </w:tcMar>
          </w:tcPr>
          <w:p>
            <w:pPr>
              <w:spacing w:after="0"/>
              <w:jc w:val="center"/>
            </w:pPr>
            <w:r>
              <w:rPr>
                <w:rFonts w:ascii="Aptos" w:hAnsi="Aptos"/>
                <w:b/>
                <w:color w:val="FFFFFF"/>
                <w:sz w:val="12"/>
              </w:rPr>
              <w:t>Directory</w:t>
            </w:r>
          </w:p>
        </w:tc>
        <w:tc>
          <w:tcPr>
            <w:tcW w:type="dxa" w:w="7200"/>
            <w:shd w:fill="1F4E79"/>
            <w:tcMar>
              <w:top w:w="45" w:type="dxa"/>
              <w:start w:w="50" w:type="dxa"/>
              <w:bottom w:w="45" w:type="dxa"/>
              <w:end w:w="50" w:type="dxa"/>
            </w:tcMar>
          </w:tcPr>
          <w:p>
            <w:pPr>
              <w:spacing w:after="0"/>
              <w:jc w:val="center"/>
            </w:pPr>
            <w:r>
              <w:rPr>
                <w:rFonts w:ascii="Aptos" w:hAnsi="Aptos"/>
                <w:b/>
                <w:color w:val="FFFFFF"/>
                <w:sz w:val="12"/>
              </w:rPr>
              <w:t>Required Additional Rules</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2"/>
              </w:rPr>
              <w:t>services/orchestrator-service</w:t>
            </w:r>
          </w:p>
        </w:tc>
        <w:tc>
          <w:tcPr>
            <w:tcW w:type="dxa" w:w="7200"/>
            <w:vAlign w:val="top"/>
            <w:tcMar>
              <w:top w:w="42" w:type="dxa"/>
              <w:start w:w="50" w:type="dxa"/>
              <w:bottom w:w="42" w:type="dxa"/>
              <w:end w:w="50" w:type="dxa"/>
            </w:tcMar>
          </w:tcPr>
          <w:p>
            <w:pPr>
              <w:spacing w:after="0" w:line="240" w:lineRule="auto"/>
            </w:pPr>
            <w:r>
              <w:rPr>
                <w:rFonts w:ascii="Aptos" w:hAnsi="Aptos"/>
                <w:sz w:val="12"/>
              </w:rPr>
              <w:t>Prompt assembly, Hermes reasoning, LiteLLM invocation, guardrail sequencing, durable audit intent, no direct tool execution.</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2"/>
              </w:rPr>
              <w:t>services/harness-service</w:t>
            </w:r>
          </w:p>
        </w:tc>
        <w:tc>
          <w:tcPr>
            <w:tcW w:type="dxa" w:w="7200"/>
            <w:vAlign w:val="top"/>
            <w:tcMar>
              <w:top w:w="42" w:type="dxa"/>
              <w:start w:w="50" w:type="dxa"/>
              <w:bottom w:w="42" w:type="dxa"/>
              <w:end w:w="50" w:type="dxa"/>
            </w:tcMar>
          </w:tcPr>
          <w:p>
            <w:pPr>
              <w:spacing w:after="0" w:line="240" w:lineRule="auto"/>
            </w:pPr>
            <w:r>
              <w:rPr>
                <w:rFonts w:ascii="Aptos" w:hAnsi="Aptos"/>
                <w:sz w:val="12"/>
              </w:rPr>
              <w:t>Action vocabulary, SBAC, trust scoring, OPA decisions, downstream credential mediation, audit outbox, no reasoning ownership.</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2"/>
              </w:rPr>
              <w:t>services/retrieval-service</w:t>
            </w:r>
          </w:p>
        </w:tc>
        <w:tc>
          <w:tcPr>
            <w:tcW w:type="dxa" w:w="7200"/>
            <w:vAlign w:val="top"/>
            <w:tcMar>
              <w:top w:w="42" w:type="dxa"/>
              <w:start w:w="50" w:type="dxa"/>
              <w:bottom w:w="42" w:type="dxa"/>
              <w:end w:w="50" w:type="dxa"/>
            </w:tcMar>
          </w:tcPr>
          <w:p>
            <w:pPr>
              <w:spacing w:after="0" w:line="240" w:lineRule="auto"/>
            </w:pPr>
            <w:r>
              <w:rPr>
                <w:rFonts w:ascii="Aptos" w:hAnsi="Aptos"/>
                <w:sz w:val="12"/>
              </w:rPr>
              <w:t>ACL filtering, evidence pack assembly, citations, retrieval rail, no final prompt/model routing ownership.</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2"/>
              </w:rPr>
              <w:t>services/workflow-service</w:t>
            </w:r>
          </w:p>
        </w:tc>
        <w:tc>
          <w:tcPr>
            <w:tcW w:type="dxa" w:w="7200"/>
            <w:vAlign w:val="top"/>
            <w:tcMar>
              <w:top w:w="42" w:type="dxa"/>
              <w:start w:w="50" w:type="dxa"/>
              <w:bottom w:w="42" w:type="dxa"/>
              <w:end w:w="50" w:type="dxa"/>
            </w:tcMar>
          </w:tcPr>
          <w:p>
            <w:pPr>
              <w:spacing w:after="0" w:line="240" w:lineRule="auto"/>
            </w:pPr>
            <w:r>
              <w:rPr>
                <w:rFonts w:ascii="Aptos" w:hAnsi="Aptos"/>
                <w:sz w:val="12"/>
              </w:rPr>
              <w:t>Temporal for machine durability, Flowable for human approvals, deterministic workflow code, compensation and replay safety.</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2"/>
              </w:rPr>
              <w:t>libs/aira-security</w:t>
            </w:r>
          </w:p>
        </w:tc>
        <w:tc>
          <w:tcPr>
            <w:tcW w:type="dxa" w:w="7200"/>
            <w:vAlign w:val="top"/>
            <w:tcMar>
              <w:top w:w="42" w:type="dxa"/>
              <w:start w:w="50" w:type="dxa"/>
              <w:bottom w:w="42" w:type="dxa"/>
              <w:end w:w="50" w:type="dxa"/>
            </w:tcMar>
          </w:tcPr>
          <w:p>
            <w:pPr>
              <w:spacing w:after="0" w:line="240" w:lineRule="auto"/>
            </w:pPr>
            <w:r>
              <w:rPr>
                <w:rFonts w:ascii="Aptos" w:hAnsi="Aptos"/>
                <w:sz w:val="12"/>
              </w:rPr>
              <w:t>No hardcoded roles or secrets; token validation, policy client, mTLS, RLS, least privilege, fail-closed decisions.</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2"/>
              </w:rPr>
              <w:t>infra/kubernetes</w:t>
            </w:r>
          </w:p>
        </w:tc>
        <w:tc>
          <w:tcPr>
            <w:tcW w:type="dxa" w:w="7200"/>
            <w:vAlign w:val="top"/>
            <w:tcMar>
              <w:top w:w="42" w:type="dxa"/>
              <w:start w:w="50" w:type="dxa"/>
              <w:bottom w:w="42" w:type="dxa"/>
              <w:end w:w="50" w:type="dxa"/>
            </w:tcMar>
          </w:tcPr>
          <w:p>
            <w:pPr>
              <w:spacing w:after="0" w:line="240" w:lineRule="auto"/>
            </w:pPr>
            <w:r>
              <w:rPr>
                <w:rFonts w:ascii="Aptos" w:hAnsi="Aptos"/>
                <w:sz w:val="12"/>
              </w:rPr>
              <w:t>GitOps only; no manual kubectl writes; OPA/Gatekeeper policies; signed images; rollback and reconciliation evidence.</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2"/>
              </w:rPr>
              <w:t>infra/flyway</w:t>
            </w:r>
          </w:p>
        </w:tc>
        <w:tc>
          <w:tcPr>
            <w:tcW w:type="dxa" w:w="7200"/>
            <w:vAlign w:val="top"/>
            <w:tcMar>
              <w:top w:w="42" w:type="dxa"/>
              <w:start w:w="50" w:type="dxa"/>
              <w:bottom w:w="42" w:type="dxa"/>
              <w:end w:w="50" w:type="dxa"/>
            </w:tcMar>
          </w:tcPr>
          <w:p>
            <w:pPr>
              <w:spacing w:after="0" w:line="240" w:lineRule="auto"/>
            </w:pPr>
            <w:r>
              <w:rPr>
                <w:rFonts w:ascii="Aptos" w:hAnsi="Aptos"/>
                <w:sz w:val="12"/>
              </w:rPr>
              <w:t>Forward-only migrations, expand/contract discipline, rollback/forward-fix plan, deterministic seed data, no production DDL outside Flyway.</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2"/>
              </w:rPr>
              <w:t>ai/prompts</w:t>
            </w:r>
          </w:p>
        </w:tc>
        <w:tc>
          <w:tcPr>
            <w:tcW w:type="dxa" w:w="7200"/>
            <w:vAlign w:val="top"/>
            <w:tcMar>
              <w:top w:w="42" w:type="dxa"/>
              <w:start w:w="50" w:type="dxa"/>
              <w:bottom w:w="42" w:type="dxa"/>
              <w:end w:w="50" w:type="dxa"/>
            </w:tcMar>
          </w:tcPr>
          <w:p>
            <w:pPr>
              <w:spacing w:after="0" w:line="240" w:lineRule="auto"/>
            </w:pPr>
            <w:r>
              <w:rPr>
                <w:rFonts w:ascii="Aptos" w:hAnsi="Aptos"/>
                <w:sz w:val="12"/>
              </w:rPr>
              <w:t>Prompt versioning, classification ceiling, evaluation dataset, injection testing, human approval for high-impact changes.</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2"/>
              </w:rPr>
              <w:t>ai/guardrails</w:t>
            </w:r>
          </w:p>
        </w:tc>
        <w:tc>
          <w:tcPr>
            <w:tcW w:type="dxa" w:w="7200"/>
            <w:vAlign w:val="top"/>
            <w:tcMar>
              <w:top w:w="42" w:type="dxa"/>
              <w:start w:w="50" w:type="dxa"/>
              <w:bottom w:w="42" w:type="dxa"/>
              <w:end w:w="50" w:type="dxa"/>
            </w:tcMar>
          </w:tcPr>
          <w:p>
            <w:pPr>
              <w:spacing w:after="0" w:line="240" w:lineRule="auto"/>
            </w:pPr>
            <w:r>
              <w:rPr>
                <w:rFonts w:ascii="Aptos" w:hAnsi="Aptos"/>
                <w:sz w:val="12"/>
              </w:rPr>
              <w:t>No bypass rules, four checkpoints, adversarial tests, fail-closed behavior, approval before promotion.</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2"/>
              </w:rPr>
              <w:t>ai/models</w:t>
            </w:r>
          </w:p>
        </w:tc>
        <w:tc>
          <w:tcPr>
            <w:tcW w:type="dxa" w:w="7200"/>
            <w:vAlign w:val="top"/>
            <w:tcMar>
              <w:top w:w="42" w:type="dxa"/>
              <w:start w:w="50" w:type="dxa"/>
              <w:bottom w:w="42" w:type="dxa"/>
              <w:end w:w="50" w:type="dxa"/>
            </w:tcMar>
          </w:tcPr>
          <w:p>
            <w:pPr>
              <w:spacing w:after="0" w:line="240" w:lineRule="auto"/>
            </w:pPr>
            <w:r>
              <w:rPr>
                <w:rFonts w:ascii="Aptos" w:hAnsi="Aptos"/>
                <w:sz w:val="12"/>
              </w:rPr>
              <w:t>Model alias registry only; no hardcoded provider names; classification-aware routes; budget and eval evidence.</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2"/>
              </w:rPr>
              <w:t>microfunctions</w:t>
            </w:r>
          </w:p>
        </w:tc>
        <w:tc>
          <w:tcPr>
            <w:tcW w:type="dxa" w:w="7200"/>
            <w:vAlign w:val="top"/>
            <w:tcMar>
              <w:top w:w="42" w:type="dxa"/>
              <w:start w:w="50" w:type="dxa"/>
              <w:bottom w:w="42" w:type="dxa"/>
              <w:end w:w="50" w:type="dxa"/>
            </w:tcMar>
          </w:tcPr>
          <w:p>
            <w:pPr>
              <w:spacing w:after="0" w:line="240" w:lineRule="auto"/>
            </w:pPr>
            <w:r>
              <w:rPr>
                <w:rFonts w:ascii="Aptos" w:hAnsi="Aptos"/>
                <w:sz w:val="12"/>
              </w:rPr>
              <w:t>Standard concerns stay framework-owned; business logic isolated to STP-BUS-*; idempotency, compensation, audit, and error policy required.</w:t>
            </w:r>
          </w:p>
        </w:tc>
      </w:tr>
      <w:tr>
        <w:trPr>
          <w:cantSplit/>
        </w:trPr>
        <w:tc>
          <w:tcPr>
            <w:tcW w:type="dxa" w:w="2592"/>
            <w:vAlign w:val="top"/>
            <w:tcMar>
              <w:top w:w="42" w:type="dxa"/>
              <w:start w:w="50" w:type="dxa"/>
              <w:bottom w:w="42" w:type="dxa"/>
              <w:end w:w="50" w:type="dxa"/>
            </w:tcMar>
          </w:tcPr>
          <w:p>
            <w:pPr>
              <w:spacing w:after="0" w:line="240" w:lineRule="auto"/>
            </w:pPr>
            <w:r>
              <w:rPr>
                <w:rFonts w:ascii="Aptos" w:hAnsi="Aptos"/>
                <w:sz w:val="12"/>
              </w:rPr>
              <w:t>tests</w:t>
            </w:r>
          </w:p>
        </w:tc>
        <w:tc>
          <w:tcPr>
            <w:tcW w:type="dxa" w:w="7200"/>
            <w:vAlign w:val="top"/>
            <w:tcMar>
              <w:top w:w="42" w:type="dxa"/>
              <w:start w:w="50" w:type="dxa"/>
              <w:bottom w:w="42" w:type="dxa"/>
              <w:end w:w="50" w:type="dxa"/>
            </w:tcMar>
          </w:tcPr>
          <w:p>
            <w:pPr>
              <w:spacing w:after="0" w:line="240" w:lineRule="auto"/>
            </w:pPr>
            <w:r>
              <w:rPr>
                <w:rFonts w:ascii="Aptos" w:hAnsi="Aptos"/>
                <w:sz w:val="12"/>
              </w:rPr>
              <w:t>Synthetic data only, deterministic clocks/seeds, architecture tests, mutation gates, security and AI evaluation coverage.</w:t>
            </w:r>
          </w:p>
        </w:tc>
      </w:tr>
    </w:tbl>
    <w:p/>
    <w:p>
      <w:pPr>
        <w:pStyle w:val="Heading1"/>
        <w:keepNext/>
        <w:spacing w:before="160" w:after="80"/>
      </w:pPr>
    </w:p>
    <w:p>
      <w:pPr>
        <w:spacing w:after="80" w:line="250" w:lineRule="auto"/>
      </w:pPr>
      <w:r>
        <w:rPr>
          <w:rFonts w:ascii="Aptos" w:hAnsi="Aptos"/>
          <w:sz w:val="18"/>
        </w:rPr>
        <w:t>CLAUDE.md rules must be enforceable, not merely advisory. The following controls translate the human-readable rule set into deterministic checks.</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232"/>
            <w:shd w:fill="1F4E79"/>
            <w:tcMar>
              <w:top w:w="45" w:type="dxa"/>
              <w:start w:w="50" w:type="dxa"/>
              <w:bottom w:w="45" w:type="dxa"/>
              <w:end w:w="50" w:type="dxa"/>
            </w:tcMar>
          </w:tcPr>
          <w:p>
            <w:pPr>
              <w:spacing w:after="0"/>
              <w:jc w:val="center"/>
            </w:pPr>
            <w:r>
              <w:rPr>
                <w:rFonts w:ascii="Aptos" w:hAnsi="Aptos"/>
                <w:b/>
                <w:color w:val="FFFFFF"/>
                <w:sz w:val="12"/>
              </w:rPr>
              <w:t>Control</w:t>
            </w:r>
          </w:p>
        </w:tc>
        <w:tc>
          <w:tcPr>
            <w:tcW w:type="dxa" w:w="3528"/>
            <w:shd w:fill="1F4E79"/>
            <w:tcMar>
              <w:top w:w="45" w:type="dxa"/>
              <w:start w:w="50" w:type="dxa"/>
              <w:bottom w:w="45" w:type="dxa"/>
              <w:end w:w="50" w:type="dxa"/>
            </w:tcMar>
          </w:tcPr>
          <w:p>
            <w:pPr>
              <w:spacing w:after="0"/>
              <w:jc w:val="center"/>
            </w:pPr>
            <w:r>
              <w:rPr>
                <w:rFonts w:ascii="Aptos" w:hAnsi="Aptos"/>
                <w:b/>
                <w:color w:val="FFFFFF"/>
                <w:sz w:val="12"/>
              </w:rPr>
              <w:t>Purpose</w:t>
            </w:r>
          </w:p>
        </w:tc>
        <w:tc>
          <w:tcPr>
            <w:tcW w:type="dxa" w:w="4031"/>
            <w:shd w:fill="1F4E79"/>
            <w:tcMar>
              <w:top w:w="45" w:type="dxa"/>
              <w:start w:w="50" w:type="dxa"/>
              <w:bottom w:w="45" w:type="dxa"/>
              <w:end w:w="50" w:type="dxa"/>
            </w:tcMar>
          </w:tcPr>
          <w:p>
            <w:pPr>
              <w:spacing w:after="0"/>
              <w:jc w:val="center"/>
            </w:pPr>
            <w:r>
              <w:rPr>
                <w:rFonts w:ascii="Aptos" w:hAnsi="Aptos"/>
                <w:b/>
                <w:color w:val="FFFFFF"/>
                <w:sz w:val="12"/>
              </w:rPr>
              <w:t>Examples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2"/>
              </w:rPr>
              <w:t>Pre-commit hooks</w:t>
            </w:r>
          </w:p>
        </w:tc>
        <w:tc>
          <w:tcPr>
            <w:tcW w:type="dxa" w:w="3528"/>
            <w:vAlign w:val="top"/>
            <w:tcMar>
              <w:top w:w="42" w:type="dxa"/>
              <w:start w:w="50" w:type="dxa"/>
              <w:bottom w:w="42" w:type="dxa"/>
              <w:end w:w="50" w:type="dxa"/>
            </w:tcMar>
          </w:tcPr>
          <w:p>
            <w:pPr>
              <w:spacing w:after="0" w:line="240" w:lineRule="auto"/>
            </w:pPr>
            <w:r>
              <w:rPr>
                <w:rFonts w:ascii="Aptos" w:hAnsi="Aptos"/>
                <w:sz w:val="12"/>
              </w:rPr>
              <w:t>Catch deterministic violations before commit.</w:t>
            </w:r>
          </w:p>
        </w:tc>
        <w:tc>
          <w:tcPr>
            <w:tcW w:type="dxa" w:w="4031"/>
            <w:vAlign w:val="top"/>
            <w:tcMar>
              <w:top w:w="42" w:type="dxa"/>
              <w:start w:w="50" w:type="dxa"/>
              <w:bottom w:w="42" w:type="dxa"/>
              <w:end w:w="50" w:type="dxa"/>
            </w:tcMar>
          </w:tcPr>
          <w:p>
            <w:pPr>
              <w:spacing w:after="0" w:line="240" w:lineRule="auto"/>
            </w:pPr>
            <w:r>
              <w:rPr>
                <w:rFonts w:ascii="Aptos" w:hAnsi="Aptos"/>
                <w:sz w:val="12"/>
              </w:rPr>
              <w:t>Forbidden imports, secrets scan, direct model SDK detection, CLAUDE.md lock validation.</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2"/>
              </w:rPr>
              <w:t>CI strict mode</w:t>
            </w:r>
          </w:p>
        </w:tc>
        <w:tc>
          <w:tcPr>
            <w:tcW w:type="dxa" w:w="3528"/>
            <w:vAlign w:val="top"/>
            <w:tcMar>
              <w:top w:w="42" w:type="dxa"/>
              <w:start w:w="50" w:type="dxa"/>
              <w:bottom w:w="42" w:type="dxa"/>
              <w:end w:w="50" w:type="dxa"/>
            </w:tcMar>
          </w:tcPr>
          <w:p>
            <w:pPr>
              <w:spacing w:after="0" w:line="240" w:lineRule="auto"/>
            </w:pPr>
            <w:r>
              <w:rPr>
                <w:rFonts w:ascii="Aptos" w:hAnsi="Aptos"/>
                <w:sz w:val="12"/>
              </w:rPr>
              <w:t>Re-run all checks in controlled environment.</w:t>
            </w:r>
          </w:p>
        </w:tc>
        <w:tc>
          <w:tcPr>
            <w:tcW w:type="dxa" w:w="4031"/>
            <w:vAlign w:val="top"/>
            <w:tcMar>
              <w:top w:w="42" w:type="dxa"/>
              <w:start w:w="50" w:type="dxa"/>
              <w:bottom w:w="42" w:type="dxa"/>
              <w:end w:w="50" w:type="dxa"/>
            </w:tcMar>
          </w:tcPr>
          <w:p>
            <w:pPr>
              <w:spacing w:after="0" w:line="240" w:lineRule="auto"/>
            </w:pPr>
            <w:r>
              <w:rPr>
                <w:rFonts w:ascii="Aptos" w:hAnsi="Aptos"/>
                <w:sz w:val="12"/>
              </w:rPr>
              <w:t>Architecture tests, unit tests, contract tests, policy checks, SAST, SCA, SBOM.</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2"/>
              </w:rPr>
              <w:t>CODEOWNERS</w:t>
            </w:r>
          </w:p>
        </w:tc>
        <w:tc>
          <w:tcPr>
            <w:tcW w:type="dxa" w:w="3528"/>
            <w:vAlign w:val="top"/>
            <w:tcMar>
              <w:top w:w="42" w:type="dxa"/>
              <w:start w:w="50" w:type="dxa"/>
              <w:bottom w:w="42" w:type="dxa"/>
              <w:end w:w="50" w:type="dxa"/>
            </w:tcMar>
          </w:tcPr>
          <w:p>
            <w:pPr>
              <w:spacing w:after="0" w:line="240" w:lineRule="auto"/>
            </w:pPr>
            <w:r>
              <w:rPr>
                <w:rFonts w:ascii="Aptos" w:hAnsi="Aptos"/>
                <w:sz w:val="12"/>
              </w:rPr>
              <w:t>Ensure the correct reviewers approve sensitive changes.</w:t>
            </w:r>
          </w:p>
        </w:tc>
        <w:tc>
          <w:tcPr>
            <w:tcW w:type="dxa" w:w="4031"/>
            <w:vAlign w:val="top"/>
            <w:tcMar>
              <w:top w:w="42" w:type="dxa"/>
              <w:start w:w="50" w:type="dxa"/>
              <w:bottom w:w="42" w:type="dxa"/>
              <w:end w:w="50" w:type="dxa"/>
            </w:tcMar>
          </w:tcPr>
          <w:p>
            <w:pPr>
              <w:spacing w:after="0" w:line="240" w:lineRule="auto"/>
            </w:pPr>
            <w:r>
              <w:rPr>
                <w:rFonts w:ascii="Aptos" w:hAnsi="Aptos"/>
                <w:sz w:val="12"/>
              </w:rPr>
              <w:t>Security owns auth/policy; DBA owns migrations; AI governance owns prompts/guardrails.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2"/>
              </w:rPr>
              <w:t>ArchUnit / dependency checks</w:t>
            </w:r>
          </w:p>
        </w:tc>
        <w:tc>
          <w:tcPr>
            <w:tcW w:type="dxa" w:w="3528"/>
            <w:vAlign w:val="top"/>
            <w:tcMar>
              <w:top w:w="42" w:type="dxa"/>
              <w:start w:w="50" w:type="dxa"/>
              <w:bottom w:w="42" w:type="dxa"/>
              <w:end w:w="50" w:type="dxa"/>
            </w:tcMar>
          </w:tcPr>
          <w:p>
            <w:pPr>
              <w:spacing w:after="0" w:line="240" w:lineRule="auto"/>
            </w:pPr>
            <w:r>
              <w:rPr>
                <w:rFonts w:ascii="Aptos" w:hAnsi="Aptos"/>
                <w:sz w:val="12"/>
              </w:rPr>
              <w:t>Protect Clean Architecture, ports/adapters, and bounded context boundaries.</w:t>
            </w:r>
          </w:p>
        </w:tc>
        <w:tc>
          <w:tcPr>
            <w:tcW w:type="dxa" w:w="4031"/>
            <w:vAlign w:val="top"/>
            <w:tcMar>
              <w:top w:w="42" w:type="dxa"/>
              <w:start w:w="50" w:type="dxa"/>
              <w:bottom w:w="42" w:type="dxa"/>
              <w:end w:w="50" w:type="dxa"/>
            </w:tcMar>
          </w:tcPr>
          <w:p>
            <w:pPr>
              <w:spacing w:after="0" w:line="240" w:lineRule="auto"/>
            </w:pPr>
            <w:r>
              <w:rPr>
                <w:rFonts w:ascii="Aptos" w:hAnsi="Aptos"/>
                <w:sz w:val="12"/>
              </w:rPr>
              <w:t>No domain -&gt; infrastructure dependency; no cross-context direct write dependency.</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2"/>
              </w:rPr>
              <w:t>Semgrep / custom rules</w:t>
            </w:r>
          </w:p>
        </w:tc>
        <w:tc>
          <w:tcPr>
            <w:tcW w:type="dxa" w:w="3528"/>
            <w:vAlign w:val="top"/>
            <w:tcMar>
              <w:top w:w="42" w:type="dxa"/>
              <w:start w:w="50" w:type="dxa"/>
              <w:bottom w:w="42" w:type="dxa"/>
              <w:end w:w="50" w:type="dxa"/>
            </w:tcMar>
          </w:tcPr>
          <w:p>
            <w:pPr>
              <w:spacing w:after="0" w:line="240" w:lineRule="auto"/>
            </w:pPr>
            <w:r>
              <w:rPr>
                <w:rFonts w:ascii="Aptos" w:hAnsi="Aptos"/>
                <w:sz w:val="12"/>
              </w:rPr>
              <w:t>Detect unsafe patterns and AI bypasses.</w:t>
            </w:r>
          </w:p>
        </w:tc>
        <w:tc>
          <w:tcPr>
            <w:tcW w:type="dxa" w:w="4031"/>
            <w:vAlign w:val="top"/>
            <w:tcMar>
              <w:top w:w="42" w:type="dxa"/>
              <w:start w:w="50" w:type="dxa"/>
              <w:bottom w:w="42" w:type="dxa"/>
              <w:end w:w="50" w:type="dxa"/>
            </w:tcMar>
          </w:tcPr>
          <w:p>
            <w:pPr>
              <w:spacing w:after="0" w:line="240" w:lineRule="auto"/>
            </w:pPr>
            <w:r>
              <w:rPr>
                <w:rFonts w:ascii="Aptos" w:hAnsi="Aptos"/>
                <w:sz w:val="12"/>
              </w:rPr>
              <w:t>Provider SDK imports, raw PII logging, bypass flags, direct credentials.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2"/>
              </w:rPr>
              <w:t>OPA / Conftest</w:t>
            </w:r>
          </w:p>
        </w:tc>
        <w:tc>
          <w:tcPr>
            <w:tcW w:type="dxa" w:w="3528"/>
            <w:vAlign w:val="top"/>
            <w:tcMar>
              <w:top w:w="42" w:type="dxa"/>
              <w:start w:w="50" w:type="dxa"/>
              <w:bottom w:w="42" w:type="dxa"/>
              <w:end w:w="50" w:type="dxa"/>
            </w:tcMar>
          </w:tcPr>
          <w:p>
            <w:pPr>
              <w:spacing w:after="0" w:line="240" w:lineRule="auto"/>
            </w:pPr>
            <w:r>
              <w:rPr>
                <w:rFonts w:ascii="Aptos" w:hAnsi="Aptos"/>
                <w:sz w:val="12"/>
              </w:rPr>
              <w:t>Evaluate policy-as-code before merge or deployment.</w:t>
            </w:r>
          </w:p>
        </w:tc>
        <w:tc>
          <w:tcPr>
            <w:tcW w:type="dxa" w:w="4031"/>
            <w:vAlign w:val="top"/>
            <w:tcMar>
              <w:top w:w="42" w:type="dxa"/>
              <w:start w:w="50" w:type="dxa"/>
              <w:bottom w:w="42" w:type="dxa"/>
              <w:end w:w="50" w:type="dxa"/>
            </w:tcMar>
          </w:tcPr>
          <w:p>
            <w:pPr>
              <w:spacing w:after="0" w:line="240" w:lineRule="auto"/>
            </w:pPr>
            <w:r>
              <w:rPr>
                <w:rFonts w:ascii="Aptos" w:hAnsi="Aptos"/>
                <w:sz w:val="12"/>
              </w:rPr>
              <w:t>Kubernetes manifests, Terraform, model routes, guardrail policies, pipeline permissions.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2"/>
              </w:rPr>
              <w:t>SonarQube</w:t>
            </w:r>
          </w:p>
        </w:tc>
        <w:tc>
          <w:tcPr>
            <w:tcW w:type="dxa" w:w="3528"/>
            <w:vAlign w:val="top"/>
            <w:tcMar>
              <w:top w:w="42" w:type="dxa"/>
              <w:start w:w="50" w:type="dxa"/>
              <w:bottom w:w="42" w:type="dxa"/>
              <w:end w:w="50" w:type="dxa"/>
            </w:tcMar>
          </w:tcPr>
          <w:p>
            <w:pPr>
              <w:spacing w:after="0" w:line="240" w:lineRule="auto"/>
            </w:pPr>
            <w:r>
              <w:rPr>
                <w:rFonts w:ascii="Aptos" w:hAnsi="Aptos"/>
                <w:sz w:val="12"/>
              </w:rPr>
              <w:t>Quality, maintainability, duplication, complexity, security hotspots.</w:t>
            </w:r>
          </w:p>
        </w:tc>
        <w:tc>
          <w:tcPr>
            <w:tcW w:type="dxa" w:w="4031"/>
            <w:vAlign w:val="top"/>
            <w:tcMar>
              <w:top w:w="42" w:type="dxa"/>
              <w:start w:w="50" w:type="dxa"/>
              <w:bottom w:w="42" w:type="dxa"/>
              <w:end w:w="50" w:type="dxa"/>
            </w:tcMar>
          </w:tcPr>
          <w:p>
            <w:pPr>
              <w:spacing w:after="0" w:line="240" w:lineRule="auto"/>
            </w:pPr>
            <w:r>
              <w:rPr>
                <w:rFonts w:ascii="Aptos" w:hAnsi="Aptos"/>
                <w:sz w:val="12"/>
              </w:rPr>
              <w:t>Complexity thresholds, dead code, code smells, vulnerabilities.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2"/>
              </w:rPr>
              <w:t>Mutation and coverage gates</w:t>
            </w:r>
          </w:p>
        </w:tc>
        <w:tc>
          <w:tcPr>
            <w:tcW w:type="dxa" w:w="3528"/>
            <w:vAlign w:val="top"/>
            <w:tcMar>
              <w:top w:w="42" w:type="dxa"/>
              <w:start w:w="50" w:type="dxa"/>
              <w:bottom w:w="42" w:type="dxa"/>
              <w:end w:w="50" w:type="dxa"/>
            </w:tcMar>
          </w:tcPr>
          <w:p>
            <w:pPr>
              <w:spacing w:after="0" w:line="240" w:lineRule="auto"/>
            </w:pPr>
            <w:r>
              <w:rPr>
                <w:rFonts w:ascii="Aptos" w:hAnsi="Aptos"/>
                <w:sz w:val="12"/>
              </w:rPr>
              <w:t>Prove tests can detect behavioral changes.</w:t>
            </w:r>
          </w:p>
        </w:tc>
        <w:tc>
          <w:tcPr>
            <w:tcW w:type="dxa" w:w="4031"/>
            <w:vAlign w:val="top"/>
            <w:tcMar>
              <w:top w:w="42" w:type="dxa"/>
              <w:start w:w="50" w:type="dxa"/>
              <w:bottom w:w="42" w:type="dxa"/>
              <w:end w:w="50" w:type="dxa"/>
            </w:tcMar>
          </w:tcPr>
          <w:p>
            <w:pPr>
              <w:spacing w:after="0" w:line="240" w:lineRule="auto"/>
            </w:pPr>
            <w:r>
              <w:rPr>
                <w:rFonts w:ascii="Aptos" w:hAnsi="Aptos"/>
                <w:sz w:val="12"/>
              </w:rPr>
              <w:t>Mutation score threshold, changed-line coverage, branch coverage.</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2"/>
              </w:rPr>
              <w:t>Audit evidence generator</w:t>
            </w:r>
          </w:p>
        </w:tc>
        <w:tc>
          <w:tcPr>
            <w:tcW w:type="dxa" w:w="3528"/>
            <w:vAlign w:val="top"/>
            <w:tcMar>
              <w:top w:w="42" w:type="dxa"/>
              <w:start w:w="50" w:type="dxa"/>
              <w:bottom w:w="42" w:type="dxa"/>
              <w:end w:w="50" w:type="dxa"/>
            </w:tcMar>
          </w:tcPr>
          <w:p>
            <w:pPr>
              <w:spacing w:after="0" w:line="240" w:lineRule="auto"/>
            </w:pPr>
            <w:r>
              <w:rPr>
                <w:rFonts w:ascii="Aptos" w:hAnsi="Aptos"/>
                <w:sz w:val="12"/>
              </w:rPr>
              <w:t>Persist AVCI evidence for reviewers and auditors.</w:t>
            </w:r>
          </w:p>
        </w:tc>
        <w:tc>
          <w:tcPr>
            <w:tcW w:type="dxa" w:w="4031"/>
            <w:vAlign w:val="top"/>
            <w:tcMar>
              <w:top w:w="42" w:type="dxa"/>
              <w:start w:w="50" w:type="dxa"/>
              <w:bottom w:w="42" w:type="dxa"/>
              <w:end w:w="50" w:type="dxa"/>
            </w:tcMar>
          </w:tcPr>
          <w:p>
            <w:pPr>
              <w:spacing w:after="0" w:line="240" w:lineRule="auto"/>
            </w:pPr>
            <w:r>
              <w:rPr>
                <w:rFonts w:ascii="Aptos" w:hAnsi="Aptos"/>
                <w:sz w:val="12"/>
              </w:rPr>
              <w:t>PR summary, CI evidence pack, tool/model usage, reviewer signoff.</w:t>
            </w:r>
          </w:p>
        </w:tc>
      </w:tr>
    </w:tbl>
    <w:p/>
    <w:p>
      <w:pPr>
        <w:pStyle w:val="Heading1"/>
        <w:keepNext/>
        <w:spacing w:before="160" w:after="80"/>
      </w:pPr>
    </w:p>
    <w:p>
      <w:pPr>
        <w:spacing w:after="80" w:line="250" w:lineRule="auto"/>
      </w:pPr>
      <w:r>
        <w:rPr>
          <w:rFonts w:ascii="Aptos" w:hAnsi="Aptos"/>
          <w:sz w:val="18"/>
        </w:rPr>
        <w:t>CLAUDE.md is the Golden Source for repository rules. Other tools may need adapters, but the adapters must be generated from the same rule source and reviewed through normal code review. AIRA must not maintain parallel, inconsistent AI rulebooks.</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232"/>
            <w:shd w:fill="1F4E79"/>
            <w:tcMar>
              <w:top w:w="45" w:type="dxa"/>
              <w:start w:w="50" w:type="dxa"/>
              <w:bottom w:w="45" w:type="dxa"/>
              <w:end w:w="50" w:type="dxa"/>
            </w:tcMar>
          </w:tcPr>
          <w:p>
            <w:pPr>
              <w:spacing w:after="0"/>
              <w:jc w:val="center"/>
            </w:pPr>
            <w:r>
              <w:rPr>
                <w:rFonts w:ascii="Aptos" w:hAnsi="Aptos"/>
                <w:b/>
                <w:color w:val="FFFFFF"/>
                <w:sz w:val="13"/>
              </w:rPr>
              <w:t>Adapter</w:t>
            </w:r>
          </w:p>
        </w:tc>
        <w:tc>
          <w:tcPr>
            <w:tcW w:type="dxa" w:w="4392"/>
            <w:shd w:fill="1F4E79"/>
            <w:tcMar>
              <w:top w:w="45" w:type="dxa"/>
              <w:start w:w="50" w:type="dxa"/>
              <w:bottom w:w="45" w:type="dxa"/>
              <w:end w:w="50" w:type="dxa"/>
            </w:tcMar>
          </w:tcPr>
          <w:p>
            <w:pPr>
              <w:spacing w:after="0"/>
              <w:jc w:val="center"/>
            </w:pPr>
            <w:r>
              <w:rPr>
                <w:rFonts w:ascii="Aptos" w:hAnsi="Aptos"/>
                <w:b/>
                <w:color w:val="FFFFFF"/>
                <w:sz w:val="13"/>
              </w:rPr>
              <w:t>Allowed Use</w:t>
            </w:r>
          </w:p>
        </w:tc>
        <w:tc>
          <w:tcPr>
            <w:tcW w:type="dxa" w:w="3168"/>
            <w:shd w:fill="1F4E79"/>
            <w:tcMar>
              <w:top w:w="45" w:type="dxa"/>
              <w:start w:w="50" w:type="dxa"/>
              <w:bottom w:w="45" w:type="dxa"/>
              <w:end w:w="50" w:type="dxa"/>
            </w:tcMar>
          </w:tcPr>
          <w:p>
            <w:pPr>
              <w:spacing w:after="0"/>
              <w:jc w:val="center"/>
            </w:pPr>
            <w:r>
              <w:rPr>
                <w:rFonts w:ascii="Aptos" w:hAnsi="Aptos"/>
                <w:b/>
                <w:color w:val="FFFFFF"/>
                <w:sz w:val="13"/>
              </w:rPr>
              <w:t>Restriction</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AGENTS.md</w:t>
            </w:r>
          </w:p>
        </w:tc>
        <w:tc>
          <w:tcPr>
            <w:tcW w:type="dxa" w:w="4392"/>
            <w:vAlign w:val="top"/>
            <w:tcMar>
              <w:top w:w="42" w:type="dxa"/>
              <w:start w:w="50" w:type="dxa"/>
              <w:bottom w:w="42" w:type="dxa"/>
              <w:end w:w="50" w:type="dxa"/>
            </w:tcMar>
          </w:tcPr>
          <w:p>
            <w:pPr>
              <w:spacing w:after="0" w:line="240" w:lineRule="auto"/>
            </w:pPr>
            <w:r>
              <w:rPr>
                <w:rFonts w:ascii="Aptos" w:hAnsi="Aptos"/>
                <w:sz w:val="13"/>
              </w:rPr>
              <w:t>Tool-neutral or Codex-compatible repository guidance generated from CLAUDE.md.</w:t>
            </w:r>
          </w:p>
        </w:tc>
        <w:tc>
          <w:tcPr>
            <w:tcW w:type="dxa" w:w="3168"/>
            <w:vAlign w:val="top"/>
            <w:tcMar>
              <w:top w:w="42" w:type="dxa"/>
              <w:start w:w="50" w:type="dxa"/>
              <w:bottom w:w="42" w:type="dxa"/>
              <w:end w:w="50" w:type="dxa"/>
            </w:tcMar>
          </w:tcPr>
          <w:p>
            <w:pPr>
              <w:spacing w:after="0" w:line="240" w:lineRule="auto"/>
            </w:pPr>
            <w:r>
              <w:rPr>
                <w:rFonts w:ascii="Aptos" w:hAnsi="Aptos"/>
                <w:sz w:val="13"/>
              </w:rPr>
              <w:t>Must not weaken root or directory CLAUDE.md rules.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IDE assistant rules</w:t>
            </w:r>
          </w:p>
        </w:tc>
        <w:tc>
          <w:tcPr>
            <w:tcW w:type="dxa" w:w="4392"/>
            <w:vAlign w:val="top"/>
            <w:tcMar>
              <w:top w:w="42" w:type="dxa"/>
              <w:start w:w="50" w:type="dxa"/>
              <w:bottom w:w="42" w:type="dxa"/>
              <w:end w:w="50" w:type="dxa"/>
            </w:tcMar>
          </w:tcPr>
          <w:p>
            <w:pPr>
              <w:spacing w:after="0" w:line="240" w:lineRule="auto"/>
            </w:pPr>
            <w:r>
              <w:rPr>
                <w:rFonts w:ascii="Aptos" w:hAnsi="Aptos"/>
                <w:sz w:val="13"/>
              </w:rPr>
              <w:t>VS Code, Windsurf, or other approved IDE assistant instructions.</w:t>
            </w:r>
          </w:p>
        </w:tc>
        <w:tc>
          <w:tcPr>
            <w:tcW w:type="dxa" w:w="3168"/>
            <w:vAlign w:val="top"/>
            <w:tcMar>
              <w:top w:w="42" w:type="dxa"/>
              <w:start w:w="50" w:type="dxa"/>
              <w:bottom w:w="42" w:type="dxa"/>
              <w:end w:w="50" w:type="dxa"/>
            </w:tcMar>
          </w:tcPr>
          <w:p>
            <w:pPr>
              <w:spacing w:after="0" w:line="240" w:lineRule="auto"/>
            </w:pPr>
            <w:r>
              <w:rPr>
                <w:rFonts w:ascii="Aptos" w:hAnsi="Aptos"/>
                <w:sz w:val="13"/>
              </w:rPr>
              <w:t>Must be derived from the canonical template registry.</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CI rule bundle</w:t>
            </w:r>
          </w:p>
        </w:tc>
        <w:tc>
          <w:tcPr>
            <w:tcW w:type="dxa" w:w="4392"/>
            <w:vAlign w:val="top"/>
            <w:tcMar>
              <w:top w:w="42" w:type="dxa"/>
              <w:start w:w="50" w:type="dxa"/>
              <w:bottom w:w="42" w:type="dxa"/>
              <w:end w:w="50" w:type="dxa"/>
            </w:tcMar>
          </w:tcPr>
          <w:p>
            <w:pPr>
              <w:spacing w:after="0" w:line="240" w:lineRule="auto"/>
            </w:pPr>
            <w:r>
              <w:rPr>
                <w:rFonts w:ascii="Aptos" w:hAnsi="Aptos"/>
                <w:sz w:val="13"/>
              </w:rPr>
              <w:t>Machine-readable compiled rules for hooks and CI gates.</w:t>
            </w:r>
          </w:p>
        </w:tc>
        <w:tc>
          <w:tcPr>
            <w:tcW w:type="dxa" w:w="3168"/>
            <w:vAlign w:val="top"/>
            <w:tcMar>
              <w:top w:w="42" w:type="dxa"/>
              <w:start w:w="50" w:type="dxa"/>
              <w:bottom w:w="42" w:type="dxa"/>
              <w:end w:w="50" w:type="dxa"/>
            </w:tcMar>
          </w:tcPr>
          <w:p>
            <w:pPr>
              <w:spacing w:after="0" w:line="240" w:lineRule="auto"/>
            </w:pPr>
            <w:r>
              <w:rPr>
                <w:rFonts w:ascii="Aptos" w:hAnsi="Aptos"/>
                <w:sz w:val="13"/>
              </w:rPr>
              <w:t>Must be version locked and traceable to CLAUDE.md source version.</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Prompt snippets</w:t>
            </w:r>
          </w:p>
        </w:tc>
        <w:tc>
          <w:tcPr>
            <w:tcW w:type="dxa" w:w="4392"/>
            <w:vAlign w:val="top"/>
            <w:tcMar>
              <w:top w:w="42" w:type="dxa"/>
              <w:start w:w="50" w:type="dxa"/>
              <w:bottom w:w="42" w:type="dxa"/>
              <w:end w:w="50" w:type="dxa"/>
            </w:tcMar>
          </w:tcPr>
          <w:p>
            <w:pPr>
              <w:spacing w:after="0" w:line="240" w:lineRule="auto"/>
            </w:pPr>
            <w:r>
              <w:rPr>
                <w:rFonts w:ascii="Aptos" w:hAnsi="Aptos"/>
                <w:sz w:val="13"/>
              </w:rPr>
              <w:t>Approved reusable prompts for code review, tests, architecture review, and documentation.</w:t>
            </w:r>
          </w:p>
        </w:tc>
        <w:tc>
          <w:tcPr>
            <w:tcW w:type="dxa" w:w="3168"/>
            <w:vAlign w:val="top"/>
            <w:tcMar>
              <w:top w:w="42" w:type="dxa"/>
              <w:start w:w="50" w:type="dxa"/>
              <w:bottom w:w="42" w:type="dxa"/>
              <w:end w:w="50" w:type="dxa"/>
            </w:tcMar>
          </w:tcPr>
          <w:p>
            <w:pPr>
              <w:spacing w:after="0" w:line="240" w:lineRule="auto"/>
            </w:pPr>
            <w:r>
              <w:rPr>
                <w:rFonts w:ascii="Aptos" w:hAnsi="Aptos"/>
                <w:sz w:val="13"/>
              </w:rPr>
              <w:t>Must include classification, evidence, and human accountability reminders.</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Agent skill profiles</w:t>
            </w:r>
          </w:p>
        </w:tc>
        <w:tc>
          <w:tcPr>
            <w:tcW w:type="dxa" w:w="4392"/>
            <w:vAlign w:val="top"/>
            <w:tcMar>
              <w:top w:w="42" w:type="dxa"/>
              <w:start w:w="50" w:type="dxa"/>
              <w:bottom w:w="42" w:type="dxa"/>
              <w:end w:w="50" w:type="dxa"/>
            </w:tcMar>
          </w:tcPr>
          <w:p>
            <w:pPr>
              <w:spacing w:after="0" w:line="240" w:lineRule="auto"/>
            </w:pPr>
            <w:r>
              <w:rPr>
                <w:rFonts w:ascii="Aptos" w:hAnsi="Aptos"/>
                <w:sz w:val="13"/>
              </w:rPr>
              <w:t>Used by Harness/SBAC to scope agent actions.</w:t>
            </w:r>
          </w:p>
        </w:tc>
        <w:tc>
          <w:tcPr>
            <w:tcW w:type="dxa" w:w="3168"/>
            <w:vAlign w:val="top"/>
            <w:tcMar>
              <w:top w:w="42" w:type="dxa"/>
              <w:start w:w="50" w:type="dxa"/>
              <w:bottom w:w="42" w:type="dxa"/>
              <w:end w:w="50" w:type="dxa"/>
            </w:tcMar>
          </w:tcPr>
          <w:p>
            <w:pPr>
              <w:spacing w:after="0" w:line="240" w:lineRule="auto"/>
            </w:pPr>
            <w:r>
              <w:rPr>
                <w:rFonts w:ascii="Aptos" w:hAnsi="Aptos"/>
                <w:sz w:val="13"/>
              </w:rPr>
              <w:t>Must reference approved skills, trust thresholds, and permitted actions only.</w:t>
            </w:r>
          </w:p>
        </w:tc>
      </w:tr>
    </w:tbl>
    <w:p/>
    <w:tbl>
      <w:tblPr>
        <w:tblStyle w:val="TableGrid"/>
        <w:tblW w:type="auto" w:w="0"/>
        <w:jc w:val="center"/>
        <w:tblLook w:firstColumn="1" w:firstRow="1" w:lastColumn="0" w:lastRow="0" w:noHBand="0" w:noVBand="1" w:val="04A0"/>
      </w:tblPr>
      <w:tblGrid>
        <w:gridCol w:w="10454"/>
      </w:tblGrid>
      <w:tr>
        <w:tc>
          <w:tcPr>
            <w:tcW w:type="dxa" w:w="10454"/>
            <w:shd w:fill="FFF2CC"/>
            <w:tcMar>
              <w:top w:w="125" w:type="dxa"/>
              <w:start w:w="145" w:type="dxa"/>
              <w:bottom w:w="125" w:type="dxa"/>
              <w:end w:w="145" w:type="dxa"/>
            </w:tcMar>
          </w:tcPr>
          <w:p>
            <w:pPr>
              <w:spacing w:after="60"/>
            </w:pPr>
            <w:r>
              <w:rPr>
                <w:rFonts w:ascii="Aptos" w:hAnsi="Aptos"/>
                <w:b/>
                <w:color w:val="7F6000"/>
                <w:sz w:val="18"/>
              </w:rPr>
              <w:t>No Parallel Rulebooks</w:t>
            </w:r>
          </w:p>
          <w:p>
            <w:pPr>
              <w:spacing w:after="0"/>
            </w:pPr>
            <w:r>
              <w:rPr>
                <w:rFonts w:ascii="Aptos" w:hAnsi="Aptos"/>
                <w:sz w:val="17"/>
              </w:rPr>
              <w:t>Do not keep separate instructions for different AI tools if they can conflict. CLAUDE.md remains canonical; adapters are projections. When CLAUDE.md changes, adapters and lock files must be regenerated and reviewed.</w:t>
            </w:r>
          </w:p>
        </w:tc>
      </w:tr>
    </w:tbl>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800"/>
            <w:shd w:fill="1F4E79"/>
            <w:tcMar>
              <w:top w:w="45" w:type="dxa"/>
              <w:start w:w="50" w:type="dxa"/>
              <w:bottom w:w="45" w:type="dxa"/>
              <w:end w:w="50" w:type="dxa"/>
            </w:tcMar>
          </w:tcPr>
          <w:p>
            <w:pPr>
              <w:spacing w:after="0"/>
              <w:jc w:val="center"/>
            </w:pPr>
            <w:r>
              <w:rPr>
                <w:rFonts w:ascii="Aptos" w:hAnsi="Aptos"/>
                <w:b/>
                <w:color w:val="FFFFFF"/>
                <w:sz w:val="12"/>
              </w:rPr>
              <w:t>Capability</w:t>
            </w:r>
          </w:p>
        </w:tc>
        <w:tc>
          <w:tcPr>
            <w:tcW w:type="dxa" w:w="4896"/>
            <w:shd w:fill="1F4E79"/>
            <w:tcMar>
              <w:top w:w="45" w:type="dxa"/>
              <w:start w:w="50" w:type="dxa"/>
              <w:bottom w:w="45" w:type="dxa"/>
              <w:end w:w="50" w:type="dxa"/>
            </w:tcMar>
          </w:tcPr>
          <w:p>
            <w:pPr>
              <w:spacing w:after="0"/>
              <w:jc w:val="center"/>
            </w:pPr>
            <w:r>
              <w:rPr>
                <w:rFonts w:ascii="Aptos" w:hAnsi="Aptos"/>
                <w:b/>
                <w:color w:val="FFFFFF"/>
                <w:sz w:val="12"/>
              </w:rPr>
              <w:t>CLAUDE.md Rule</w:t>
            </w:r>
          </w:p>
        </w:tc>
        <w:tc>
          <w:tcPr>
            <w:tcW w:type="dxa" w:w="3096"/>
            <w:shd w:fill="1F4E79"/>
            <w:tcMar>
              <w:top w:w="45" w:type="dxa"/>
              <w:start w:w="50" w:type="dxa"/>
              <w:bottom w:w="45" w:type="dxa"/>
              <w:end w:w="50" w:type="dxa"/>
            </w:tcMar>
          </w:tcPr>
          <w:p>
            <w:pPr>
              <w:spacing w:after="0"/>
              <w:jc w:val="center"/>
            </w:pPr>
            <w:r>
              <w:rPr>
                <w:rFonts w:ascii="Aptos" w:hAnsi="Aptos"/>
                <w:b/>
                <w:color w:val="FFFFFF"/>
                <w:sz w:val="12"/>
              </w:rPr>
              <w:t>Reject If</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Auto-Heal</w:t>
            </w:r>
          </w:p>
        </w:tc>
        <w:tc>
          <w:tcPr>
            <w:tcW w:type="dxa" w:w="4896"/>
            <w:vAlign w:val="top"/>
            <w:tcMar>
              <w:top w:w="42" w:type="dxa"/>
              <w:start w:w="50" w:type="dxa"/>
              <w:bottom w:w="42" w:type="dxa"/>
              <w:end w:w="50" w:type="dxa"/>
            </w:tcMar>
          </w:tcPr>
          <w:p>
            <w:pPr>
              <w:spacing w:after="0" w:line="240" w:lineRule="auto"/>
            </w:pPr>
            <w:r>
              <w:rPr>
                <w:rFonts w:ascii="Aptos" w:hAnsi="Aptos"/>
                <w:sz w:val="12"/>
              </w:rPr>
              <w:t>May diagnose, propose, draft tests, draft PRs, and run safe non-production checks only within Harness/SBAC/OPA boundaries.</w:t>
            </w:r>
          </w:p>
        </w:tc>
        <w:tc>
          <w:tcPr>
            <w:tcW w:type="dxa" w:w="3096"/>
            <w:vAlign w:val="top"/>
            <w:tcMar>
              <w:top w:w="42" w:type="dxa"/>
              <w:start w:w="50" w:type="dxa"/>
              <w:bottom w:w="42" w:type="dxa"/>
              <w:end w:w="50" w:type="dxa"/>
            </w:tcMar>
          </w:tcPr>
          <w:p>
            <w:pPr>
              <w:spacing w:after="0" w:line="240" w:lineRule="auto"/>
            </w:pPr>
            <w:r>
              <w:rPr>
                <w:rFonts w:ascii="Aptos" w:hAnsi="Aptos"/>
                <w:sz w:val="12"/>
              </w:rPr>
              <w:t>The fix bypasses architecture, weakens tests, disables guardrails, hides errors, removes audit, or lacks rollback/compensation.</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Auto-Learn</w:t>
            </w:r>
          </w:p>
        </w:tc>
        <w:tc>
          <w:tcPr>
            <w:tcW w:type="dxa" w:w="4896"/>
            <w:vAlign w:val="top"/>
            <w:tcMar>
              <w:top w:w="42" w:type="dxa"/>
              <w:start w:w="50" w:type="dxa"/>
              <w:bottom w:w="42" w:type="dxa"/>
              <w:end w:w="50" w:type="dxa"/>
            </w:tcMar>
          </w:tcPr>
          <w:p>
            <w:pPr>
              <w:spacing w:after="0" w:line="240" w:lineRule="auto"/>
            </w:pPr>
            <w:r>
              <w:rPr>
                <w:rFonts w:ascii="Aptos" w:hAnsi="Aptos"/>
                <w:sz w:val="12"/>
              </w:rPr>
              <w:t>May propose lessons, runbook updates, prompt changes, guardrail tests, and knowledge updates for human review.</w:t>
            </w:r>
          </w:p>
        </w:tc>
        <w:tc>
          <w:tcPr>
            <w:tcW w:type="dxa" w:w="3096"/>
            <w:vAlign w:val="top"/>
            <w:tcMar>
              <w:top w:w="42" w:type="dxa"/>
              <w:start w:w="50" w:type="dxa"/>
              <w:bottom w:w="42" w:type="dxa"/>
              <w:end w:w="50" w:type="dxa"/>
            </w:tcMar>
          </w:tcPr>
          <w:p>
            <w:pPr>
              <w:spacing w:after="0" w:line="240" w:lineRule="auto"/>
            </w:pPr>
            <w:r>
              <w:rPr>
                <w:rFonts w:ascii="Aptos" w:hAnsi="Aptos"/>
                <w:sz w:val="12"/>
              </w:rPr>
              <w:t>The lesson is unreviewed, stale, uncited, classification-unsafe, contradictory, or promoted directly to authoritative knowledge.</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Auto-Improve</w:t>
            </w:r>
          </w:p>
        </w:tc>
        <w:tc>
          <w:tcPr>
            <w:tcW w:type="dxa" w:w="4896"/>
            <w:vAlign w:val="top"/>
            <w:tcMar>
              <w:top w:w="42" w:type="dxa"/>
              <w:start w:w="50" w:type="dxa"/>
              <w:bottom w:w="42" w:type="dxa"/>
              <w:end w:w="50" w:type="dxa"/>
            </w:tcMar>
          </w:tcPr>
          <w:p>
            <w:pPr>
              <w:spacing w:after="0" w:line="240" w:lineRule="auto"/>
            </w:pPr>
            <w:r>
              <w:rPr>
                <w:rFonts w:ascii="Aptos" w:hAnsi="Aptos"/>
                <w:sz w:val="12"/>
              </w:rPr>
              <w:t>May propose refactoring, policy tightening, fitness functions, test improvements, and technology-stack recommendations.</w:t>
            </w:r>
          </w:p>
        </w:tc>
        <w:tc>
          <w:tcPr>
            <w:tcW w:type="dxa" w:w="3096"/>
            <w:vAlign w:val="top"/>
            <w:tcMar>
              <w:top w:w="42" w:type="dxa"/>
              <w:start w:w="50" w:type="dxa"/>
              <w:bottom w:w="42" w:type="dxa"/>
              <w:end w:w="50" w:type="dxa"/>
            </w:tcMar>
          </w:tcPr>
          <w:p>
            <w:pPr>
              <w:spacing w:after="0" w:line="240" w:lineRule="auto"/>
            </w:pPr>
            <w:r>
              <w:rPr>
                <w:rFonts w:ascii="Aptos" w:hAnsi="Aptos"/>
                <w:sz w:val="12"/>
              </w:rPr>
              <w:t>The improvement adds speculative complexity, breaks bounded context ownership, reduces observability, or lacks measurable benefit.</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AutoResearch</w:t>
            </w:r>
          </w:p>
        </w:tc>
        <w:tc>
          <w:tcPr>
            <w:tcW w:type="dxa" w:w="4896"/>
            <w:vAlign w:val="top"/>
            <w:tcMar>
              <w:top w:w="42" w:type="dxa"/>
              <w:start w:w="50" w:type="dxa"/>
              <w:bottom w:w="42" w:type="dxa"/>
              <w:end w:w="50" w:type="dxa"/>
            </w:tcMar>
          </w:tcPr>
          <w:p>
            <w:pPr>
              <w:spacing w:after="0" w:line="240" w:lineRule="auto"/>
            </w:pPr>
            <w:r>
              <w:rPr>
                <w:rFonts w:ascii="Aptos" w:hAnsi="Aptos"/>
                <w:sz w:val="12"/>
              </w:rPr>
              <w:t>May collect external or internal signals only through approved classification and citation rules.</w:t>
            </w:r>
          </w:p>
        </w:tc>
        <w:tc>
          <w:tcPr>
            <w:tcW w:type="dxa" w:w="3096"/>
            <w:vAlign w:val="top"/>
            <w:tcMar>
              <w:top w:w="42" w:type="dxa"/>
              <w:start w:w="50" w:type="dxa"/>
              <w:bottom w:w="42" w:type="dxa"/>
              <w:end w:w="50" w:type="dxa"/>
            </w:tcMar>
          </w:tcPr>
          <w:p>
            <w:pPr>
              <w:spacing w:after="0" w:line="240" w:lineRule="auto"/>
            </w:pPr>
            <w:r>
              <w:rPr>
                <w:rFonts w:ascii="Aptos" w:hAnsi="Aptos"/>
                <w:sz w:val="12"/>
              </w:rPr>
              <w:t>It introduces unverified sources, vendor claims without evidence, or direct changes to production rules.</w:t>
            </w:r>
          </w:p>
        </w:tc>
      </w:tr>
    </w:tbl>
    <w:p/>
    <w:tbl>
      <w:tblPr>
        <w:tblStyle w:val="TableGrid"/>
        <w:tblW w:type="auto" w:w="0"/>
        <w:jc w:val="center"/>
        <w:tblLook w:firstColumn="1" w:firstRow="1" w:lastColumn="0" w:lastRow="0" w:noHBand="0" w:noVBand="1" w:val="04A0"/>
      </w:tblPr>
      <w:tblGrid>
        <w:gridCol w:w="10454"/>
      </w:tblGrid>
      <w:tr>
        <w:tc>
          <w:tcPr>
            <w:tcW w:type="dxa" w:w="10454"/>
            <w:shd w:fill="FCE4D6"/>
            <w:tcMar>
              <w:top w:w="125" w:type="dxa"/>
              <w:start w:w="145" w:type="dxa"/>
              <w:bottom w:w="125" w:type="dxa"/>
              <w:end w:w="145" w:type="dxa"/>
            </w:tcMar>
          </w:tcPr>
          <w:p>
            <w:pPr>
              <w:spacing w:after="60"/>
            </w:pPr>
            <w:r>
              <w:rPr>
                <w:rFonts w:ascii="Aptos" w:hAnsi="Aptos"/>
                <w:b/>
                <w:color w:val="C65911"/>
                <w:sz w:val="18"/>
              </w:rPr>
              <w:t>Auto Loop Master Rule</w:t>
            </w:r>
          </w:p>
          <w:p>
            <w:pPr>
              <w:spacing w:after="0"/>
            </w:pPr>
            <w:r>
              <w:rPr>
                <w:rFonts w:ascii="Aptos" w:hAnsi="Aptos"/>
                <w:sz w:val="17"/>
              </w:rPr>
              <w:t>Auto-Heal, Auto-Learn, and Auto-Improve must not only fix, learn, or improve. They must preserve or improve SOLID compliance, architecture boundaries, testability, security posture, observability, reversibility, and AVCI evidence.</w:t>
            </w:r>
          </w:p>
        </w:tc>
      </w:tr>
    </w:tbl>
    <w:p/>
    <w:p>
      <w:pPr>
        <w:pStyle w:val="Heading1"/>
        <w:keepNext/>
        <w:spacing w:before="160" w:after="80"/>
      </w:pPr>
    </w:p>
    <w:p>
      <w:pPr>
        <w:spacing w:after="80" w:line="250" w:lineRule="auto"/>
      </w:pPr>
      <w:r>
        <w:rPr>
          <w:rFonts w:ascii="Aptos" w:hAnsi="Aptos"/>
          <w:sz w:val="18"/>
        </w:rPr>
        <w:t>Every non-trivial merge request must include a structured evidence summary. The summary may be created with AI assistance, but the named human author and checker remain accountable.</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520"/>
            <w:shd w:fill="1F4E79"/>
            <w:tcMar>
              <w:top w:w="45" w:type="dxa"/>
              <w:start w:w="50" w:type="dxa"/>
              <w:bottom w:w="45" w:type="dxa"/>
              <w:end w:w="50" w:type="dxa"/>
            </w:tcMar>
          </w:tcPr>
          <w:p>
            <w:pPr>
              <w:spacing w:after="0"/>
              <w:jc w:val="center"/>
            </w:pPr>
            <w:r>
              <w:rPr>
                <w:rFonts w:ascii="Aptos" w:hAnsi="Aptos"/>
                <w:b/>
                <w:color w:val="FFFFFF"/>
                <w:sz w:val="13"/>
              </w:rPr>
              <w:t>Evidence Field</w:t>
            </w:r>
          </w:p>
        </w:tc>
        <w:tc>
          <w:tcPr>
            <w:tcW w:type="dxa" w:w="7272"/>
            <w:shd w:fill="1F4E79"/>
            <w:tcMar>
              <w:top w:w="45" w:type="dxa"/>
              <w:start w:w="50" w:type="dxa"/>
              <w:bottom w:w="45" w:type="dxa"/>
              <w:end w:w="50" w:type="dxa"/>
            </w:tcMar>
          </w:tcPr>
          <w:p>
            <w:pPr>
              <w:spacing w:after="0"/>
              <w:jc w:val="center"/>
            </w:pPr>
            <w:r>
              <w:rPr>
                <w:rFonts w:ascii="Aptos" w:hAnsi="Aptos"/>
                <w:b/>
                <w:color w:val="FFFFFF"/>
                <w:sz w:val="13"/>
              </w:rPr>
              <w:t>Required Content</w:t>
            </w:r>
          </w:p>
        </w:tc>
      </w:tr>
      <w:tr>
        <w:trPr>
          <w:cantSplit/>
        </w:trPr>
        <w:tc>
          <w:tcPr>
            <w:tcW w:type="dxa" w:w="2520"/>
            <w:vAlign w:val="top"/>
            <w:tcMar>
              <w:top w:w="42" w:type="dxa"/>
              <w:start w:w="50" w:type="dxa"/>
              <w:bottom w:w="42" w:type="dxa"/>
              <w:end w:w="50" w:type="dxa"/>
            </w:tcMar>
          </w:tcPr>
          <w:p>
            <w:pPr>
              <w:spacing w:after="0" w:line="240" w:lineRule="auto"/>
            </w:pPr>
            <w:r>
              <w:rPr>
                <w:rFonts w:ascii="Aptos" w:hAnsi="Aptos"/>
                <w:sz w:val="13"/>
              </w:rPr>
              <w:t>Attributable</w:t>
            </w:r>
          </w:p>
        </w:tc>
        <w:tc>
          <w:tcPr>
            <w:tcW w:type="dxa" w:w="7272"/>
            <w:vAlign w:val="top"/>
            <w:tcMar>
              <w:top w:w="42" w:type="dxa"/>
              <w:start w:w="50" w:type="dxa"/>
              <w:bottom w:w="42" w:type="dxa"/>
              <w:end w:w="50" w:type="dxa"/>
            </w:tcMar>
          </w:tcPr>
          <w:p>
            <w:pPr>
              <w:spacing w:after="0" w:line="240" w:lineRule="auto"/>
            </w:pPr>
            <w:r>
              <w:rPr>
                <w:rFonts w:ascii="Aptos" w:hAnsi="Aptos"/>
                <w:sz w:val="13"/>
              </w:rPr>
              <w:t>Ticket, ADR/TDL if applicable, owner, author, checker, approver, affected repository and files.</w:t>
            </w:r>
          </w:p>
        </w:tc>
      </w:tr>
      <w:tr>
        <w:trPr>
          <w:cantSplit/>
        </w:trPr>
        <w:tc>
          <w:tcPr>
            <w:tcW w:type="dxa" w:w="2520"/>
            <w:vAlign w:val="top"/>
            <w:tcMar>
              <w:top w:w="42" w:type="dxa"/>
              <w:start w:w="50" w:type="dxa"/>
              <w:bottom w:w="42" w:type="dxa"/>
              <w:end w:w="50" w:type="dxa"/>
            </w:tcMar>
          </w:tcPr>
          <w:p>
            <w:pPr>
              <w:spacing w:after="0" w:line="240" w:lineRule="auto"/>
            </w:pPr>
            <w:r>
              <w:rPr>
                <w:rFonts w:ascii="Aptos" w:hAnsi="Aptos"/>
                <w:sz w:val="13"/>
              </w:rPr>
              <w:t>Verifiable</w:t>
            </w:r>
          </w:p>
        </w:tc>
        <w:tc>
          <w:tcPr>
            <w:tcW w:type="dxa" w:w="7272"/>
            <w:vAlign w:val="top"/>
            <w:tcMar>
              <w:top w:w="42" w:type="dxa"/>
              <w:start w:w="50" w:type="dxa"/>
              <w:bottom w:w="42" w:type="dxa"/>
              <w:end w:w="50" w:type="dxa"/>
            </w:tcMar>
          </w:tcPr>
          <w:p>
            <w:pPr>
              <w:spacing w:after="0" w:line="240" w:lineRule="auto"/>
            </w:pPr>
            <w:r>
              <w:rPr>
                <w:rFonts w:ascii="Aptos" w:hAnsi="Aptos"/>
                <w:sz w:val="13"/>
              </w:rPr>
              <w:t>Tests run, architecture checks, security scans, policy checks, contract tests, AI evals, CI run ID.</w:t>
            </w:r>
          </w:p>
        </w:tc>
      </w:tr>
      <w:tr>
        <w:trPr>
          <w:cantSplit/>
        </w:trPr>
        <w:tc>
          <w:tcPr>
            <w:tcW w:type="dxa" w:w="2520"/>
            <w:vAlign w:val="top"/>
            <w:tcMar>
              <w:top w:w="42" w:type="dxa"/>
              <w:start w:w="50" w:type="dxa"/>
              <w:bottom w:w="42" w:type="dxa"/>
              <w:end w:w="50" w:type="dxa"/>
            </w:tcMar>
          </w:tcPr>
          <w:p>
            <w:pPr>
              <w:spacing w:after="0" w:line="240" w:lineRule="auto"/>
            </w:pPr>
            <w:r>
              <w:rPr>
                <w:rFonts w:ascii="Aptos" w:hAnsi="Aptos"/>
                <w:sz w:val="13"/>
              </w:rPr>
              <w:t>Classifiable</w:t>
            </w:r>
          </w:p>
        </w:tc>
        <w:tc>
          <w:tcPr>
            <w:tcW w:type="dxa" w:w="7272"/>
            <w:vAlign w:val="top"/>
            <w:tcMar>
              <w:top w:w="42" w:type="dxa"/>
              <w:start w:w="50" w:type="dxa"/>
              <w:bottom w:w="42" w:type="dxa"/>
              <w:end w:w="50" w:type="dxa"/>
            </w:tcMar>
          </w:tcPr>
          <w:p>
            <w:pPr>
              <w:spacing w:after="0" w:line="240" w:lineRule="auto"/>
            </w:pPr>
            <w:r>
              <w:rPr>
                <w:rFonts w:ascii="Aptos" w:hAnsi="Aptos"/>
                <w:sz w:val="13"/>
              </w:rPr>
              <w:t>Data classification, model route eligibility, secrets/PII statement, affected information domains.</w:t>
            </w:r>
          </w:p>
        </w:tc>
      </w:tr>
      <w:tr>
        <w:trPr>
          <w:cantSplit/>
        </w:trPr>
        <w:tc>
          <w:tcPr>
            <w:tcW w:type="dxa" w:w="2520"/>
            <w:vAlign w:val="top"/>
            <w:tcMar>
              <w:top w:w="42" w:type="dxa"/>
              <w:start w:w="50" w:type="dxa"/>
              <w:bottom w:w="42" w:type="dxa"/>
              <w:end w:w="50" w:type="dxa"/>
            </w:tcMar>
          </w:tcPr>
          <w:p>
            <w:pPr>
              <w:spacing w:after="0" w:line="240" w:lineRule="auto"/>
            </w:pPr>
            <w:r>
              <w:rPr>
                <w:rFonts w:ascii="Aptos" w:hAnsi="Aptos"/>
                <w:sz w:val="13"/>
              </w:rPr>
              <w:t>Improvable</w:t>
            </w:r>
          </w:p>
        </w:tc>
        <w:tc>
          <w:tcPr>
            <w:tcW w:type="dxa" w:w="7272"/>
            <w:vAlign w:val="top"/>
            <w:tcMar>
              <w:top w:w="42" w:type="dxa"/>
              <w:start w:w="50" w:type="dxa"/>
              <w:bottom w:w="42" w:type="dxa"/>
              <w:end w:w="50" w:type="dxa"/>
            </w:tcMar>
          </w:tcPr>
          <w:p>
            <w:pPr>
              <w:spacing w:after="0" w:line="240" w:lineRule="auto"/>
            </w:pPr>
            <w:r>
              <w:rPr>
                <w:rFonts w:ascii="Aptos" w:hAnsi="Aptos"/>
                <w:sz w:val="13"/>
              </w:rPr>
              <w:t>Known limitations, follow-up backlog, monitoring signals, learning or runbook update if applicable.</w:t>
            </w:r>
          </w:p>
        </w:tc>
      </w:tr>
      <w:tr>
        <w:trPr>
          <w:cantSplit/>
        </w:trPr>
        <w:tc>
          <w:tcPr>
            <w:tcW w:type="dxa" w:w="2520"/>
            <w:vAlign w:val="top"/>
            <w:tcMar>
              <w:top w:w="42" w:type="dxa"/>
              <w:start w:w="50" w:type="dxa"/>
              <w:bottom w:w="42" w:type="dxa"/>
              <w:end w:w="50" w:type="dxa"/>
            </w:tcMar>
          </w:tcPr>
          <w:p>
            <w:pPr>
              <w:spacing w:after="0" w:line="240" w:lineRule="auto"/>
            </w:pPr>
            <w:r>
              <w:rPr>
                <w:rFonts w:ascii="Aptos" w:hAnsi="Aptos"/>
                <w:sz w:val="13"/>
              </w:rPr>
              <w:t>Design principle impact</w:t>
            </w:r>
          </w:p>
        </w:tc>
        <w:tc>
          <w:tcPr>
            <w:tcW w:type="dxa" w:w="7272"/>
            <w:vAlign w:val="top"/>
            <w:tcMar>
              <w:top w:w="42" w:type="dxa"/>
              <w:start w:w="50" w:type="dxa"/>
              <w:bottom w:w="42" w:type="dxa"/>
              <w:end w:w="50" w:type="dxa"/>
            </w:tcMar>
          </w:tcPr>
          <w:p>
            <w:pPr>
              <w:spacing w:after="0" w:line="240" w:lineRule="auto"/>
            </w:pPr>
            <w:r>
              <w:rPr>
                <w:rFonts w:ascii="Aptos" w:hAnsi="Aptos"/>
                <w:sz w:val="13"/>
              </w:rPr>
              <w:t>Statement that SOLID, Clean Architecture, DDD, ports/adapters, idempotency, observability, testability, security, and rollbackability were preserved or improved.</w:t>
            </w:r>
          </w:p>
        </w:tc>
      </w:tr>
      <w:tr>
        <w:trPr>
          <w:cantSplit/>
        </w:trPr>
        <w:tc>
          <w:tcPr>
            <w:tcW w:type="dxa" w:w="2520"/>
            <w:vAlign w:val="top"/>
            <w:tcMar>
              <w:top w:w="42" w:type="dxa"/>
              <w:start w:w="50" w:type="dxa"/>
              <w:bottom w:w="42" w:type="dxa"/>
              <w:end w:w="50" w:type="dxa"/>
            </w:tcMar>
          </w:tcPr>
          <w:p>
            <w:pPr>
              <w:spacing w:after="0" w:line="240" w:lineRule="auto"/>
            </w:pPr>
            <w:r>
              <w:rPr>
                <w:rFonts w:ascii="Aptos" w:hAnsi="Aptos"/>
                <w:sz w:val="13"/>
              </w:rPr>
              <w:t>AI involvement</w:t>
            </w:r>
          </w:p>
        </w:tc>
        <w:tc>
          <w:tcPr>
            <w:tcW w:type="dxa" w:w="7272"/>
            <w:vAlign w:val="top"/>
            <w:tcMar>
              <w:top w:w="42" w:type="dxa"/>
              <w:start w:w="50" w:type="dxa"/>
              <w:bottom w:w="42" w:type="dxa"/>
              <w:end w:w="50" w:type="dxa"/>
            </w:tcMar>
          </w:tcPr>
          <w:p>
            <w:pPr>
              <w:spacing w:after="0" w:line="240" w:lineRule="auto"/>
            </w:pPr>
            <w:r>
              <w:rPr>
                <w:rFonts w:ascii="Aptos" w:hAnsi="Aptos"/>
                <w:sz w:val="13"/>
              </w:rPr>
              <w:t>Tool/model used, prompt intent, files affected, generated sections, human verification, any rejected AI output.</w:t>
            </w:r>
          </w:p>
        </w:tc>
      </w:tr>
      <w:tr>
        <w:trPr>
          <w:cantSplit/>
        </w:trPr>
        <w:tc>
          <w:tcPr>
            <w:tcW w:type="dxa" w:w="2520"/>
            <w:vAlign w:val="top"/>
            <w:tcMar>
              <w:top w:w="42" w:type="dxa"/>
              <w:start w:w="50" w:type="dxa"/>
              <w:bottom w:w="42" w:type="dxa"/>
              <w:end w:w="50" w:type="dxa"/>
            </w:tcMar>
          </w:tcPr>
          <w:p>
            <w:pPr>
              <w:spacing w:after="0" w:line="240" w:lineRule="auto"/>
            </w:pPr>
            <w:r>
              <w:rPr>
                <w:rFonts w:ascii="Aptos" w:hAnsi="Aptos"/>
                <w:sz w:val="13"/>
              </w:rPr>
              <w:t>Rollback / recovery</w:t>
            </w:r>
          </w:p>
        </w:tc>
        <w:tc>
          <w:tcPr>
            <w:tcW w:type="dxa" w:w="7272"/>
            <w:vAlign w:val="top"/>
            <w:tcMar>
              <w:top w:w="42" w:type="dxa"/>
              <w:start w:w="50" w:type="dxa"/>
              <w:bottom w:w="42" w:type="dxa"/>
              <w:end w:w="50" w:type="dxa"/>
            </w:tcMar>
          </w:tcPr>
          <w:p>
            <w:pPr>
              <w:spacing w:after="0" w:line="240" w:lineRule="auto"/>
            </w:pPr>
            <w:r>
              <w:rPr>
                <w:rFonts w:ascii="Aptos" w:hAnsi="Aptos"/>
                <w:sz w:val="13"/>
              </w:rPr>
              <w:t>Rollback, forward-fix, compensation, replay, cache invalidation, or migration recovery approach.</w:t>
            </w:r>
          </w:p>
        </w:tc>
      </w:tr>
    </w:tbl>
    <w:p/>
    <w:p>
      <w:pPr>
        <w:spacing w:after="40"/>
      </w:pPr>
      <w:r>
        <w:rPr>
          <w:rFonts w:ascii="Aptos" w:hAnsi="Aptos"/>
          <w:b/>
          <w:color w:val="1F4E79"/>
          <w:sz w:val="17"/>
        </w:rPr>
        <w:t>Required MR Template Block</w:t>
      </w:r>
    </w:p>
    <w:tbl>
      <w:tblPr>
        <w:tblStyle w:val="TableGrid"/>
        <w:tblW w:type="auto" w:w="0"/>
        <w:tblLook w:firstColumn="1" w:firstRow="1" w:lastColumn="0" w:lastRow="0" w:noHBand="0" w:noVBand="1" w:val="04A0"/>
      </w:tblPr>
      <w:tblGrid>
        <w:gridCol w:w="10454"/>
      </w:tblGrid>
      <w:tr>
        <w:tc>
          <w:tcPr>
            <w:tcW w:type="dxa" w:w="10454"/>
            <w:shd w:fill="F4F6F7"/>
            <w:tcMar>
              <w:top w:w="70" w:type="dxa"/>
              <w:start w:w="85" w:type="dxa"/>
              <w:bottom w:w="70" w:type="dxa"/>
              <w:end w:w="85" w:type="dxa"/>
            </w:tcMar>
          </w:tcPr>
          <w:p>
            <w:pPr>
              <w:spacing w:after="0"/>
            </w:pPr>
            <w:r>
              <w:rPr>
                <w:rFonts w:ascii="Courier New" w:hAnsi="Courier New"/>
                <w:color w:val="333333"/>
                <w:sz w:val="12"/>
              </w:rPr>
              <w:t>## AVCI + Design Principles Compliance Summary</w:t>
            </w:r>
            <w:r>
              <w:br/>
            </w:r>
            <w:r>
              <w:rPr>
                <w:rFonts w:ascii="Courier New" w:hAnsi="Courier New"/>
                <w:color w:val="333333"/>
                <w:sz w:val="12"/>
              </w:rPr>
              <w:t>- Owner / Ticket / ADR:</w:t>
            </w:r>
            <w:r>
              <w:br/>
            </w:r>
            <w:r>
              <w:rPr>
                <w:rFonts w:ascii="Courier New" w:hAnsi="Courier New"/>
                <w:color w:val="333333"/>
                <w:sz w:val="12"/>
              </w:rPr>
              <w:t>- Change intent:</w:t>
            </w:r>
            <w:r>
              <w:br/>
            </w:r>
            <w:r>
              <w:rPr>
                <w:rFonts w:ascii="Courier New" w:hAnsi="Courier New"/>
                <w:color w:val="333333"/>
                <w:sz w:val="12"/>
              </w:rPr>
              <w:t>- AI assistance used: yes/no; tool/model; prompt intent; human checker</w:t>
            </w:r>
            <w:r>
              <w:br/>
            </w:r>
            <w:r>
              <w:rPr>
                <w:rFonts w:ascii="Courier New" w:hAnsi="Courier New"/>
                <w:color w:val="333333"/>
                <w:sz w:val="12"/>
              </w:rPr>
              <w:t>- SOLID impact: preserved / improved / exception requested</w:t>
            </w:r>
            <w:r>
              <w:br/>
            </w:r>
            <w:r>
              <w:rPr>
                <w:rFonts w:ascii="Courier New" w:hAnsi="Courier New"/>
                <w:color w:val="333333"/>
                <w:sz w:val="12"/>
              </w:rPr>
              <w:t>- Clean Architecture / DDD impact:</w:t>
            </w:r>
            <w:r>
              <w:br/>
            </w:r>
            <w:r>
              <w:rPr>
                <w:rFonts w:ascii="Courier New" w:hAnsi="Courier New"/>
                <w:color w:val="333333"/>
                <w:sz w:val="12"/>
              </w:rPr>
              <w:t>- Ports-and-adapters impact:</w:t>
            </w:r>
            <w:r>
              <w:br/>
            </w:r>
            <w:r>
              <w:rPr>
                <w:rFonts w:ascii="Courier New" w:hAnsi="Courier New"/>
                <w:color w:val="333333"/>
                <w:sz w:val="12"/>
              </w:rPr>
              <w:t>- Idempotency / determinism impact:</w:t>
            </w:r>
            <w:r>
              <w:br/>
            </w:r>
            <w:r>
              <w:rPr>
                <w:rFonts w:ascii="Courier New" w:hAnsi="Courier New"/>
                <w:color w:val="333333"/>
                <w:sz w:val="12"/>
              </w:rPr>
              <w:t>- Security / SBAC / least privilege impact:</w:t>
            </w:r>
            <w:r>
              <w:br/>
            </w:r>
            <w:r>
              <w:rPr>
                <w:rFonts w:ascii="Courier New" w:hAnsi="Courier New"/>
                <w:color w:val="333333"/>
                <w:sz w:val="12"/>
              </w:rPr>
              <w:t>- Observability / audit evidence impact:</w:t>
            </w:r>
            <w:r>
              <w:br/>
            </w:r>
            <w:r>
              <w:rPr>
                <w:rFonts w:ascii="Courier New" w:hAnsi="Courier New"/>
                <w:color w:val="333333"/>
                <w:sz w:val="12"/>
              </w:rPr>
              <w:t>- Test evidence: unit, architecture, contract, security, AI eval, mutation</w:t>
            </w:r>
            <w:r>
              <w:br/>
            </w:r>
            <w:r>
              <w:rPr>
                <w:rFonts w:ascii="Courier New" w:hAnsi="Courier New"/>
                <w:color w:val="333333"/>
                <w:sz w:val="12"/>
              </w:rPr>
              <w:t>- Reversibility: rollback / forward-fix / compensation / replay path</w:t>
            </w:r>
            <w:r>
              <w:br/>
            </w:r>
            <w:r>
              <w:rPr>
                <w:rFonts w:ascii="Courier New" w:hAnsi="Courier New"/>
                <w:color w:val="333333"/>
                <w:sz w:val="12"/>
              </w:rPr>
              <w:t>- Classification and data handling:</w:t>
            </w:r>
            <w:r>
              <w:br/>
            </w:r>
            <w:r>
              <w:rPr>
                <w:rFonts w:ascii="Courier New" w:hAnsi="Courier New"/>
                <w:color w:val="333333"/>
                <w:sz w:val="12"/>
              </w:rPr>
              <w:t>- Known limitations and improvement backlog:</w:t>
            </w:r>
          </w:p>
        </w:tc>
      </w:tr>
    </w:tbl>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1307"/>
        <w:gridCol w:w="1307"/>
        <w:gridCol w:w="1307"/>
        <w:gridCol w:w="1307"/>
        <w:gridCol w:w="1307"/>
        <w:gridCol w:w="1307"/>
        <w:gridCol w:w="1307"/>
        <w:gridCol w:w="1307"/>
      </w:tblGrid>
      <w:tr>
        <w:trPr>
          <w:tblHeader w:val="true"/>
        </w:trPr>
        <w:tc>
          <w:tcPr>
            <w:tcW w:type="dxa" w:w="2376"/>
            <w:shd w:fill="1F4E79"/>
            <w:tcMar>
              <w:top w:w="45" w:type="dxa"/>
              <w:start w:w="50" w:type="dxa"/>
              <w:bottom w:w="45" w:type="dxa"/>
              <w:end w:w="50" w:type="dxa"/>
            </w:tcMar>
          </w:tcPr>
          <w:p>
            <w:pPr>
              <w:spacing w:after="0"/>
              <w:jc w:val="center"/>
            </w:pPr>
            <w:r>
              <w:rPr>
                <w:rFonts w:ascii="Aptos" w:hAnsi="Aptos"/>
                <w:b/>
                <w:color w:val="FFFFFF"/>
                <w:sz w:val="11"/>
              </w:rPr>
              <w:t>Activity</w:t>
            </w:r>
          </w:p>
        </w:tc>
        <w:tc>
          <w:tcPr>
            <w:tcW w:type="dxa" w:w="1080"/>
            <w:shd w:fill="1F4E79"/>
            <w:tcMar>
              <w:top w:w="45" w:type="dxa"/>
              <w:start w:w="50" w:type="dxa"/>
              <w:bottom w:w="45" w:type="dxa"/>
              <w:end w:w="50" w:type="dxa"/>
            </w:tcMar>
          </w:tcPr>
          <w:p>
            <w:pPr>
              <w:spacing w:after="0"/>
              <w:jc w:val="center"/>
            </w:pPr>
            <w:r>
              <w:rPr>
                <w:rFonts w:ascii="Aptos" w:hAnsi="Aptos"/>
                <w:b/>
                <w:color w:val="FFFFFF"/>
                <w:sz w:val="11"/>
              </w:rPr>
              <w:t>Solutions Architect</w:t>
            </w:r>
          </w:p>
        </w:tc>
        <w:tc>
          <w:tcPr>
            <w:tcW w:type="dxa" w:w="1007"/>
            <w:shd w:fill="1F4E79"/>
            <w:tcMar>
              <w:top w:w="45" w:type="dxa"/>
              <w:start w:w="50" w:type="dxa"/>
              <w:bottom w:w="45" w:type="dxa"/>
              <w:end w:w="50" w:type="dxa"/>
            </w:tcMar>
          </w:tcPr>
          <w:p>
            <w:pPr>
              <w:spacing w:after="0"/>
              <w:jc w:val="center"/>
            </w:pPr>
            <w:r>
              <w:rPr>
                <w:rFonts w:ascii="Aptos" w:hAnsi="Aptos"/>
                <w:b/>
                <w:color w:val="FFFFFF"/>
                <w:sz w:val="11"/>
              </w:rPr>
              <w:t>Dev Lead</w:t>
            </w:r>
          </w:p>
        </w:tc>
        <w:tc>
          <w:tcPr>
            <w:tcW w:type="dxa" w:w="1007"/>
            <w:shd w:fill="1F4E79"/>
            <w:tcMar>
              <w:top w:w="45" w:type="dxa"/>
              <w:start w:w="50" w:type="dxa"/>
              <w:bottom w:w="45" w:type="dxa"/>
              <w:end w:w="50" w:type="dxa"/>
            </w:tcMar>
          </w:tcPr>
          <w:p>
            <w:pPr>
              <w:spacing w:after="0"/>
              <w:jc w:val="center"/>
            </w:pPr>
            <w:r>
              <w:rPr>
                <w:rFonts w:ascii="Aptos" w:hAnsi="Aptos"/>
                <w:b/>
                <w:color w:val="FFFFFF"/>
                <w:sz w:val="11"/>
              </w:rPr>
              <w:t>Developer</w:t>
            </w:r>
          </w:p>
        </w:tc>
        <w:tc>
          <w:tcPr>
            <w:tcW w:type="dxa" w:w="792"/>
            <w:shd w:fill="1F4E79"/>
            <w:tcMar>
              <w:top w:w="45" w:type="dxa"/>
              <w:start w:w="50" w:type="dxa"/>
              <w:bottom w:w="45" w:type="dxa"/>
              <w:end w:w="50" w:type="dxa"/>
            </w:tcMar>
          </w:tcPr>
          <w:p>
            <w:pPr>
              <w:spacing w:after="0"/>
              <w:jc w:val="center"/>
            </w:pPr>
            <w:r>
              <w:rPr>
                <w:rFonts w:ascii="Aptos" w:hAnsi="Aptos"/>
                <w:b/>
                <w:color w:val="FFFFFF"/>
                <w:sz w:val="11"/>
              </w:rPr>
              <w:t>QA</w:t>
            </w:r>
          </w:p>
        </w:tc>
        <w:tc>
          <w:tcPr>
            <w:tcW w:type="dxa" w:w="936"/>
            <w:shd w:fill="1F4E79"/>
            <w:tcMar>
              <w:top w:w="45" w:type="dxa"/>
              <w:start w:w="50" w:type="dxa"/>
              <w:bottom w:w="45" w:type="dxa"/>
              <w:end w:w="50" w:type="dxa"/>
            </w:tcMar>
          </w:tcPr>
          <w:p>
            <w:pPr>
              <w:spacing w:after="0"/>
              <w:jc w:val="center"/>
            </w:pPr>
            <w:r>
              <w:rPr>
                <w:rFonts w:ascii="Aptos" w:hAnsi="Aptos"/>
                <w:b/>
                <w:color w:val="FFFFFF"/>
                <w:sz w:val="11"/>
              </w:rPr>
              <w:t>Security</w:t>
            </w:r>
          </w:p>
        </w:tc>
        <w:tc>
          <w:tcPr>
            <w:tcW w:type="dxa" w:w="1007"/>
            <w:shd w:fill="1F4E79"/>
            <w:tcMar>
              <w:top w:w="45" w:type="dxa"/>
              <w:start w:w="50" w:type="dxa"/>
              <w:bottom w:w="45" w:type="dxa"/>
              <w:end w:w="50" w:type="dxa"/>
            </w:tcMar>
          </w:tcPr>
          <w:p>
            <w:pPr>
              <w:spacing w:after="0"/>
              <w:jc w:val="center"/>
            </w:pPr>
            <w:r>
              <w:rPr>
                <w:rFonts w:ascii="Aptos" w:hAnsi="Aptos"/>
                <w:b/>
                <w:color w:val="FFFFFF"/>
                <w:sz w:val="11"/>
              </w:rPr>
              <w:t>DevSecOps</w:t>
            </w:r>
          </w:p>
        </w:tc>
        <w:tc>
          <w:tcPr>
            <w:tcW w:type="dxa" w:w="1080"/>
            <w:shd w:fill="1F4E79"/>
            <w:tcMar>
              <w:top w:w="45" w:type="dxa"/>
              <w:start w:w="50" w:type="dxa"/>
              <w:bottom w:w="45" w:type="dxa"/>
              <w:end w:w="50" w:type="dxa"/>
            </w:tcMar>
          </w:tcPr>
          <w:p>
            <w:pPr>
              <w:spacing w:after="0"/>
              <w:jc w:val="center"/>
            </w:pPr>
            <w:r>
              <w:rPr>
                <w:rFonts w:ascii="Aptos" w:hAnsi="Aptos"/>
                <w:b/>
                <w:color w:val="FFFFFF"/>
                <w:sz w:val="11"/>
              </w:rPr>
              <w:t>Internal Audit</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1"/>
              </w:rPr>
              <w:t>Approve root CLAUDE.md baseline</w:t>
            </w:r>
          </w:p>
        </w:tc>
        <w:tc>
          <w:tcPr>
            <w:tcW w:type="dxa" w:w="1080"/>
            <w:vAlign w:val="top"/>
            <w:tcMar>
              <w:top w:w="42" w:type="dxa"/>
              <w:start w:w="50" w:type="dxa"/>
              <w:bottom w:w="42" w:type="dxa"/>
              <w:end w:w="50" w:type="dxa"/>
            </w:tcMar>
          </w:tcPr>
          <w:p>
            <w:pPr>
              <w:spacing w:after="0" w:line="240" w:lineRule="auto"/>
            </w:pPr>
            <w:r>
              <w:rPr>
                <w:rFonts w:ascii="Aptos" w:hAnsi="Aptos"/>
                <w:sz w:val="11"/>
              </w:rPr>
              <w:t>A</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792"/>
            <w:vAlign w:val="top"/>
            <w:tcMar>
              <w:top w:w="42" w:type="dxa"/>
              <w:start w:w="50" w:type="dxa"/>
              <w:bottom w:w="42" w:type="dxa"/>
              <w:end w:w="50" w:type="dxa"/>
            </w:tcMar>
          </w:tcPr>
          <w:p>
            <w:pPr>
              <w:spacing w:after="0" w:line="240" w:lineRule="auto"/>
            </w:pPr>
            <w:r>
              <w:rPr>
                <w:rFonts w:ascii="Aptos" w:hAnsi="Aptos"/>
                <w:sz w:val="11"/>
              </w:rPr>
              <w:t>C</w:t>
            </w:r>
          </w:p>
        </w:tc>
        <w:tc>
          <w:tcPr>
            <w:tcW w:type="dxa" w:w="936"/>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80"/>
            <w:vAlign w:val="top"/>
            <w:tcMar>
              <w:top w:w="42" w:type="dxa"/>
              <w:start w:w="50" w:type="dxa"/>
              <w:bottom w:w="42" w:type="dxa"/>
              <w:end w:w="50" w:type="dxa"/>
            </w:tcMar>
          </w:tcPr>
          <w:p>
            <w:pPr>
              <w:spacing w:after="0" w:line="240" w:lineRule="auto"/>
            </w:pPr>
            <w:r>
              <w:rPr>
                <w:rFonts w:ascii="Aptos" w:hAnsi="Aptos"/>
                <w:sz w:val="11"/>
              </w:rPr>
              <w:t>I</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1"/>
              </w:rPr>
              <w:t>Approve high-risk directory rules</w:t>
            </w:r>
          </w:p>
        </w:tc>
        <w:tc>
          <w:tcPr>
            <w:tcW w:type="dxa" w:w="1080"/>
            <w:vAlign w:val="top"/>
            <w:tcMar>
              <w:top w:w="42" w:type="dxa"/>
              <w:start w:w="50" w:type="dxa"/>
              <w:bottom w:w="42" w:type="dxa"/>
              <w:end w:w="50" w:type="dxa"/>
            </w:tcMar>
          </w:tcPr>
          <w:p>
            <w:pPr>
              <w:spacing w:after="0" w:line="240" w:lineRule="auto"/>
            </w:pPr>
            <w:r>
              <w:rPr>
                <w:rFonts w:ascii="Aptos" w:hAnsi="Aptos"/>
                <w:sz w:val="11"/>
              </w:rPr>
              <w:t>A</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792"/>
            <w:vAlign w:val="top"/>
            <w:tcMar>
              <w:top w:w="42" w:type="dxa"/>
              <w:start w:w="50" w:type="dxa"/>
              <w:bottom w:w="42" w:type="dxa"/>
              <w:end w:w="50" w:type="dxa"/>
            </w:tcMar>
          </w:tcPr>
          <w:p>
            <w:pPr>
              <w:spacing w:after="0" w:line="240" w:lineRule="auto"/>
            </w:pPr>
            <w:r>
              <w:rPr>
                <w:rFonts w:ascii="Aptos" w:hAnsi="Aptos"/>
                <w:sz w:val="11"/>
              </w:rPr>
              <w:t>C</w:t>
            </w:r>
          </w:p>
        </w:tc>
        <w:tc>
          <w:tcPr>
            <w:tcW w:type="dxa" w:w="936"/>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80"/>
            <w:vAlign w:val="top"/>
            <w:tcMar>
              <w:top w:w="42" w:type="dxa"/>
              <w:start w:w="50" w:type="dxa"/>
              <w:bottom w:w="42" w:type="dxa"/>
              <w:end w:w="50" w:type="dxa"/>
            </w:tcMar>
          </w:tcPr>
          <w:p>
            <w:pPr>
              <w:spacing w:after="0" w:line="240" w:lineRule="auto"/>
            </w:pPr>
            <w:r>
              <w:rPr>
                <w:rFonts w:ascii="Aptos" w:hAnsi="Aptos"/>
                <w:sz w:val="11"/>
              </w:rPr>
              <w:t>I</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1"/>
              </w:rPr>
              <w:t>Maintain template registry</w:t>
            </w:r>
          </w:p>
        </w:tc>
        <w:tc>
          <w:tcPr>
            <w:tcW w:type="dxa" w:w="1080"/>
            <w:vAlign w:val="top"/>
            <w:tcMar>
              <w:top w:w="42" w:type="dxa"/>
              <w:start w:w="50" w:type="dxa"/>
              <w:bottom w:w="42" w:type="dxa"/>
              <w:end w:w="50" w:type="dxa"/>
            </w:tcMar>
          </w:tcPr>
          <w:p>
            <w:pPr>
              <w:spacing w:after="0" w:line="240" w:lineRule="auto"/>
            </w:pPr>
            <w:r>
              <w:rPr>
                <w:rFonts w:ascii="Aptos" w:hAnsi="Aptos"/>
                <w:sz w:val="11"/>
              </w:rPr>
              <w:t>A</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792"/>
            <w:vAlign w:val="top"/>
            <w:tcMar>
              <w:top w:w="42" w:type="dxa"/>
              <w:start w:w="50" w:type="dxa"/>
              <w:bottom w:w="42" w:type="dxa"/>
              <w:end w:w="50" w:type="dxa"/>
            </w:tcMar>
          </w:tcPr>
          <w:p>
            <w:pPr>
              <w:spacing w:after="0" w:line="240" w:lineRule="auto"/>
            </w:pPr>
            <w:r>
              <w:rPr>
                <w:rFonts w:ascii="Aptos" w:hAnsi="Aptos"/>
                <w:sz w:val="11"/>
              </w:rPr>
              <w:t>C</w:t>
            </w:r>
          </w:p>
        </w:tc>
        <w:tc>
          <w:tcPr>
            <w:tcW w:type="dxa" w:w="936"/>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c>
          <w:tcPr>
            <w:tcW w:type="dxa" w:w="1080"/>
            <w:vAlign w:val="top"/>
            <w:tcMar>
              <w:top w:w="42" w:type="dxa"/>
              <w:start w:w="50" w:type="dxa"/>
              <w:bottom w:w="42" w:type="dxa"/>
              <w:end w:w="50" w:type="dxa"/>
            </w:tcMar>
          </w:tcPr>
          <w:p>
            <w:pPr>
              <w:spacing w:after="0" w:line="240" w:lineRule="auto"/>
            </w:pPr>
            <w:r>
              <w:rPr>
                <w:rFonts w:ascii="Aptos" w:hAnsi="Aptos"/>
                <w:sz w:val="11"/>
              </w:rPr>
              <w:t>I</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1"/>
              </w:rPr>
              <w:t>Implement pre-commit/CI checks</w:t>
            </w:r>
          </w:p>
        </w:tc>
        <w:tc>
          <w:tcPr>
            <w:tcW w:type="dxa" w:w="1080"/>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A</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c>
          <w:tcPr>
            <w:tcW w:type="dxa" w:w="792"/>
            <w:vAlign w:val="top"/>
            <w:tcMar>
              <w:top w:w="42" w:type="dxa"/>
              <w:start w:w="50" w:type="dxa"/>
              <w:bottom w:w="42" w:type="dxa"/>
              <w:end w:w="50" w:type="dxa"/>
            </w:tcMar>
          </w:tcPr>
          <w:p>
            <w:pPr>
              <w:spacing w:after="0" w:line="240" w:lineRule="auto"/>
            </w:pPr>
            <w:r>
              <w:rPr>
                <w:rFonts w:ascii="Aptos" w:hAnsi="Aptos"/>
                <w:sz w:val="11"/>
              </w:rPr>
              <w:t>C</w:t>
            </w:r>
          </w:p>
        </w:tc>
        <w:tc>
          <w:tcPr>
            <w:tcW w:type="dxa" w:w="936"/>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c>
          <w:tcPr>
            <w:tcW w:type="dxa" w:w="1080"/>
            <w:vAlign w:val="top"/>
            <w:tcMar>
              <w:top w:w="42" w:type="dxa"/>
              <w:start w:w="50" w:type="dxa"/>
              <w:bottom w:w="42" w:type="dxa"/>
              <w:end w:w="50" w:type="dxa"/>
            </w:tcMar>
          </w:tcPr>
          <w:p>
            <w:pPr>
              <w:spacing w:after="0" w:line="240" w:lineRule="auto"/>
            </w:pPr>
            <w:r>
              <w:rPr>
                <w:rFonts w:ascii="Aptos" w:hAnsi="Aptos"/>
                <w:sz w:val="11"/>
              </w:rPr>
              <w:t>I</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1"/>
              </w:rPr>
              <w:t>Review SOLID/architecture violations</w:t>
            </w:r>
          </w:p>
        </w:tc>
        <w:tc>
          <w:tcPr>
            <w:tcW w:type="dxa" w:w="1080"/>
            <w:vAlign w:val="top"/>
            <w:tcMar>
              <w:top w:w="42" w:type="dxa"/>
              <w:start w:w="50" w:type="dxa"/>
              <w:bottom w:w="42" w:type="dxa"/>
              <w:end w:w="50" w:type="dxa"/>
            </w:tcMar>
          </w:tcPr>
          <w:p>
            <w:pPr>
              <w:spacing w:after="0" w:line="240" w:lineRule="auto"/>
            </w:pPr>
            <w:r>
              <w:rPr>
                <w:rFonts w:ascii="Aptos" w:hAnsi="Aptos"/>
                <w:sz w:val="11"/>
              </w:rPr>
              <w:t>A</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c>
          <w:tcPr>
            <w:tcW w:type="dxa" w:w="792"/>
            <w:vAlign w:val="top"/>
            <w:tcMar>
              <w:top w:w="42" w:type="dxa"/>
              <w:start w:w="50" w:type="dxa"/>
              <w:bottom w:w="42" w:type="dxa"/>
              <w:end w:w="50" w:type="dxa"/>
            </w:tcMar>
          </w:tcPr>
          <w:p>
            <w:pPr>
              <w:spacing w:after="0" w:line="240" w:lineRule="auto"/>
            </w:pPr>
            <w:r>
              <w:rPr>
                <w:rFonts w:ascii="Aptos" w:hAnsi="Aptos"/>
                <w:sz w:val="11"/>
              </w:rPr>
              <w:t>C</w:t>
            </w:r>
          </w:p>
        </w:tc>
        <w:tc>
          <w:tcPr>
            <w:tcW w:type="dxa" w:w="936"/>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80"/>
            <w:vAlign w:val="top"/>
            <w:tcMar>
              <w:top w:w="42" w:type="dxa"/>
              <w:start w:w="50" w:type="dxa"/>
              <w:bottom w:w="42" w:type="dxa"/>
              <w:end w:w="50" w:type="dxa"/>
            </w:tcMar>
          </w:tcPr>
          <w:p>
            <w:pPr>
              <w:spacing w:after="0" w:line="240" w:lineRule="auto"/>
            </w:pPr>
            <w:r>
              <w:rPr>
                <w:rFonts w:ascii="Aptos" w:hAnsi="Aptos"/>
                <w:sz w:val="11"/>
              </w:rPr>
              <w:t>I</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1"/>
              </w:rPr>
              <w:t>Review security/policy violations</w:t>
            </w:r>
          </w:p>
        </w:tc>
        <w:tc>
          <w:tcPr>
            <w:tcW w:type="dxa" w:w="1080"/>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c>
          <w:tcPr>
            <w:tcW w:type="dxa" w:w="792"/>
            <w:vAlign w:val="top"/>
            <w:tcMar>
              <w:top w:w="42" w:type="dxa"/>
              <w:start w:w="50" w:type="dxa"/>
              <w:bottom w:w="42" w:type="dxa"/>
              <w:end w:w="50" w:type="dxa"/>
            </w:tcMar>
          </w:tcPr>
          <w:p>
            <w:pPr>
              <w:spacing w:after="0" w:line="240" w:lineRule="auto"/>
            </w:pPr>
            <w:r>
              <w:rPr>
                <w:rFonts w:ascii="Aptos" w:hAnsi="Aptos"/>
                <w:sz w:val="11"/>
              </w:rPr>
              <w:t>C</w:t>
            </w:r>
          </w:p>
        </w:tc>
        <w:tc>
          <w:tcPr>
            <w:tcW w:type="dxa" w:w="936"/>
            <w:vAlign w:val="top"/>
            <w:tcMar>
              <w:top w:w="42" w:type="dxa"/>
              <w:start w:w="50" w:type="dxa"/>
              <w:bottom w:w="42" w:type="dxa"/>
              <w:end w:w="50" w:type="dxa"/>
            </w:tcMar>
          </w:tcPr>
          <w:p>
            <w:pPr>
              <w:spacing w:after="0" w:line="240" w:lineRule="auto"/>
            </w:pPr>
            <w:r>
              <w:rPr>
                <w:rFonts w:ascii="Aptos" w:hAnsi="Aptos"/>
                <w:sz w:val="11"/>
              </w:rPr>
              <w:t>A/R</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c>
          <w:tcPr>
            <w:tcW w:type="dxa" w:w="1080"/>
            <w:vAlign w:val="top"/>
            <w:tcMar>
              <w:top w:w="42" w:type="dxa"/>
              <w:start w:w="50" w:type="dxa"/>
              <w:bottom w:w="42" w:type="dxa"/>
              <w:end w:w="50" w:type="dxa"/>
            </w:tcMar>
          </w:tcPr>
          <w:p>
            <w:pPr>
              <w:spacing w:after="0" w:line="240" w:lineRule="auto"/>
            </w:pPr>
            <w:r>
              <w:rPr>
                <w:rFonts w:ascii="Aptos" w:hAnsi="Aptos"/>
                <w:sz w:val="11"/>
              </w:rPr>
              <w:t>I</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1"/>
              </w:rPr>
              <w:t>Verify test and evidence completeness</w:t>
            </w:r>
          </w:p>
        </w:tc>
        <w:tc>
          <w:tcPr>
            <w:tcW w:type="dxa" w:w="1080"/>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c>
          <w:tcPr>
            <w:tcW w:type="dxa" w:w="792"/>
            <w:vAlign w:val="top"/>
            <w:tcMar>
              <w:top w:w="42" w:type="dxa"/>
              <w:start w:w="50" w:type="dxa"/>
              <w:bottom w:w="42" w:type="dxa"/>
              <w:end w:w="50" w:type="dxa"/>
            </w:tcMar>
          </w:tcPr>
          <w:p>
            <w:pPr>
              <w:spacing w:after="0" w:line="240" w:lineRule="auto"/>
            </w:pPr>
            <w:r>
              <w:rPr>
                <w:rFonts w:ascii="Aptos" w:hAnsi="Aptos"/>
                <w:sz w:val="11"/>
              </w:rPr>
              <w:t>A/R</w:t>
            </w:r>
          </w:p>
        </w:tc>
        <w:tc>
          <w:tcPr>
            <w:tcW w:type="dxa" w:w="936"/>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80"/>
            <w:vAlign w:val="top"/>
            <w:tcMar>
              <w:top w:w="42" w:type="dxa"/>
              <w:start w:w="50" w:type="dxa"/>
              <w:bottom w:w="42" w:type="dxa"/>
              <w:end w:w="50" w:type="dxa"/>
            </w:tcMar>
          </w:tcPr>
          <w:p>
            <w:pPr>
              <w:spacing w:after="0" w:line="240" w:lineRule="auto"/>
            </w:pPr>
            <w:r>
              <w:rPr>
                <w:rFonts w:ascii="Aptos" w:hAnsi="Aptos"/>
                <w:sz w:val="11"/>
              </w:rPr>
              <w:t>I</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1"/>
              </w:rPr>
              <w:t>Audit evidence sampling</w:t>
            </w:r>
          </w:p>
        </w:tc>
        <w:tc>
          <w:tcPr>
            <w:tcW w:type="dxa" w:w="1080"/>
            <w:vAlign w:val="top"/>
            <w:tcMar>
              <w:top w:w="42" w:type="dxa"/>
              <w:start w:w="50" w:type="dxa"/>
              <w:bottom w:w="42" w:type="dxa"/>
              <w:end w:w="50" w:type="dxa"/>
            </w:tcMar>
          </w:tcPr>
          <w:p>
            <w:pPr>
              <w:spacing w:after="0" w:line="240" w:lineRule="auto"/>
            </w:pPr>
            <w:r>
              <w:rPr>
                <w:rFonts w:ascii="Aptos" w:hAnsi="Aptos"/>
                <w:sz w:val="11"/>
              </w:rPr>
              <w:t>I</w:t>
            </w:r>
          </w:p>
        </w:tc>
        <w:tc>
          <w:tcPr>
            <w:tcW w:type="dxa" w:w="1007"/>
            <w:vAlign w:val="top"/>
            <w:tcMar>
              <w:top w:w="42" w:type="dxa"/>
              <w:start w:w="50" w:type="dxa"/>
              <w:bottom w:w="42" w:type="dxa"/>
              <w:end w:w="50" w:type="dxa"/>
            </w:tcMar>
          </w:tcPr>
          <w:p>
            <w:pPr>
              <w:spacing w:after="0" w:line="240" w:lineRule="auto"/>
            </w:pPr>
            <w:r>
              <w:rPr>
                <w:rFonts w:ascii="Aptos" w:hAnsi="Aptos"/>
                <w:sz w:val="11"/>
              </w:rPr>
              <w:t>I</w:t>
            </w:r>
          </w:p>
        </w:tc>
        <w:tc>
          <w:tcPr>
            <w:tcW w:type="dxa" w:w="1007"/>
            <w:vAlign w:val="top"/>
            <w:tcMar>
              <w:top w:w="42" w:type="dxa"/>
              <w:start w:w="50" w:type="dxa"/>
              <w:bottom w:w="42" w:type="dxa"/>
              <w:end w:w="50" w:type="dxa"/>
            </w:tcMar>
          </w:tcPr>
          <w:p>
            <w:pPr>
              <w:spacing w:after="0" w:line="240" w:lineRule="auto"/>
            </w:pPr>
            <w:r>
              <w:rPr>
                <w:rFonts w:ascii="Aptos" w:hAnsi="Aptos"/>
                <w:sz w:val="11"/>
              </w:rPr>
              <w:t>I</w:t>
            </w:r>
          </w:p>
        </w:tc>
        <w:tc>
          <w:tcPr>
            <w:tcW w:type="dxa" w:w="792"/>
            <w:vAlign w:val="top"/>
            <w:tcMar>
              <w:top w:w="42" w:type="dxa"/>
              <w:start w:w="50" w:type="dxa"/>
              <w:bottom w:w="42" w:type="dxa"/>
              <w:end w:w="50" w:type="dxa"/>
            </w:tcMar>
          </w:tcPr>
          <w:p>
            <w:pPr>
              <w:spacing w:after="0" w:line="240" w:lineRule="auto"/>
            </w:pPr>
            <w:r>
              <w:rPr>
                <w:rFonts w:ascii="Aptos" w:hAnsi="Aptos"/>
                <w:sz w:val="11"/>
              </w:rPr>
              <w:t>C</w:t>
            </w:r>
          </w:p>
        </w:tc>
        <w:tc>
          <w:tcPr>
            <w:tcW w:type="dxa" w:w="936"/>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80"/>
            <w:vAlign w:val="top"/>
            <w:tcMar>
              <w:top w:w="42" w:type="dxa"/>
              <w:start w:w="50" w:type="dxa"/>
              <w:bottom w:w="42" w:type="dxa"/>
              <w:end w:w="50" w:type="dxa"/>
            </w:tcMar>
          </w:tcPr>
          <w:p>
            <w:pPr>
              <w:spacing w:after="0" w:line="240" w:lineRule="auto"/>
            </w:pPr>
            <w:r>
              <w:rPr>
                <w:rFonts w:ascii="Aptos" w:hAnsi="Aptos"/>
                <w:sz w:val="11"/>
              </w:rPr>
              <w:t>A/R</w:t>
            </w:r>
          </w:p>
        </w:tc>
      </w:tr>
    </w:tbl>
    <w:p/>
    <w:p>
      <w:pPr>
        <w:pStyle w:val="Heading1"/>
        <w:keepNext/>
        <w:spacing w:before="160" w:after="80"/>
      </w:pPr>
    </w:p>
    <w:p>
      <w:pPr>
        <w:spacing w:after="80" w:line="250" w:lineRule="auto"/>
      </w:pPr>
      <w:r>
        <w:rPr>
          <w:rFonts w:ascii="Aptos" w:hAnsi="Aptos"/>
          <w:sz w:val="18"/>
        </w:rPr>
        <w:t>Every engineer and approved AI-assisted development user must acknowledge the CLAUDE.md hierarchy, 01A Enterprise Design Principles, AVCI requirements, data-handling restrictions, AI accountability, and repository enforcement model before being granted write access.</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648"/>
            <w:shd w:fill="1F4E79"/>
            <w:tcMar>
              <w:top w:w="45" w:type="dxa"/>
              <w:start w:w="50" w:type="dxa"/>
              <w:bottom w:w="45" w:type="dxa"/>
              <w:end w:w="50" w:type="dxa"/>
            </w:tcMar>
          </w:tcPr>
          <w:p>
            <w:pPr>
              <w:spacing w:after="0"/>
              <w:jc w:val="center"/>
            </w:pPr>
            <w:r>
              <w:rPr>
                <w:rFonts w:ascii="Aptos" w:hAnsi="Aptos"/>
                <w:b/>
                <w:color w:val="FFFFFF"/>
                <w:sz w:val="13"/>
              </w:rPr>
              <w:t>Step</w:t>
            </w:r>
          </w:p>
        </w:tc>
        <w:tc>
          <w:tcPr>
            <w:tcW w:type="dxa" w:w="5832"/>
            <w:shd w:fill="1F4E79"/>
            <w:tcMar>
              <w:top w:w="45" w:type="dxa"/>
              <w:start w:w="50" w:type="dxa"/>
              <w:bottom w:w="45" w:type="dxa"/>
              <w:end w:w="50" w:type="dxa"/>
            </w:tcMar>
          </w:tcPr>
          <w:p>
            <w:pPr>
              <w:spacing w:after="0"/>
              <w:jc w:val="center"/>
            </w:pPr>
            <w:r>
              <w:rPr>
                <w:rFonts w:ascii="Aptos" w:hAnsi="Aptos"/>
                <w:b/>
                <w:color w:val="FFFFFF"/>
                <w:sz w:val="13"/>
              </w:rPr>
              <w:t>Activity</w:t>
            </w:r>
          </w:p>
        </w:tc>
        <w:tc>
          <w:tcPr>
            <w:tcW w:type="dxa" w:w="3311"/>
            <w:shd w:fill="1F4E79"/>
            <w:tcMar>
              <w:top w:w="45" w:type="dxa"/>
              <w:start w:w="50" w:type="dxa"/>
              <w:bottom w:w="45" w:type="dxa"/>
              <w:end w:w="50" w:type="dxa"/>
            </w:tcMar>
          </w:tcPr>
          <w:p>
            <w:pPr>
              <w:spacing w:after="0"/>
              <w:jc w:val="center"/>
            </w:pPr>
            <w:r>
              <w:rPr>
                <w:rFonts w:ascii="Aptos" w:hAnsi="Aptos"/>
                <w:b/>
                <w:color w:val="FFFFFF"/>
                <w:sz w:val="13"/>
              </w:rPr>
              <w:t>Evidence</w:t>
            </w:r>
          </w:p>
        </w:tc>
      </w:tr>
      <w:tr>
        <w:trPr>
          <w:cantSplit/>
        </w:trPr>
        <w:tc>
          <w:tcPr>
            <w:tcW w:type="dxa" w:w="648"/>
            <w:vAlign w:val="top"/>
            <w:tcMar>
              <w:top w:w="42" w:type="dxa"/>
              <w:start w:w="50" w:type="dxa"/>
              <w:bottom w:w="42" w:type="dxa"/>
              <w:end w:w="50" w:type="dxa"/>
            </w:tcMar>
          </w:tcPr>
          <w:p>
            <w:pPr>
              <w:spacing w:after="0" w:line="240" w:lineRule="auto"/>
            </w:pPr>
            <w:r>
              <w:rPr>
                <w:rFonts w:ascii="Aptos" w:hAnsi="Aptos"/>
                <w:sz w:val="13"/>
              </w:rPr>
              <w:t>1</w:t>
            </w:r>
          </w:p>
        </w:tc>
        <w:tc>
          <w:tcPr>
            <w:tcW w:type="dxa" w:w="5832"/>
            <w:vAlign w:val="top"/>
            <w:tcMar>
              <w:top w:w="42" w:type="dxa"/>
              <w:start w:w="50" w:type="dxa"/>
              <w:bottom w:w="42" w:type="dxa"/>
              <w:end w:w="50" w:type="dxa"/>
            </w:tcMar>
          </w:tcPr>
          <w:p>
            <w:pPr>
              <w:spacing w:after="0" w:line="240" w:lineRule="auto"/>
            </w:pPr>
            <w:r>
              <w:rPr>
                <w:rFonts w:ascii="Aptos" w:hAnsi="Aptos"/>
                <w:sz w:val="13"/>
              </w:rPr>
              <w:t>Review 01A, AVCI v3.0, Engineering Blueprint v5.0, Developer Guide v4.0, Unit Testing v3.0, and this reference.</w:t>
            </w:r>
          </w:p>
        </w:tc>
        <w:tc>
          <w:tcPr>
            <w:tcW w:type="dxa" w:w="3311"/>
            <w:vAlign w:val="top"/>
            <w:tcMar>
              <w:top w:w="42" w:type="dxa"/>
              <w:start w:w="50" w:type="dxa"/>
              <w:bottom w:w="42" w:type="dxa"/>
              <w:end w:w="50" w:type="dxa"/>
            </w:tcMar>
          </w:tcPr>
          <w:p>
            <w:pPr>
              <w:spacing w:after="0" w:line="240" w:lineRule="auto"/>
            </w:pPr>
            <w:r>
              <w:rPr>
                <w:rFonts w:ascii="Aptos" w:hAnsi="Aptos"/>
                <w:sz w:val="13"/>
              </w:rPr>
              <w:t>Signed onboarding acknowledgement.</w:t>
            </w:r>
          </w:p>
        </w:tc>
      </w:tr>
      <w:tr>
        <w:trPr>
          <w:cantSplit/>
        </w:trPr>
        <w:tc>
          <w:tcPr>
            <w:tcW w:type="dxa" w:w="648"/>
            <w:vAlign w:val="top"/>
            <w:tcMar>
              <w:top w:w="42" w:type="dxa"/>
              <w:start w:w="50" w:type="dxa"/>
              <w:bottom w:w="42" w:type="dxa"/>
              <w:end w:w="50" w:type="dxa"/>
            </w:tcMar>
          </w:tcPr>
          <w:p>
            <w:pPr>
              <w:spacing w:after="0" w:line="240" w:lineRule="auto"/>
            </w:pPr>
            <w:r>
              <w:rPr>
                <w:rFonts w:ascii="Aptos" w:hAnsi="Aptos"/>
                <w:sz w:val="13"/>
              </w:rPr>
              <w:t>2</w:t>
            </w:r>
          </w:p>
        </w:tc>
        <w:tc>
          <w:tcPr>
            <w:tcW w:type="dxa" w:w="5832"/>
            <w:vAlign w:val="top"/>
            <w:tcMar>
              <w:top w:w="42" w:type="dxa"/>
              <w:start w:w="50" w:type="dxa"/>
              <w:bottom w:w="42" w:type="dxa"/>
              <w:end w:w="50" w:type="dxa"/>
            </w:tcMar>
          </w:tcPr>
          <w:p>
            <w:pPr>
              <w:spacing w:after="0" w:line="240" w:lineRule="auto"/>
            </w:pPr>
            <w:r>
              <w:rPr>
                <w:rFonts w:ascii="Aptos" w:hAnsi="Aptos"/>
                <w:sz w:val="13"/>
              </w:rPr>
              <w:t>Install approved devcontainer, pre-commit hooks, IDE rules, and generated AI tool adapters.</w:t>
            </w:r>
          </w:p>
        </w:tc>
        <w:tc>
          <w:tcPr>
            <w:tcW w:type="dxa" w:w="3311"/>
            <w:vAlign w:val="top"/>
            <w:tcMar>
              <w:top w:w="42" w:type="dxa"/>
              <w:start w:w="50" w:type="dxa"/>
              <w:bottom w:w="42" w:type="dxa"/>
              <w:end w:w="50" w:type="dxa"/>
            </w:tcMar>
          </w:tcPr>
          <w:p>
            <w:pPr>
              <w:spacing w:after="0" w:line="240" w:lineRule="auto"/>
            </w:pPr>
            <w:r>
              <w:rPr>
                <w:rFonts w:ascii="Aptos" w:hAnsi="Aptos"/>
                <w:sz w:val="13"/>
              </w:rPr>
              <w:t>Workstation readiness evidence.</w:t>
            </w:r>
          </w:p>
        </w:tc>
      </w:tr>
      <w:tr>
        <w:trPr>
          <w:cantSplit/>
        </w:trPr>
        <w:tc>
          <w:tcPr>
            <w:tcW w:type="dxa" w:w="648"/>
            <w:vAlign w:val="top"/>
            <w:tcMar>
              <w:top w:w="42" w:type="dxa"/>
              <w:start w:w="50" w:type="dxa"/>
              <w:bottom w:w="42" w:type="dxa"/>
              <w:end w:w="50" w:type="dxa"/>
            </w:tcMar>
          </w:tcPr>
          <w:p>
            <w:pPr>
              <w:spacing w:after="0" w:line="240" w:lineRule="auto"/>
            </w:pPr>
            <w:r>
              <w:rPr>
                <w:rFonts w:ascii="Aptos" w:hAnsi="Aptos"/>
                <w:sz w:val="13"/>
              </w:rPr>
              <w:t>3</w:t>
            </w:r>
          </w:p>
        </w:tc>
        <w:tc>
          <w:tcPr>
            <w:tcW w:type="dxa" w:w="5832"/>
            <w:vAlign w:val="top"/>
            <w:tcMar>
              <w:top w:w="42" w:type="dxa"/>
              <w:start w:w="50" w:type="dxa"/>
              <w:bottom w:w="42" w:type="dxa"/>
              <w:end w:w="50" w:type="dxa"/>
            </w:tcMar>
          </w:tcPr>
          <w:p>
            <w:pPr>
              <w:spacing w:after="0" w:line="240" w:lineRule="auto"/>
            </w:pPr>
            <w:r>
              <w:rPr>
                <w:rFonts w:ascii="Aptos" w:hAnsi="Aptos"/>
                <w:sz w:val="13"/>
              </w:rPr>
              <w:t>Run local repository compliance checks on a sample branch.</w:t>
            </w:r>
          </w:p>
        </w:tc>
        <w:tc>
          <w:tcPr>
            <w:tcW w:type="dxa" w:w="3311"/>
            <w:vAlign w:val="top"/>
            <w:tcMar>
              <w:top w:w="42" w:type="dxa"/>
              <w:start w:w="50" w:type="dxa"/>
              <w:bottom w:w="42" w:type="dxa"/>
              <w:end w:w="50" w:type="dxa"/>
            </w:tcMar>
          </w:tcPr>
          <w:p>
            <w:pPr>
              <w:spacing w:after="0" w:line="240" w:lineRule="auto"/>
            </w:pPr>
            <w:r>
              <w:rPr>
                <w:rFonts w:ascii="Aptos" w:hAnsi="Aptos"/>
                <w:sz w:val="13"/>
              </w:rPr>
              <w:t>Pre-commit and CI dry-run output.</w:t>
            </w:r>
          </w:p>
        </w:tc>
      </w:tr>
      <w:tr>
        <w:trPr>
          <w:cantSplit/>
        </w:trPr>
        <w:tc>
          <w:tcPr>
            <w:tcW w:type="dxa" w:w="648"/>
            <w:vAlign w:val="top"/>
            <w:tcMar>
              <w:top w:w="42" w:type="dxa"/>
              <w:start w:w="50" w:type="dxa"/>
              <w:bottom w:w="42" w:type="dxa"/>
              <w:end w:w="50" w:type="dxa"/>
            </w:tcMar>
          </w:tcPr>
          <w:p>
            <w:pPr>
              <w:spacing w:after="0" w:line="240" w:lineRule="auto"/>
            </w:pPr>
            <w:r>
              <w:rPr>
                <w:rFonts w:ascii="Aptos" w:hAnsi="Aptos"/>
                <w:sz w:val="13"/>
              </w:rPr>
              <w:t>4</w:t>
            </w:r>
          </w:p>
        </w:tc>
        <w:tc>
          <w:tcPr>
            <w:tcW w:type="dxa" w:w="5832"/>
            <w:vAlign w:val="top"/>
            <w:tcMar>
              <w:top w:w="42" w:type="dxa"/>
              <w:start w:w="50" w:type="dxa"/>
              <w:bottom w:w="42" w:type="dxa"/>
              <w:end w:w="50" w:type="dxa"/>
            </w:tcMar>
          </w:tcPr>
          <w:p>
            <w:pPr>
              <w:spacing w:after="0" w:line="240" w:lineRule="auto"/>
            </w:pPr>
            <w:r>
              <w:rPr>
                <w:rFonts w:ascii="Aptos" w:hAnsi="Aptos"/>
                <w:sz w:val="13"/>
              </w:rPr>
              <w:t>Complete developer exercise: one small PR with AVCI and design-principle summary.</w:t>
            </w:r>
          </w:p>
        </w:tc>
        <w:tc>
          <w:tcPr>
            <w:tcW w:type="dxa" w:w="3311"/>
            <w:vAlign w:val="top"/>
            <w:tcMar>
              <w:top w:w="42" w:type="dxa"/>
              <w:start w:w="50" w:type="dxa"/>
              <w:bottom w:w="42" w:type="dxa"/>
              <w:end w:w="50" w:type="dxa"/>
            </w:tcMar>
          </w:tcPr>
          <w:p>
            <w:pPr>
              <w:spacing w:after="0" w:line="240" w:lineRule="auto"/>
            </w:pPr>
            <w:r>
              <w:rPr>
                <w:rFonts w:ascii="Aptos" w:hAnsi="Aptos"/>
                <w:sz w:val="13"/>
              </w:rPr>
              <w:t>Reviewed sample PR evidence.</w:t>
            </w:r>
          </w:p>
        </w:tc>
      </w:tr>
      <w:tr>
        <w:trPr>
          <w:cantSplit/>
        </w:trPr>
        <w:tc>
          <w:tcPr>
            <w:tcW w:type="dxa" w:w="648"/>
            <w:vAlign w:val="top"/>
            <w:tcMar>
              <w:top w:w="42" w:type="dxa"/>
              <w:start w:w="50" w:type="dxa"/>
              <w:bottom w:w="42" w:type="dxa"/>
              <w:end w:w="50" w:type="dxa"/>
            </w:tcMar>
          </w:tcPr>
          <w:p>
            <w:pPr>
              <w:spacing w:after="0" w:line="240" w:lineRule="auto"/>
            </w:pPr>
            <w:r>
              <w:rPr>
                <w:rFonts w:ascii="Aptos" w:hAnsi="Aptos"/>
                <w:sz w:val="13"/>
              </w:rPr>
              <w:t>5</w:t>
            </w:r>
          </w:p>
        </w:tc>
        <w:tc>
          <w:tcPr>
            <w:tcW w:type="dxa" w:w="5832"/>
            <w:vAlign w:val="top"/>
            <w:tcMar>
              <w:top w:w="42" w:type="dxa"/>
              <w:start w:w="50" w:type="dxa"/>
              <w:bottom w:w="42" w:type="dxa"/>
              <w:end w:w="50" w:type="dxa"/>
            </w:tcMar>
          </w:tcPr>
          <w:p>
            <w:pPr>
              <w:spacing w:after="0" w:line="240" w:lineRule="auto"/>
            </w:pPr>
            <w:r>
              <w:rPr>
                <w:rFonts w:ascii="Aptos" w:hAnsi="Aptos"/>
                <w:sz w:val="13"/>
              </w:rPr>
              <w:t>Map role, skills, repository access, and AI tool permissions.</w:t>
            </w:r>
          </w:p>
        </w:tc>
        <w:tc>
          <w:tcPr>
            <w:tcW w:type="dxa" w:w="3311"/>
            <w:vAlign w:val="top"/>
            <w:tcMar>
              <w:top w:w="42" w:type="dxa"/>
              <w:start w:w="50" w:type="dxa"/>
              <w:bottom w:w="42" w:type="dxa"/>
              <w:end w:w="50" w:type="dxa"/>
            </w:tcMar>
          </w:tcPr>
          <w:p>
            <w:pPr>
              <w:spacing w:after="0" w:line="240" w:lineRule="auto"/>
            </w:pPr>
            <w:r>
              <w:rPr>
                <w:rFonts w:ascii="Aptos" w:hAnsi="Aptos"/>
                <w:sz w:val="13"/>
              </w:rPr>
              <w:t>SBAC / access approval record.</w:t>
            </w:r>
          </w:p>
        </w:tc>
      </w:tr>
      <w:tr>
        <w:trPr>
          <w:cantSplit/>
        </w:trPr>
        <w:tc>
          <w:tcPr>
            <w:tcW w:type="dxa" w:w="648"/>
            <w:vAlign w:val="top"/>
            <w:tcMar>
              <w:top w:w="42" w:type="dxa"/>
              <w:start w:w="50" w:type="dxa"/>
              <w:bottom w:w="42" w:type="dxa"/>
              <w:end w:w="50" w:type="dxa"/>
            </w:tcMar>
          </w:tcPr>
          <w:p>
            <w:pPr>
              <w:spacing w:after="0" w:line="240" w:lineRule="auto"/>
            </w:pPr>
            <w:r>
              <w:rPr>
                <w:rFonts w:ascii="Aptos" w:hAnsi="Aptos"/>
                <w:sz w:val="13"/>
              </w:rPr>
              <w:t>6</w:t>
            </w:r>
          </w:p>
        </w:tc>
        <w:tc>
          <w:tcPr>
            <w:tcW w:type="dxa" w:w="5832"/>
            <w:vAlign w:val="top"/>
            <w:tcMar>
              <w:top w:w="42" w:type="dxa"/>
              <w:start w:w="50" w:type="dxa"/>
              <w:bottom w:w="42" w:type="dxa"/>
              <w:end w:w="50" w:type="dxa"/>
            </w:tcMar>
          </w:tcPr>
          <w:p>
            <w:pPr>
              <w:spacing w:after="0" w:line="240" w:lineRule="auto"/>
            </w:pPr>
            <w:r>
              <w:rPr>
                <w:rFonts w:ascii="Aptos" w:hAnsi="Aptos"/>
                <w:sz w:val="13"/>
              </w:rPr>
              <w:t>Quarterly renewal or immediate renewal after major rule changes.</w:t>
            </w:r>
          </w:p>
        </w:tc>
        <w:tc>
          <w:tcPr>
            <w:tcW w:type="dxa" w:w="3311"/>
            <w:vAlign w:val="top"/>
            <w:tcMar>
              <w:top w:w="42" w:type="dxa"/>
              <w:start w:w="50" w:type="dxa"/>
              <w:bottom w:w="42" w:type="dxa"/>
              <w:end w:w="50" w:type="dxa"/>
            </w:tcMar>
          </w:tcPr>
          <w:p>
            <w:pPr>
              <w:spacing w:after="0" w:line="240" w:lineRule="auto"/>
            </w:pPr>
            <w:r>
              <w:rPr>
                <w:rFonts w:ascii="Aptos" w:hAnsi="Aptos"/>
                <w:sz w:val="13"/>
              </w:rPr>
              <w:t>Renewed acknowledgement and access review.</w:t>
            </w:r>
          </w:p>
        </w:tc>
      </w:tr>
    </w:tbl>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376"/>
            <w:shd w:fill="1F4E79"/>
            <w:tcMar>
              <w:top w:w="45" w:type="dxa"/>
              <w:start w:w="50" w:type="dxa"/>
              <w:bottom w:w="45" w:type="dxa"/>
              <w:end w:w="50" w:type="dxa"/>
            </w:tcMar>
          </w:tcPr>
          <w:p>
            <w:pPr>
              <w:spacing w:after="0"/>
              <w:jc w:val="center"/>
            </w:pPr>
            <w:r>
              <w:rPr>
                <w:rFonts w:ascii="Aptos" w:hAnsi="Aptos"/>
                <w:b/>
                <w:color w:val="FFFFFF"/>
                <w:sz w:val="12"/>
              </w:rPr>
              <w:t>Control Objective</w:t>
            </w:r>
          </w:p>
        </w:tc>
        <w:tc>
          <w:tcPr>
            <w:tcW w:type="dxa" w:w="4752"/>
            <w:shd w:fill="1F4E79"/>
            <w:tcMar>
              <w:top w:w="45" w:type="dxa"/>
              <w:start w:w="50" w:type="dxa"/>
              <w:bottom w:w="45" w:type="dxa"/>
              <w:end w:w="50" w:type="dxa"/>
            </w:tcMar>
          </w:tcPr>
          <w:p>
            <w:pPr>
              <w:spacing w:after="0"/>
              <w:jc w:val="center"/>
            </w:pPr>
            <w:r>
              <w:rPr>
                <w:rFonts w:ascii="Aptos" w:hAnsi="Aptos"/>
                <w:b/>
                <w:color w:val="FFFFFF"/>
                <w:sz w:val="12"/>
              </w:rPr>
              <w:t>AIRA Mechanism</w:t>
            </w:r>
          </w:p>
        </w:tc>
        <w:tc>
          <w:tcPr>
            <w:tcW w:type="dxa" w:w="2664"/>
            <w:shd w:fill="1F4E79"/>
            <w:tcMar>
              <w:top w:w="45" w:type="dxa"/>
              <w:start w:w="50" w:type="dxa"/>
              <w:bottom w:w="45" w:type="dxa"/>
              <w:end w:w="50" w:type="dxa"/>
            </w:tcMar>
          </w:tcPr>
          <w:p>
            <w:pPr>
              <w:spacing w:after="0"/>
              <w:jc w:val="center"/>
            </w:pPr>
            <w:r>
              <w:rPr>
                <w:rFonts w:ascii="Aptos" w:hAnsi="Aptos"/>
                <w:b/>
                <w:color w:val="FFFFFF"/>
                <w:sz w:val="12"/>
              </w:rPr>
              <w:t>Evidence</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Secure development</w:t>
            </w:r>
          </w:p>
        </w:tc>
        <w:tc>
          <w:tcPr>
            <w:tcW w:type="dxa" w:w="4752"/>
            <w:vAlign w:val="top"/>
            <w:tcMar>
              <w:top w:w="42" w:type="dxa"/>
              <w:start w:w="50" w:type="dxa"/>
              <w:bottom w:w="42" w:type="dxa"/>
              <w:end w:w="50" w:type="dxa"/>
            </w:tcMar>
          </w:tcPr>
          <w:p>
            <w:pPr>
              <w:spacing w:after="0" w:line="240" w:lineRule="auto"/>
            </w:pPr>
            <w:r>
              <w:rPr>
                <w:rFonts w:ascii="Aptos" w:hAnsi="Aptos"/>
                <w:sz w:val="12"/>
              </w:rPr>
              <w:t>CLAUDE.md rules, TDD, SAST/SCA, security tests, code review, SSDF-aligned gates.</w:t>
            </w:r>
          </w:p>
        </w:tc>
        <w:tc>
          <w:tcPr>
            <w:tcW w:type="dxa" w:w="2664"/>
            <w:vAlign w:val="top"/>
            <w:tcMar>
              <w:top w:w="42" w:type="dxa"/>
              <w:start w:w="50" w:type="dxa"/>
              <w:bottom w:w="42" w:type="dxa"/>
              <w:end w:w="50" w:type="dxa"/>
            </w:tcMar>
          </w:tcPr>
          <w:p>
            <w:pPr>
              <w:spacing w:after="0" w:line="240" w:lineRule="auto"/>
            </w:pPr>
            <w:r>
              <w:rPr>
                <w:rFonts w:ascii="Aptos" w:hAnsi="Aptos"/>
                <w:sz w:val="12"/>
              </w:rPr>
              <w:t>CI evidence pack, PR summary, scan results.</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Access control</w:t>
            </w:r>
          </w:p>
        </w:tc>
        <w:tc>
          <w:tcPr>
            <w:tcW w:type="dxa" w:w="4752"/>
            <w:vAlign w:val="top"/>
            <w:tcMar>
              <w:top w:w="42" w:type="dxa"/>
              <w:start w:w="50" w:type="dxa"/>
              <w:bottom w:w="42" w:type="dxa"/>
              <w:end w:w="50" w:type="dxa"/>
            </w:tcMar>
          </w:tcPr>
          <w:p>
            <w:pPr>
              <w:spacing w:after="0" w:line="240" w:lineRule="auto"/>
            </w:pPr>
            <w:r>
              <w:rPr>
                <w:rFonts w:ascii="Aptos" w:hAnsi="Aptos"/>
                <w:sz w:val="12"/>
              </w:rPr>
              <w:t>CODEOWNERS, SBAC, OPA, Harness, least privilege, MFA workspace controls.</w:t>
            </w:r>
          </w:p>
        </w:tc>
        <w:tc>
          <w:tcPr>
            <w:tcW w:type="dxa" w:w="2664"/>
            <w:vAlign w:val="top"/>
            <w:tcMar>
              <w:top w:w="42" w:type="dxa"/>
              <w:start w:w="50" w:type="dxa"/>
              <w:bottom w:w="42" w:type="dxa"/>
              <w:end w:w="50" w:type="dxa"/>
            </w:tcMar>
          </w:tcPr>
          <w:p>
            <w:pPr>
              <w:spacing w:after="0" w:line="240" w:lineRule="auto"/>
            </w:pPr>
            <w:r>
              <w:rPr>
                <w:rFonts w:ascii="Aptos" w:hAnsi="Aptos"/>
                <w:sz w:val="12"/>
              </w:rPr>
              <w:t>Policy decision logs, reviewer approvals, access review.</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AI governance</w:t>
            </w:r>
          </w:p>
        </w:tc>
        <w:tc>
          <w:tcPr>
            <w:tcW w:type="dxa" w:w="4752"/>
            <w:vAlign w:val="top"/>
            <w:tcMar>
              <w:top w:w="42" w:type="dxa"/>
              <w:start w:w="50" w:type="dxa"/>
              <w:bottom w:w="42" w:type="dxa"/>
              <w:end w:w="50" w:type="dxa"/>
            </w:tcMar>
          </w:tcPr>
          <w:p>
            <w:pPr>
              <w:spacing w:after="0" w:line="240" w:lineRule="auto"/>
            </w:pPr>
            <w:r>
              <w:rPr>
                <w:rFonts w:ascii="Aptos" w:hAnsi="Aptos"/>
                <w:sz w:val="12"/>
              </w:rPr>
              <w:t>LiteLLM, NeMo Guardrails, model aliases, prompt rules, AI involvement declaration.</w:t>
            </w:r>
          </w:p>
        </w:tc>
        <w:tc>
          <w:tcPr>
            <w:tcW w:type="dxa" w:w="2664"/>
            <w:vAlign w:val="top"/>
            <w:tcMar>
              <w:top w:w="42" w:type="dxa"/>
              <w:start w:w="50" w:type="dxa"/>
              <w:bottom w:w="42" w:type="dxa"/>
              <w:end w:w="50" w:type="dxa"/>
            </w:tcMar>
          </w:tcPr>
          <w:p>
            <w:pPr>
              <w:spacing w:after="0" w:line="240" w:lineRule="auto"/>
            </w:pPr>
            <w:r>
              <w:rPr>
                <w:rFonts w:ascii="Aptos" w:hAnsi="Aptos"/>
                <w:sz w:val="12"/>
              </w:rPr>
              <w:t>Model route logs, guardrail result, prompt version, approval.</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Architecture integrity</w:t>
            </w:r>
          </w:p>
        </w:tc>
        <w:tc>
          <w:tcPr>
            <w:tcW w:type="dxa" w:w="4752"/>
            <w:vAlign w:val="top"/>
            <w:tcMar>
              <w:top w:w="42" w:type="dxa"/>
              <w:start w:w="50" w:type="dxa"/>
              <w:bottom w:w="42" w:type="dxa"/>
              <w:end w:w="50" w:type="dxa"/>
            </w:tcMar>
          </w:tcPr>
          <w:p>
            <w:pPr>
              <w:spacing w:after="0" w:line="240" w:lineRule="auto"/>
            </w:pPr>
            <w:r>
              <w:rPr>
                <w:rFonts w:ascii="Aptos" w:hAnsi="Aptos"/>
                <w:sz w:val="12"/>
              </w:rPr>
              <w:t>SOLID rules, Clean Architecture checks, DDD boundaries, ArchUnit, forbidden imports.</w:t>
            </w:r>
          </w:p>
        </w:tc>
        <w:tc>
          <w:tcPr>
            <w:tcW w:type="dxa" w:w="2664"/>
            <w:vAlign w:val="top"/>
            <w:tcMar>
              <w:top w:w="42" w:type="dxa"/>
              <w:start w:w="50" w:type="dxa"/>
              <w:bottom w:w="42" w:type="dxa"/>
              <w:end w:w="50" w:type="dxa"/>
            </w:tcMar>
          </w:tcPr>
          <w:p>
            <w:pPr>
              <w:spacing w:after="0" w:line="240" w:lineRule="auto"/>
            </w:pPr>
            <w:r>
              <w:rPr>
                <w:rFonts w:ascii="Aptos" w:hAnsi="Aptos"/>
                <w:sz w:val="12"/>
              </w:rPr>
              <w:t>Architecture fitness results and reviewer signoff.</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Auditability</w:t>
            </w:r>
          </w:p>
        </w:tc>
        <w:tc>
          <w:tcPr>
            <w:tcW w:type="dxa" w:w="4752"/>
            <w:vAlign w:val="top"/>
            <w:tcMar>
              <w:top w:w="42" w:type="dxa"/>
              <w:start w:w="50" w:type="dxa"/>
              <w:bottom w:w="42" w:type="dxa"/>
              <w:end w:w="50" w:type="dxa"/>
            </w:tcMar>
          </w:tcPr>
          <w:p>
            <w:pPr>
              <w:spacing w:after="0" w:line="240" w:lineRule="auto"/>
            </w:pPr>
            <w:r>
              <w:rPr>
                <w:rFonts w:ascii="Aptos" w:hAnsi="Aptos"/>
                <w:sz w:val="12"/>
              </w:rPr>
              <w:t>AVCI summary, immutable audit, evidence references, CI run IDs, ADR/TDL links.</w:t>
            </w:r>
          </w:p>
        </w:tc>
        <w:tc>
          <w:tcPr>
            <w:tcW w:type="dxa" w:w="2664"/>
            <w:vAlign w:val="top"/>
            <w:tcMar>
              <w:top w:w="42" w:type="dxa"/>
              <w:start w:w="50" w:type="dxa"/>
              <w:bottom w:w="42" w:type="dxa"/>
              <w:end w:w="50" w:type="dxa"/>
            </w:tcMar>
          </w:tcPr>
          <w:p>
            <w:pPr>
              <w:spacing w:after="0" w:line="240" w:lineRule="auto"/>
            </w:pPr>
            <w:r>
              <w:rPr>
                <w:rFonts w:ascii="Aptos" w:hAnsi="Aptos"/>
                <w:sz w:val="12"/>
              </w:rPr>
              <w:t>Evidence record, audit trail, OpenKM/DMS reference.</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Change control</w:t>
            </w:r>
          </w:p>
        </w:tc>
        <w:tc>
          <w:tcPr>
            <w:tcW w:type="dxa" w:w="4752"/>
            <w:vAlign w:val="top"/>
            <w:tcMar>
              <w:top w:w="42" w:type="dxa"/>
              <w:start w:w="50" w:type="dxa"/>
              <w:bottom w:w="42" w:type="dxa"/>
              <w:end w:w="50" w:type="dxa"/>
            </w:tcMar>
          </w:tcPr>
          <w:p>
            <w:pPr>
              <w:spacing w:after="0" w:line="240" w:lineRule="auto"/>
            </w:pPr>
            <w:r>
              <w:rPr>
                <w:rFonts w:ascii="Aptos" w:hAnsi="Aptos"/>
                <w:sz w:val="12"/>
              </w:rPr>
              <w:t>MR gates, branch protection, CODEOWNERS, waiver workflow, CAB/ARB approvals.</w:t>
            </w:r>
          </w:p>
        </w:tc>
        <w:tc>
          <w:tcPr>
            <w:tcW w:type="dxa" w:w="2664"/>
            <w:vAlign w:val="top"/>
            <w:tcMar>
              <w:top w:w="42" w:type="dxa"/>
              <w:start w:w="50" w:type="dxa"/>
              <w:bottom w:w="42" w:type="dxa"/>
              <w:end w:w="50" w:type="dxa"/>
            </w:tcMar>
          </w:tcPr>
          <w:p>
            <w:pPr>
              <w:spacing w:after="0" w:line="240" w:lineRule="auto"/>
            </w:pPr>
            <w:r>
              <w:rPr>
                <w:rFonts w:ascii="Aptos" w:hAnsi="Aptos"/>
                <w:sz w:val="12"/>
              </w:rPr>
              <w:t>Change record, approvals, waiver expiry.</w:t>
            </w:r>
          </w:p>
        </w:tc>
      </w:tr>
      <w:tr>
        <w:trPr>
          <w:cantSplit/>
        </w:trPr>
        <w:tc>
          <w:tcPr>
            <w:tcW w:type="dxa" w:w="2376"/>
            <w:vAlign w:val="top"/>
            <w:tcMar>
              <w:top w:w="42" w:type="dxa"/>
              <w:start w:w="50" w:type="dxa"/>
              <w:bottom w:w="42" w:type="dxa"/>
              <w:end w:w="50" w:type="dxa"/>
            </w:tcMar>
          </w:tcPr>
          <w:p>
            <w:pPr>
              <w:spacing w:after="0" w:line="240" w:lineRule="auto"/>
            </w:pPr>
            <w:r>
              <w:rPr>
                <w:rFonts w:ascii="Aptos" w:hAnsi="Aptos"/>
                <w:sz w:val="12"/>
              </w:rPr>
              <w:t>Data protection</w:t>
            </w:r>
          </w:p>
        </w:tc>
        <w:tc>
          <w:tcPr>
            <w:tcW w:type="dxa" w:w="4752"/>
            <w:vAlign w:val="top"/>
            <w:tcMar>
              <w:top w:w="42" w:type="dxa"/>
              <w:start w:w="50" w:type="dxa"/>
              <w:bottom w:w="42" w:type="dxa"/>
              <w:end w:w="50" w:type="dxa"/>
            </w:tcMar>
          </w:tcPr>
          <w:p>
            <w:pPr>
              <w:spacing w:after="0" w:line="240" w:lineRule="auto"/>
            </w:pPr>
            <w:r>
              <w:rPr>
                <w:rFonts w:ascii="Aptos" w:hAnsi="Aptos"/>
                <w:sz w:val="12"/>
              </w:rPr>
              <w:t>Classification-aware routing, no PII/secrets in prompts/logs/tests, redaction rules.</w:t>
            </w:r>
          </w:p>
        </w:tc>
        <w:tc>
          <w:tcPr>
            <w:tcW w:type="dxa" w:w="2664"/>
            <w:vAlign w:val="top"/>
            <w:tcMar>
              <w:top w:w="42" w:type="dxa"/>
              <w:start w:w="50" w:type="dxa"/>
              <w:bottom w:w="42" w:type="dxa"/>
              <w:end w:w="50" w:type="dxa"/>
            </w:tcMar>
          </w:tcPr>
          <w:p>
            <w:pPr>
              <w:spacing w:after="0" w:line="240" w:lineRule="auto"/>
            </w:pPr>
            <w:r>
              <w:rPr>
                <w:rFonts w:ascii="Aptos" w:hAnsi="Aptos"/>
                <w:sz w:val="12"/>
              </w:rPr>
              <w:t>Classification metadata, scan results, reviewer attestation.</w:t>
            </w:r>
          </w:p>
        </w:tc>
      </w:tr>
    </w:tbl>
    <w:p/>
    <w:p>
      <w:pPr>
        <w:pStyle w:val="Heading1"/>
        <w:keepNext/>
        <w:spacing w:before="160" w:after="80"/>
      </w:pPr>
    </w:p>
    <w:p>
      <w:pPr>
        <w:spacing w:after="40"/>
      </w:pPr>
      <w:r>
        <w:rPr>
          <w:rFonts w:ascii="Aptos" w:hAnsi="Aptos"/>
          <w:b/>
          <w:color w:val="1F4E79"/>
          <w:sz w:val="17"/>
        </w:rPr>
        <w:t>Root CLAUDE.md Baseline</w:t>
      </w:r>
    </w:p>
    <w:tbl>
      <w:tblPr>
        <w:tblStyle w:val="TableGrid"/>
        <w:tblW w:type="auto" w:w="0"/>
        <w:tblLook w:firstColumn="1" w:firstRow="1" w:lastColumn="0" w:lastRow="0" w:noHBand="0" w:noVBand="1" w:val="04A0"/>
      </w:tblPr>
      <w:tblGrid>
        <w:gridCol w:w="10454"/>
      </w:tblGrid>
      <w:tr>
        <w:tc>
          <w:tcPr>
            <w:tcW w:type="dxa" w:w="10454"/>
            <w:shd w:fill="F4F6F7"/>
            <w:tcMar>
              <w:top w:w="70" w:type="dxa"/>
              <w:start w:w="85" w:type="dxa"/>
              <w:bottom w:w="70" w:type="dxa"/>
              <w:end w:w="85" w:type="dxa"/>
            </w:tcMar>
          </w:tcPr>
          <w:p>
            <w:pPr>
              <w:spacing w:after="0"/>
            </w:pPr>
            <w:r>
              <w:rPr>
                <w:rFonts w:ascii="Courier New" w:hAnsi="Courier New"/>
                <w:color w:val="333333"/>
                <w:sz w:val="12"/>
              </w:rPr>
              <w:t># AIRA Repository Rules of Engagement</w:t>
            </w:r>
            <w:r>
              <w:br/>
            </w:r>
            <w:r>
              <w:rPr>
                <w:rFonts w:ascii="Courier New" w:hAnsi="Courier New"/>
                <w:color w:val="333333"/>
                <w:sz w:val="12"/>
              </w:rPr>
            </w:r>
            <w:r>
              <w:br/>
            </w:r>
            <w:r>
              <w:rPr>
                <w:rFonts w:ascii="Courier New" w:hAnsi="Courier New"/>
                <w:color w:val="333333"/>
                <w:sz w:val="12"/>
              </w:rPr>
              <w:t>## Authority</w:t>
            </w:r>
            <w:r>
              <w:br/>
            </w:r>
            <w:r>
              <w:rPr>
                <w:rFonts w:ascii="Courier New" w:hAnsi="Courier New"/>
                <w:color w:val="333333"/>
                <w:sz w:val="12"/>
              </w:rPr>
              <w:t>This CLAUDE.md inherits from:</w:t>
            </w:r>
            <w:r>
              <w:br/>
            </w:r>
            <w:r>
              <w:rPr>
                <w:rFonts w:ascii="Courier New" w:hAnsi="Courier New"/>
                <w:color w:val="333333"/>
                <w:sz w:val="12"/>
              </w:rPr>
              <w:t>- ADR-AIRA-2026-001</w:t>
            </w:r>
            <w:r>
              <w:br/>
            </w:r>
            <w:r>
              <w:rPr>
                <w:rFonts w:ascii="Courier New" w:hAnsi="Courier New"/>
                <w:color w:val="333333"/>
                <w:sz w:val="12"/>
              </w:rPr>
              <w:t>- 01A-AIRA Enterprise Design Principles and SOLID Enforcement Layer v1.0</w:t>
            </w:r>
            <w:r>
              <w:br/>
            </w:r>
            <w:r>
              <w:rPr>
                <w:rFonts w:ascii="Courier New" w:hAnsi="Courier New"/>
                <w:color w:val="333333"/>
                <w:sz w:val="12"/>
              </w:rPr>
              <w:t>- 01-AIRA AVCI Engineering Standard v3.0</w:t>
            </w:r>
            <w:r>
              <w:br/>
            </w:r>
            <w:r>
              <w:rPr>
                <w:rFonts w:ascii="Courier New" w:hAnsi="Courier New"/>
                <w:color w:val="333333"/>
                <w:sz w:val="12"/>
              </w:rPr>
              <w:t>- 02-AIRA Engineering Blueprint v5.0</w:t>
            </w:r>
            <w:r>
              <w:br/>
            </w:r>
            <w:r>
              <w:rPr>
                <w:rFonts w:ascii="Courier New" w:hAnsi="Courier New"/>
                <w:color w:val="333333"/>
                <w:sz w:val="12"/>
              </w:rPr>
              <w:t>- 03-AIRA Developer Guide v4.0</w:t>
            </w:r>
            <w:r>
              <w:br/>
            </w:r>
            <w:r>
              <w:rPr>
                <w:rFonts w:ascii="Courier New" w:hAnsi="Courier New"/>
                <w:color w:val="333333"/>
                <w:sz w:val="12"/>
              </w:rPr>
              <w:t>- 08-AIRA Unit Testing Engineering Standard v3.0</w:t>
            </w:r>
            <w:r>
              <w:br/>
            </w:r>
            <w:r>
              <w:rPr>
                <w:rFonts w:ascii="Courier New" w:hAnsi="Courier New"/>
                <w:color w:val="333333"/>
                <w:sz w:val="12"/>
              </w:rPr>
            </w:r>
            <w:r>
              <w:br/>
            </w:r>
            <w:r>
              <w:rPr>
                <w:rFonts w:ascii="Courier New" w:hAnsi="Courier New"/>
                <w:color w:val="333333"/>
                <w:sz w:val="12"/>
              </w:rPr>
              <w:t>## Mandatory Rules</w:t>
            </w:r>
            <w:r>
              <w:br/>
            </w:r>
            <w:r>
              <w:rPr>
                <w:rFonts w:ascii="Courier New" w:hAnsi="Courier New"/>
                <w:color w:val="333333"/>
                <w:sz w:val="12"/>
              </w:rPr>
              <w:t>1. Preserve or improve SOLID, Clean Architecture, DDD boundaries, ports/adapters, testability, security, observability, reversibility, and AVCI evidence.</w:t>
            </w:r>
            <w:r>
              <w:br/>
            </w:r>
            <w:r>
              <w:rPr>
                <w:rFonts w:ascii="Courier New" w:hAnsi="Courier New"/>
                <w:color w:val="333333"/>
                <w:sz w:val="12"/>
              </w:rPr>
              <w:t>2. Do not call model providers directly. Use LiteLLM model aliases only.</w:t>
            </w:r>
            <w:r>
              <w:br/>
            </w:r>
            <w:r>
              <w:rPr>
                <w:rFonts w:ascii="Courier New" w:hAnsi="Courier New"/>
                <w:color w:val="333333"/>
                <w:sz w:val="12"/>
              </w:rPr>
              <w:t>3. Do not bypass NeMo Guardrails Input, Retrieval, Execution, or Output checkpoints.</w:t>
            </w:r>
            <w:r>
              <w:br/>
            </w:r>
            <w:r>
              <w:rPr>
                <w:rFonts w:ascii="Courier New" w:hAnsi="Courier New"/>
                <w:color w:val="333333"/>
                <w:sz w:val="12"/>
              </w:rPr>
              <w:t>4. Do not execute tools directly from AI agents. Use Harness + SBAC + OPA + audit.</w:t>
            </w:r>
            <w:r>
              <w:br/>
            </w:r>
            <w:r>
              <w:rPr>
                <w:rFonts w:ascii="Courier New" w:hAnsi="Courier New"/>
                <w:color w:val="333333"/>
                <w:sz w:val="12"/>
              </w:rPr>
              <w:t>5. Do not expose secrets, credentials, raw PII, production data, or Restricted content.</w:t>
            </w:r>
            <w:r>
              <w:br/>
            </w:r>
            <w:r>
              <w:rPr>
                <w:rFonts w:ascii="Courier New" w:hAnsi="Courier New"/>
                <w:color w:val="333333"/>
                <w:sz w:val="12"/>
              </w:rPr>
              <w:t>6. Write or update deterministic tests before production-bound implementation.</w:t>
            </w:r>
            <w:r>
              <w:br/>
            </w:r>
            <w:r>
              <w:rPr>
                <w:rFonts w:ascii="Courier New" w:hAnsi="Courier New"/>
                <w:color w:val="333333"/>
                <w:sz w:val="12"/>
              </w:rPr>
              <w:t>7. Include the AVCI + Design Principles Compliance Summary in every non-trivial PR.</w:t>
            </w:r>
            <w:r>
              <w:br/>
            </w:r>
            <w:r>
              <w:rPr>
                <w:rFonts w:ascii="Courier New" w:hAnsi="Courier New"/>
                <w:color w:val="333333"/>
                <w:sz w:val="12"/>
              </w:rPr>
              <w:t>8. Escalate conflicts, waivers, and unclear ownership. Do not silently choose convenience.</w:t>
            </w:r>
          </w:p>
        </w:tc>
      </w:tr>
    </w:tbl>
    <w:p/>
    <w:p>
      <w:pPr>
        <w:pStyle w:val="Heading1"/>
        <w:keepNext/>
        <w:spacing w:before="160" w:after="80"/>
      </w:pPr>
    </w:p>
    <w:p>
      <w:pPr>
        <w:spacing w:after="40"/>
      </w:pPr>
      <w:r>
        <w:rPr>
          <w:rFonts w:ascii="Aptos" w:hAnsi="Aptos"/>
          <w:b/>
          <w:color w:val="1F4E79"/>
          <w:sz w:val="17"/>
        </w:rPr>
        <w:t>Guardrails Directory Template</w:t>
      </w:r>
    </w:p>
    <w:tbl>
      <w:tblPr>
        <w:tblStyle w:val="TableGrid"/>
        <w:tblW w:type="auto" w:w="0"/>
        <w:tblLook w:firstColumn="1" w:firstRow="1" w:lastColumn="0" w:lastRow="0" w:noHBand="0" w:noVBand="1" w:val="04A0"/>
      </w:tblPr>
      <w:tblGrid>
        <w:gridCol w:w="10454"/>
      </w:tblGrid>
      <w:tr>
        <w:tc>
          <w:tcPr>
            <w:tcW w:type="dxa" w:w="10454"/>
            <w:shd w:fill="F4F6F7"/>
            <w:tcMar>
              <w:top w:w="70" w:type="dxa"/>
              <w:start w:w="85" w:type="dxa"/>
              <w:bottom w:w="70" w:type="dxa"/>
              <w:end w:w="85" w:type="dxa"/>
            </w:tcMar>
          </w:tcPr>
          <w:p>
            <w:pPr>
              <w:spacing w:after="0"/>
            </w:pPr>
            <w:r>
              <w:rPr>
                <w:rFonts w:ascii="Courier New" w:hAnsi="Courier New"/>
                <w:color w:val="333333"/>
                <w:sz w:val="12"/>
              </w:rPr>
              <w:t># /ai/guardrails/CLAUDE.md</w:t>
            </w:r>
            <w:r>
              <w:br/>
            </w:r>
            <w:r>
              <w:rPr>
                <w:rFonts w:ascii="Courier New" w:hAnsi="Courier New"/>
                <w:color w:val="333333"/>
                <w:sz w:val="12"/>
              </w:rPr>
            </w:r>
            <w:r>
              <w:br/>
            </w:r>
            <w:r>
              <w:rPr>
                <w:rFonts w:ascii="Courier New" w:hAnsi="Courier New"/>
                <w:color w:val="333333"/>
                <w:sz w:val="12"/>
              </w:rPr>
              <w:t>Additional rules for guardrail changes:</w:t>
            </w:r>
            <w:r>
              <w:br/>
            </w:r>
            <w:r>
              <w:rPr>
                <w:rFonts w:ascii="Courier New" w:hAnsi="Courier New"/>
                <w:color w:val="333333"/>
                <w:sz w:val="12"/>
              </w:rPr>
              <w:t>- No bypass flags, emergency disable switches, or silent fallback to unguarded model calls.</w:t>
            </w:r>
            <w:r>
              <w:br/>
            </w:r>
            <w:r>
              <w:rPr>
                <w:rFonts w:ascii="Courier New" w:hAnsi="Courier New"/>
                <w:color w:val="333333"/>
                <w:sz w:val="12"/>
              </w:rPr>
              <w:t>- Every change must include adversarial tests and golden dataset results.</w:t>
            </w:r>
            <w:r>
              <w:br/>
            </w:r>
            <w:r>
              <w:rPr>
                <w:rFonts w:ascii="Courier New" w:hAnsi="Courier New"/>
                <w:color w:val="333333"/>
                <w:sz w:val="12"/>
              </w:rPr>
              <w:t>- Input, Retrieval, Execution, and Output checkpoints must fail closed.</w:t>
            </w:r>
            <w:r>
              <w:br/>
            </w:r>
            <w:r>
              <w:rPr>
                <w:rFonts w:ascii="Courier New" w:hAnsi="Courier New"/>
                <w:color w:val="333333"/>
                <w:sz w:val="12"/>
              </w:rPr>
              <w:t>- Confidential/Restricted content must follow classification-aware routing.</w:t>
            </w:r>
            <w:r>
              <w:br/>
            </w:r>
            <w:r>
              <w:rPr>
                <w:rFonts w:ascii="Courier New" w:hAnsi="Courier New"/>
                <w:color w:val="333333"/>
                <w:sz w:val="12"/>
              </w:rPr>
              <w:t>- Human approval is required before promotion to any shared environment.</w:t>
            </w:r>
          </w:p>
        </w:tc>
      </w:tr>
    </w:tbl>
    <w:p/>
    <w:p>
      <w:pPr>
        <w:spacing w:after="40"/>
      </w:pPr>
      <w:r>
        <w:rPr>
          <w:rFonts w:ascii="Aptos" w:hAnsi="Aptos"/>
          <w:b/>
          <w:color w:val="1F4E79"/>
          <w:sz w:val="17"/>
        </w:rPr>
        <w:t>Flyway Directory Template</w:t>
      </w:r>
    </w:p>
    <w:tbl>
      <w:tblPr>
        <w:tblStyle w:val="TableGrid"/>
        <w:tblW w:type="auto" w:w="0"/>
        <w:tblLook w:firstColumn="1" w:firstRow="1" w:lastColumn="0" w:lastRow="0" w:noHBand="0" w:noVBand="1" w:val="04A0"/>
      </w:tblPr>
      <w:tblGrid>
        <w:gridCol w:w="10454"/>
      </w:tblGrid>
      <w:tr>
        <w:tc>
          <w:tcPr>
            <w:tcW w:type="dxa" w:w="10454"/>
            <w:shd w:fill="F4F6F7"/>
            <w:tcMar>
              <w:top w:w="70" w:type="dxa"/>
              <w:start w:w="85" w:type="dxa"/>
              <w:bottom w:w="70" w:type="dxa"/>
              <w:end w:w="85" w:type="dxa"/>
            </w:tcMar>
          </w:tcPr>
          <w:p>
            <w:pPr>
              <w:spacing w:after="0"/>
            </w:pPr>
            <w:r>
              <w:rPr>
                <w:rFonts w:ascii="Courier New" w:hAnsi="Courier New"/>
                <w:color w:val="333333"/>
                <w:sz w:val="12"/>
              </w:rPr>
              <w:t># /infra/flyway/CLAUDE.md</w:t>
            </w:r>
            <w:r>
              <w:br/>
            </w:r>
            <w:r>
              <w:rPr>
                <w:rFonts w:ascii="Courier New" w:hAnsi="Courier New"/>
                <w:color w:val="333333"/>
                <w:sz w:val="12"/>
              </w:rPr>
            </w:r>
            <w:r>
              <w:br/>
            </w:r>
            <w:r>
              <w:rPr>
                <w:rFonts w:ascii="Courier New" w:hAnsi="Courier New"/>
                <w:color w:val="333333"/>
                <w:sz w:val="12"/>
              </w:rPr>
              <w:t>Additional rules for database migration changes:</w:t>
            </w:r>
            <w:r>
              <w:br/>
            </w:r>
            <w:r>
              <w:rPr>
                <w:rFonts w:ascii="Courier New" w:hAnsi="Courier New"/>
                <w:color w:val="333333"/>
                <w:sz w:val="12"/>
              </w:rPr>
              <w:t>- All schema changes use Flyway. No manual production DDL.</w:t>
            </w:r>
            <w:r>
              <w:br/>
            </w:r>
            <w:r>
              <w:rPr>
                <w:rFonts w:ascii="Courier New" w:hAnsi="Courier New"/>
                <w:color w:val="333333"/>
                <w:sz w:val="12"/>
              </w:rPr>
              <w:t>- Use expand/contract migration for compatibility-sensitive changes.</w:t>
            </w:r>
            <w:r>
              <w:br/>
            </w:r>
            <w:r>
              <w:rPr>
                <w:rFonts w:ascii="Courier New" w:hAnsi="Courier New"/>
                <w:color w:val="333333"/>
                <w:sz w:val="12"/>
              </w:rPr>
              <w:t>- Include rollback, forward-fix, or compensating migration plan.</w:t>
            </w:r>
            <w:r>
              <w:br/>
            </w:r>
            <w:r>
              <w:rPr>
                <w:rFonts w:ascii="Courier New" w:hAnsi="Courier New"/>
                <w:color w:val="333333"/>
                <w:sz w:val="12"/>
              </w:rPr>
              <w:t>- Seed data must be deterministic and classified.</w:t>
            </w:r>
            <w:r>
              <w:br/>
            </w:r>
            <w:r>
              <w:rPr>
                <w:rFonts w:ascii="Courier New" w:hAnsi="Courier New"/>
                <w:color w:val="333333"/>
                <w:sz w:val="12"/>
              </w:rPr>
              <w:t>- Migration tests and restore/replay evidence are required before promotion.</w:t>
            </w:r>
          </w:p>
        </w:tc>
      </w:tr>
    </w:tbl>
    <w:p/>
    <w:p>
      <w:pPr>
        <w:pStyle w:val="Heading1"/>
        <w:keepNext/>
        <w:spacing w:before="160" w:after="80"/>
      </w:pPr>
    </w:p>
    <w:p>
      <w:pPr>
        <w:spacing w:after="40"/>
      </w:pPr>
      <w:r>
        <w:rPr>
          <w:rFonts w:ascii="Aptos" w:hAnsi="Aptos"/>
          <w:b/>
          <w:color w:val="1F4E79"/>
          <w:sz w:val="17"/>
        </w:rPr>
        <w:t>Example .pre-commit-config.yaml</w:t>
      </w:r>
    </w:p>
    <w:tbl>
      <w:tblPr>
        <w:tblStyle w:val="TableGrid"/>
        <w:tblW w:type="auto" w:w="0"/>
        <w:tblLook w:firstColumn="1" w:firstRow="1" w:lastColumn="0" w:lastRow="0" w:noHBand="0" w:noVBand="1" w:val="04A0"/>
      </w:tblPr>
      <w:tblGrid>
        <w:gridCol w:w="10454"/>
      </w:tblGrid>
      <w:tr>
        <w:tc>
          <w:tcPr>
            <w:tcW w:type="dxa" w:w="10454"/>
            <w:shd w:fill="F4F6F7"/>
            <w:tcMar>
              <w:top w:w="70" w:type="dxa"/>
              <w:start w:w="85" w:type="dxa"/>
              <w:bottom w:w="70" w:type="dxa"/>
              <w:end w:w="85" w:type="dxa"/>
            </w:tcMar>
          </w:tcPr>
          <w:p>
            <w:pPr>
              <w:spacing w:after="0"/>
            </w:pPr>
            <w:r>
              <w:rPr>
                <w:rFonts w:ascii="Courier New" w:hAnsi="Courier New"/>
                <w:color w:val="333333"/>
                <w:sz w:val="12"/>
              </w:rPr>
              <w:t>repos:</w:t>
            </w:r>
            <w:r>
              <w:br/>
            </w:r>
            <w:r>
              <w:rPr>
                <w:rFonts w:ascii="Courier New" w:hAnsi="Courier New"/>
                <w:color w:val="333333"/>
                <w:sz w:val="12"/>
              </w:rPr>
              <w:t xml:space="preserve">  - repo: local</w:t>
            </w:r>
            <w:r>
              <w:br/>
            </w:r>
            <w:r>
              <w:rPr>
                <w:rFonts w:ascii="Courier New" w:hAnsi="Courier New"/>
                <w:color w:val="333333"/>
                <w:sz w:val="12"/>
              </w:rPr>
              <w:t xml:space="preserve">    hooks:</w:t>
            </w:r>
            <w:r>
              <w:br/>
            </w:r>
            <w:r>
              <w:rPr>
                <w:rFonts w:ascii="Courier New" w:hAnsi="Courier New"/>
                <w:color w:val="333333"/>
                <w:sz w:val="12"/>
              </w:rPr>
              <w:t xml:space="preserve">      - id: aira-claude-md-lock</w:t>
            </w:r>
            <w:r>
              <w:br/>
            </w:r>
            <w:r>
              <w:rPr>
                <w:rFonts w:ascii="Courier New" w:hAnsi="Courier New"/>
                <w:color w:val="333333"/>
                <w:sz w:val="12"/>
              </w:rPr>
              <w:t xml:space="preserve">        name: Validate CLAUDE.md compiled lock</w:t>
            </w:r>
            <w:r>
              <w:br/>
            </w:r>
            <w:r>
              <w:rPr>
                <w:rFonts w:ascii="Courier New" w:hAnsi="Courier New"/>
                <w:color w:val="333333"/>
                <w:sz w:val="12"/>
              </w:rPr>
              <w:t xml:space="preserve">        entry: scripts/validate_claude_lock.sh</w:t>
            </w:r>
            <w:r>
              <w:br/>
            </w:r>
            <w:r>
              <w:rPr>
                <w:rFonts w:ascii="Courier New" w:hAnsi="Courier New"/>
                <w:color w:val="333333"/>
                <w:sz w:val="12"/>
              </w:rPr>
              <w:t xml:space="preserve">        language: system</w:t>
            </w:r>
            <w:r>
              <w:br/>
            </w:r>
            <w:r>
              <w:rPr>
                <w:rFonts w:ascii="Courier New" w:hAnsi="Courier New"/>
                <w:color w:val="333333"/>
                <w:sz w:val="12"/>
              </w:rPr>
              <w:t xml:space="preserve">      - id: aira-no-provider-sdk</w:t>
            </w:r>
            <w:r>
              <w:br/>
            </w:r>
            <w:r>
              <w:rPr>
                <w:rFonts w:ascii="Courier New" w:hAnsi="Courier New"/>
                <w:color w:val="333333"/>
                <w:sz w:val="12"/>
              </w:rPr>
              <w:t xml:space="preserve">        name: Block direct model provider SDK imports</w:t>
            </w:r>
            <w:r>
              <w:br/>
            </w:r>
            <w:r>
              <w:rPr>
                <w:rFonts w:ascii="Courier New" w:hAnsi="Courier New"/>
                <w:color w:val="333333"/>
                <w:sz w:val="12"/>
              </w:rPr>
              <w:t xml:space="preserve">        entry: scripts/check_no_direct_model_provider.sh</w:t>
            </w:r>
            <w:r>
              <w:br/>
            </w:r>
            <w:r>
              <w:rPr>
                <w:rFonts w:ascii="Courier New" w:hAnsi="Courier New"/>
                <w:color w:val="333333"/>
                <w:sz w:val="12"/>
              </w:rPr>
              <w:t xml:space="preserve">        language: system</w:t>
            </w:r>
            <w:r>
              <w:br/>
            </w:r>
            <w:r>
              <w:rPr>
                <w:rFonts w:ascii="Courier New" w:hAnsi="Courier New"/>
                <w:color w:val="333333"/>
                <w:sz w:val="12"/>
              </w:rPr>
              <w:t xml:space="preserve">      - id: aira-no-secrets</w:t>
            </w:r>
            <w:r>
              <w:br/>
            </w:r>
            <w:r>
              <w:rPr>
                <w:rFonts w:ascii="Courier New" w:hAnsi="Courier New"/>
                <w:color w:val="333333"/>
                <w:sz w:val="12"/>
              </w:rPr>
              <w:t xml:space="preserve">        name: Secret and token scan</w:t>
            </w:r>
            <w:r>
              <w:br/>
            </w:r>
            <w:r>
              <w:rPr>
                <w:rFonts w:ascii="Courier New" w:hAnsi="Courier New"/>
                <w:color w:val="333333"/>
                <w:sz w:val="12"/>
              </w:rPr>
              <w:t xml:space="preserve">        entry: gitleaks protect --staged --verbose</w:t>
            </w:r>
            <w:r>
              <w:br/>
            </w:r>
            <w:r>
              <w:rPr>
                <w:rFonts w:ascii="Courier New" w:hAnsi="Courier New"/>
                <w:color w:val="333333"/>
                <w:sz w:val="12"/>
              </w:rPr>
              <w:t xml:space="preserve">        language: system</w:t>
            </w:r>
            <w:r>
              <w:br/>
            </w:r>
            <w:r>
              <w:rPr>
                <w:rFonts w:ascii="Courier New" w:hAnsi="Courier New"/>
                <w:color w:val="333333"/>
                <w:sz w:val="12"/>
              </w:rPr>
              <w:t xml:space="preserve">      - id: aira-architecture-boundaries</w:t>
            </w:r>
            <w:r>
              <w:br/>
            </w:r>
            <w:r>
              <w:rPr>
                <w:rFonts w:ascii="Courier New" w:hAnsi="Courier New"/>
                <w:color w:val="333333"/>
                <w:sz w:val="12"/>
              </w:rPr>
              <w:t xml:space="preserve">        name: Architecture boundary checks</w:t>
            </w:r>
            <w:r>
              <w:br/>
            </w:r>
            <w:r>
              <w:rPr>
                <w:rFonts w:ascii="Courier New" w:hAnsi="Courier New"/>
                <w:color w:val="333333"/>
                <w:sz w:val="12"/>
              </w:rPr>
              <w:t xml:space="preserve">        entry: ./gradlew test --tests '*ArchitectureTest'</w:t>
            </w:r>
            <w:r>
              <w:br/>
            </w:r>
            <w:r>
              <w:rPr>
                <w:rFonts w:ascii="Courier New" w:hAnsi="Courier New"/>
                <w:color w:val="333333"/>
                <w:sz w:val="12"/>
              </w:rPr>
              <w:t xml:space="preserve">        language: system</w:t>
            </w:r>
          </w:p>
        </w:tc>
      </w:tr>
    </w:tbl>
    <w:p/>
    <w:p>
      <w:pPr>
        <w:spacing w:after="40"/>
      </w:pPr>
      <w:r>
        <w:rPr>
          <w:rFonts w:ascii="Aptos" w:hAnsi="Aptos"/>
          <w:b/>
          <w:color w:val="1F4E79"/>
          <w:sz w:val="17"/>
        </w:rPr>
        <w:t>Example GitHub Actions Gate</w:t>
      </w:r>
    </w:p>
    <w:tbl>
      <w:tblPr>
        <w:tblStyle w:val="TableGrid"/>
        <w:tblW w:type="auto" w:w="0"/>
        <w:tblLook w:firstColumn="1" w:firstRow="1" w:lastColumn="0" w:lastRow="0" w:noHBand="0" w:noVBand="1" w:val="04A0"/>
      </w:tblPr>
      <w:tblGrid>
        <w:gridCol w:w="10454"/>
      </w:tblGrid>
      <w:tr>
        <w:tc>
          <w:tcPr>
            <w:tcW w:type="dxa" w:w="10454"/>
            <w:shd w:fill="F4F6F7"/>
            <w:tcMar>
              <w:top w:w="70" w:type="dxa"/>
              <w:start w:w="85" w:type="dxa"/>
              <w:bottom w:w="70" w:type="dxa"/>
              <w:end w:w="85" w:type="dxa"/>
            </w:tcMar>
          </w:tcPr>
          <w:p>
            <w:pPr>
              <w:spacing w:after="0"/>
            </w:pPr>
            <w:r>
              <w:rPr>
                <w:rFonts w:ascii="Courier New" w:hAnsi="Courier New"/>
                <w:color w:val="333333"/>
                <w:sz w:val="12"/>
              </w:rPr>
              <w:t>name: AIRA CLAUDE.md Compliance</w:t>
            </w:r>
            <w:r>
              <w:br/>
            </w:r>
            <w:r>
              <w:rPr>
                <w:rFonts w:ascii="Courier New" w:hAnsi="Courier New"/>
                <w:color w:val="333333"/>
                <w:sz w:val="12"/>
              </w:rPr>
              <w:t>on: [pull_request]</w:t>
            </w:r>
            <w:r>
              <w:br/>
            </w:r>
            <w:r>
              <w:rPr>
                <w:rFonts w:ascii="Courier New" w:hAnsi="Courier New"/>
                <w:color w:val="333333"/>
                <w:sz w:val="12"/>
              </w:rPr>
              <w:t>jobs:</w:t>
            </w:r>
            <w:r>
              <w:br/>
            </w:r>
            <w:r>
              <w:rPr>
                <w:rFonts w:ascii="Courier New" w:hAnsi="Courier New"/>
                <w:color w:val="333333"/>
                <w:sz w:val="12"/>
              </w:rPr>
              <w:t xml:space="preserve">  compliance:</w:t>
            </w:r>
            <w:r>
              <w:br/>
            </w:r>
            <w:r>
              <w:rPr>
                <w:rFonts w:ascii="Courier New" w:hAnsi="Courier New"/>
                <w:color w:val="333333"/>
                <w:sz w:val="12"/>
              </w:rPr>
              <w:t xml:space="preserve">    runs-on: ubuntu-latest</w:t>
            </w:r>
            <w:r>
              <w:br/>
            </w:r>
            <w:r>
              <w:rPr>
                <w:rFonts w:ascii="Courier New" w:hAnsi="Courier New"/>
                <w:color w:val="333333"/>
                <w:sz w:val="12"/>
              </w:rPr>
              <w:t xml:space="preserve">    steps:</w:t>
            </w:r>
            <w:r>
              <w:br/>
            </w:r>
            <w:r>
              <w:rPr>
                <w:rFonts w:ascii="Courier New" w:hAnsi="Courier New"/>
                <w:color w:val="333333"/>
                <w:sz w:val="12"/>
              </w:rPr>
              <w:t xml:space="preserve">      - uses: actions/checkout@v4</w:t>
            </w:r>
            <w:r>
              <w:br/>
            </w:r>
            <w:r>
              <w:rPr>
                <w:rFonts w:ascii="Courier New" w:hAnsi="Courier New"/>
                <w:color w:val="333333"/>
                <w:sz w:val="12"/>
              </w:rPr>
              <w:t xml:space="preserve">      - name: Validate repository rules</w:t>
            </w:r>
            <w:r>
              <w:br/>
            </w:r>
            <w:r>
              <w:rPr>
                <w:rFonts w:ascii="Courier New" w:hAnsi="Courier New"/>
                <w:color w:val="333333"/>
                <w:sz w:val="12"/>
              </w:rPr>
              <w:t xml:space="preserve">        run: ./scripts/validate_claude_lock.sh --strict</w:t>
            </w:r>
            <w:r>
              <w:br/>
            </w:r>
            <w:r>
              <w:rPr>
                <w:rFonts w:ascii="Courier New" w:hAnsi="Courier New"/>
                <w:color w:val="333333"/>
                <w:sz w:val="12"/>
              </w:rPr>
              <w:t xml:space="preserve">      - name: Run architecture fitness functions</w:t>
            </w:r>
            <w:r>
              <w:br/>
            </w:r>
            <w:r>
              <w:rPr>
                <w:rFonts w:ascii="Courier New" w:hAnsi="Courier New"/>
                <w:color w:val="333333"/>
                <w:sz w:val="12"/>
              </w:rPr>
              <w:t xml:space="preserve">        run: ./gradlew test --tests '*ArchitectureTest'</w:t>
            </w:r>
            <w:r>
              <w:br/>
            </w:r>
            <w:r>
              <w:rPr>
                <w:rFonts w:ascii="Courier New" w:hAnsi="Courier New"/>
                <w:color w:val="333333"/>
                <w:sz w:val="12"/>
              </w:rPr>
              <w:t xml:space="preserve">      - name: Run policy checks</w:t>
            </w:r>
            <w:r>
              <w:br/>
            </w:r>
            <w:r>
              <w:rPr>
                <w:rFonts w:ascii="Courier New" w:hAnsi="Courier New"/>
                <w:color w:val="333333"/>
                <w:sz w:val="12"/>
              </w:rPr>
              <w:t xml:space="preserve">        run: conftest test infra/ ai/ --policy policy/</w:t>
            </w:r>
            <w:r>
              <w:br/>
            </w:r>
            <w:r>
              <w:rPr>
                <w:rFonts w:ascii="Courier New" w:hAnsi="Courier New"/>
                <w:color w:val="333333"/>
                <w:sz w:val="12"/>
              </w:rPr>
              <w:t xml:space="preserve">      - name: Run security scans</w:t>
            </w:r>
            <w:r>
              <w:br/>
            </w:r>
            <w:r>
              <w:rPr>
                <w:rFonts w:ascii="Courier New" w:hAnsi="Courier New"/>
                <w:color w:val="333333"/>
                <w:sz w:val="12"/>
              </w:rPr>
              <w:t xml:space="preserve">        run: ./scripts/run_security_scans.sh</w:t>
            </w:r>
            <w:r>
              <w:br/>
            </w:r>
            <w:r>
              <w:rPr>
                <w:rFonts w:ascii="Courier New" w:hAnsi="Courier New"/>
                <w:color w:val="333333"/>
                <w:sz w:val="12"/>
              </w:rPr>
              <w:t xml:space="preserve">      - name: Verify AVCI summary</w:t>
            </w:r>
            <w:r>
              <w:br/>
            </w:r>
            <w:r>
              <w:rPr>
                <w:rFonts w:ascii="Courier New" w:hAnsi="Courier New"/>
                <w:color w:val="333333"/>
                <w:sz w:val="12"/>
              </w:rPr>
              <w:t xml:space="preserve">        run: ./scripts/check_pr_avci_summary.sh</w:t>
            </w:r>
          </w:p>
        </w:tc>
      </w:tr>
    </w:tbl>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015"/>
            <w:shd w:fill="1F4E79"/>
            <w:tcMar>
              <w:top w:w="45" w:type="dxa"/>
              <w:start w:w="50" w:type="dxa"/>
              <w:bottom w:w="45" w:type="dxa"/>
              <w:end w:w="50" w:type="dxa"/>
            </w:tcMar>
          </w:tcPr>
          <w:p>
            <w:pPr>
              <w:spacing w:after="0"/>
              <w:jc w:val="center"/>
            </w:pPr>
            <w:r>
              <w:rPr>
                <w:rFonts w:ascii="Aptos" w:hAnsi="Aptos"/>
                <w:b/>
                <w:color w:val="FFFFFF"/>
                <w:sz w:val="13"/>
              </w:rPr>
              <w:t>AVCI Property</w:t>
            </w:r>
          </w:p>
        </w:tc>
        <w:tc>
          <w:tcPr>
            <w:tcW w:type="dxa" w:w="7776"/>
            <w:shd w:fill="1F4E79"/>
            <w:tcMar>
              <w:top w:w="45" w:type="dxa"/>
              <w:start w:w="50" w:type="dxa"/>
              <w:bottom w:w="45" w:type="dxa"/>
              <w:end w:w="50" w:type="dxa"/>
            </w:tcMar>
          </w:tcPr>
          <w:p>
            <w:pPr>
              <w:spacing w:after="0"/>
              <w:jc w:val="center"/>
            </w:pPr>
            <w:r>
              <w:rPr>
                <w:rFonts w:ascii="Aptos" w:hAnsi="Aptos"/>
                <w:b/>
                <w:color w:val="FFFFFF"/>
                <w:sz w:val="13"/>
              </w:rPr>
              <w:t>How This Document Satisfies It</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Attributable</w:t>
            </w:r>
          </w:p>
        </w:tc>
        <w:tc>
          <w:tcPr>
            <w:tcW w:type="dxa" w:w="7776"/>
            <w:vAlign w:val="top"/>
            <w:tcMar>
              <w:top w:w="42" w:type="dxa"/>
              <w:start w:w="50" w:type="dxa"/>
              <w:bottom w:w="42" w:type="dxa"/>
              <w:end w:w="50" w:type="dxa"/>
            </w:tcMar>
          </w:tcPr>
          <w:p>
            <w:pPr>
              <w:spacing w:after="0" w:line="240" w:lineRule="auto"/>
            </w:pPr>
            <w:r>
              <w:rPr>
                <w:rFonts w:ascii="Aptos" w:hAnsi="Aptos"/>
                <w:sz w:val="13"/>
              </w:rPr>
              <w:t>Owned by Solutions Architecture Office / AI DevSecOps Lead; governed by ADR-AIRA-2026-001 and linked companion standards.</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Verifiable</w:t>
            </w:r>
          </w:p>
        </w:tc>
        <w:tc>
          <w:tcPr>
            <w:tcW w:type="dxa" w:w="7776"/>
            <w:vAlign w:val="top"/>
            <w:tcMar>
              <w:top w:w="42" w:type="dxa"/>
              <w:start w:w="50" w:type="dxa"/>
              <w:bottom w:w="42" w:type="dxa"/>
              <w:end w:w="50" w:type="dxa"/>
            </w:tcMar>
          </w:tcPr>
          <w:p>
            <w:pPr>
              <w:spacing w:after="0" w:line="240" w:lineRule="auto"/>
            </w:pPr>
            <w:r>
              <w:rPr>
                <w:rFonts w:ascii="Aptos" w:hAnsi="Aptos"/>
                <w:sz w:val="13"/>
              </w:rPr>
              <w:t>Rules are intended for pre-commit, CI, CODEOWNERS, OPA, Harness, architecture tests, and audit evidence enforcement.</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Classifiable</w:t>
            </w:r>
          </w:p>
        </w:tc>
        <w:tc>
          <w:tcPr>
            <w:tcW w:type="dxa" w:w="7776"/>
            <w:vAlign w:val="top"/>
            <w:tcMar>
              <w:top w:w="42" w:type="dxa"/>
              <w:start w:w="50" w:type="dxa"/>
              <w:bottom w:w="42" w:type="dxa"/>
              <w:end w:w="50" w:type="dxa"/>
            </w:tcMar>
          </w:tcPr>
          <w:p>
            <w:pPr>
              <w:spacing w:after="0" w:line="240" w:lineRule="auto"/>
            </w:pPr>
            <w:r>
              <w:rPr>
                <w:rFonts w:ascii="Aptos" w:hAnsi="Aptos"/>
                <w:sz w:val="13"/>
              </w:rPr>
              <w:t>CONFIDENTIAL - Internal Use Only; contains engineering governance and repository control rules.</w:t>
            </w:r>
          </w:p>
        </w:tc>
      </w:tr>
      <w:tr>
        <w:trPr>
          <w:cantSplit/>
        </w:trPr>
        <w:tc>
          <w:tcPr>
            <w:tcW w:type="dxa" w:w="2015"/>
            <w:vAlign w:val="top"/>
            <w:tcMar>
              <w:top w:w="42" w:type="dxa"/>
              <w:start w:w="50" w:type="dxa"/>
              <w:bottom w:w="42" w:type="dxa"/>
              <w:end w:w="50" w:type="dxa"/>
            </w:tcMar>
          </w:tcPr>
          <w:p>
            <w:pPr>
              <w:spacing w:after="0" w:line="240" w:lineRule="auto"/>
            </w:pPr>
            <w:r>
              <w:rPr>
                <w:rFonts w:ascii="Aptos" w:hAnsi="Aptos"/>
                <w:sz w:val="13"/>
              </w:rPr>
              <w:t>Improvable</w:t>
            </w:r>
          </w:p>
        </w:tc>
        <w:tc>
          <w:tcPr>
            <w:tcW w:type="dxa" w:w="7776"/>
            <w:vAlign w:val="top"/>
            <w:tcMar>
              <w:top w:w="42" w:type="dxa"/>
              <w:start w:w="50" w:type="dxa"/>
              <w:bottom w:w="42" w:type="dxa"/>
              <w:end w:w="50" w:type="dxa"/>
            </w:tcMar>
          </w:tcPr>
          <w:p>
            <w:pPr>
              <w:spacing w:after="0" w:line="240" w:lineRule="auto"/>
            </w:pPr>
            <w:r>
              <w:rPr>
                <w:rFonts w:ascii="Aptos" w:hAnsi="Aptos"/>
                <w:sz w:val="13"/>
              </w:rPr>
              <w:t>Quarterly review; updates driven by CI failures, audit findings, security incidents, AI tool changes, and architecture review outcomes.</w:t>
            </w:r>
          </w:p>
        </w:tc>
      </w:tr>
    </w:tbl>
    <w:p/>
    <w:sectPr w:rsidR="00FC693F" w:rsidRPr="0006063C" w:rsidSect="00034616">
      <w:headerReference w:type="default" r:id="rId9"/>
      <w:footerReference w:type="default" r:id="rId10"/>
      <w:pgSz w:w="12240" w:h="15840"/>
      <w:pgMar w:top="893" w:right="893" w:bottom="835"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66666"/>
        <w:sz w:val="16"/>
      </w:rPr>
      <w:t>AIRA CLAUDE.md Reference v3.0 | SOLID Enforcement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