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1F4E79"/>
          <w:sz w:val="56"/>
        </w:rPr>
        <w:t>AIRA</w:t>
      </w:r>
    </w:p>
    <w:p>
      <w:pPr>
        <w:jc w:val="center"/>
      </w:pPr>
      <w:r>
        <w:rPr>
          <w:rFonts w:ascii="Aptos" w:hAnsi="Aptos" w:eastAsia="Aptos"/>
          <w:b w:val="0"/>
          <w:color w:val="5B9BD5"/>
          <w:sz w:val="30"/>
        </w:rPr>
        <w:t>AI-Native Enterprise Platform</w:t>
      </w:r>
    </w:p>
    <w:p/>
    <w:p>
      <w:pPr>
        <w:pStyle w:val="Title"/>
        <w:jc w:val="center"/>
      </w:pPr>
      <w:r>
        <w:t>Development Readiness and Developer Handoff Pack</w:t>
      </w:r>
    </w:p>
    <w:p>
      <w:pPr>
        <w:jc w:val="center"/>
      </w:pPr>
      <w:r>
        <w:rPr>
          <w:rFonts w:ascii="Aptos" w:hAnsi="Aptos" w:eastAsia="Aptos"/>
          <w:b w:val="0"/>
          <w:i/>
          <w:color w:val="333333"/>
          <w:sz w:val="21"/>
        </w:rPr>
        <w:t>Ready-to-Code Gate · Developer Onboarding · SOLID/AVCI Enforcement · Sprint-0 Handoff</w:t>
      </w:r>
    </w:p>
    <w:p>
      <w:pPr>
        <w:jc w:val="center"/>
      </w:pPr>
      <w:r>
        <w:rPr>
          <w:rFonts w:ascii="Aptos" w:hAnsi="Aptos" w:eastAsia="Aptos"/>
          <w:b/>
          <w:color w:val="1F4E79"/>
          <w:sz w:val="20"/>
        </w:rPr>
        <w:t>Version 2.0 · April 2026</w:t>
      </w:r>
    </w:p>
    <w:tbl>
      <w:tblPr>
        <w:tblStyle w:val="TableGrid"/>
        <w:tblW w:type="auto" w:w="0"/>
        <w:jc w:val="center"/>
        <w:tblLook w:firstColumn="1" w:firstRow="1" w:lastColumn="0" w:lastRow="0" w:noHBand="0" w:noVBand="1" w:val="04A0"/>
      </w:tblPr>
      <w:tblGrid>
        <w:gridCol w:w="10656"/>
      </w:tblGrid>
      <w:tr>
        <w:tc>
          <w:tcPr>
            <w:tcW w:type="dxa" w:w="10656"/>
            <w:shd w:fill="E2F0D9"/>
            <w:tcMar>
              <w:top w:w="95" w:type="dxa"/>
              <w:start w:w="120" w:type="dxa"/>
              <w:bottom w:w="95" w:type="dxa"/>
              <w:end w:w="120" w:type="dxa"/>
            </w:tcMar>
          </w:tcPr>
          <w:p>
            <w:pPr>
              <w:spacing w:after="40"/>
            </w:pPr>
            <w:r>
              <w:rPr>
                <w:rFonts w:ascii="Aptos" w:hAnsi="Aptos" w:eastAsia="Aptos"/>
                <w:b/>
                <w:color w:val="203864"/>
                <w:sz w:val="18"/>
              </w:rPr>
              <w:t>Mandatory Handoff Principle</w:t>
            </w:r>
          </w:p>
          <w:p>
            <w:pPr>
              <w:spacing w:after="0" w:line="240" w:lineRule="auto"/>
            </w:pPr>
            <w:r>
              <w:rPr>
                <w:rFonts w:ascii="Aptos" w:hAnsi="Aptos" w:eastAsia="Aptos"/>
                <w:sz w:val="16"/>
              </w:rPr>
              <w:t>AIRA development may proceed only when developers, repositories, environments, AI tools, tests, MicroFunctions, and evidence paths are ready to preserve or improve SOLID compliance, Clean Architecture boundaries, DDD bounded contexts, testability, security posture, observability, reversibility, and AVCI evidence.</w:t>
            </w:r>
          </w:p>
        </w:tc>
      </w:tr>
    </w:tbl>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5328"/>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Property</w:t>
            </w:r>
          </w:p>
        </w:tc>
        <w:tc>
          <w:tcPr>
            <w:tcW w:type="dxa" w:w="5328"/>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Value</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3"/>
              </w:rPr>
              <w:t>Document Title</w:t>
            </w:r>
          </w:p>
        </w:tc>
        <w:tc>
          <w:tcPr>
            <w:tcW w:type="dxa" w:w="5328"/>
            <w:vAlign w:val="top"/>
            <w:tcMar>
              <w:top w:w="35" w:type="dxa"/>
              <w:start w:w="42" w:type="dxa"/>
              <w:bottom w:w="35" w:type="dxa"/>
              <w:end w:w="42" w:type="dxa"/>
            </w:tcMar>
          </w:tcPr>
          <w:p>
            <w:pPr>
              <w:spacing w:after="0" w:line="240" w:lineRule="auto"/>
            </w:pPr>
            <w:r>
              <w:rPr>
                <w:rFonts w:ascii="Aptos" w:hAnsi="Aptos" w:eastAsia="Aptos"/>
                <w:sz w:val="13"/>
              </w:rPr>
              <w:t>AIRA Development Readiness and Developer Handoff Pack</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3"/>
              </w:rPr>
              <w:t>Document ID</w:t>
            </w:r>
          </w:p>
        </w:tc>
        <w:tc>
          <w:tcPr>
            <w:tcW w:type="dxa" w:w="5328"/>
            <w:vAlign w:val="top"/>
            <w:tcMar>
              <w:top w:w="35" w:type="dxa"/>
              <w:start w:w="42" w:type="dxa"/>
              <w:bottom w:w="35" w:type="dxa"/>
              <w:end w:w="42" w:type="dxa"/>
            </w:tcMar>
          </w:tcPr>
          <w:p>
            <w:pPr>
              <w:spacing w:after="0" w:line="240" w:lineRule="auto"/>
            </w:pPr>
            <w:r>
              <w:rPr>
                <w:rFonts w:ascii="Aptos" w:hAnsi="Aptos" w:eastAsia="Aptos"/>
                <w:sz w:val="13"/>
              </w:rPr>
              <w:t>AIRA-DOC-011A</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3"/>
              </w:rPr>
              <w:t>Version</w:t>
            </w:r>
          </w:p>
        </w:tc>
        <w:tc>
          <w:tcPr>
            <w:tcW w:type="dxa" w:w="5328"/>
            <w:vAlign w:val="top"/>
            <w:tcMar>
              <w:top w:w="35" w:type="dxa"/>
              <w:start w:w="42" w:type="dxa"/>
              <w:bottom w:w="35" w:type="dxa"/>
              <w:end w:w="42" w:type="dxa"/>
            </w:tcMar>
          </w:tcPr>
          <w:p>
            <w:pPr>
              <w:spacing w:after="0" w:line="240" w:lineRule="auto"/>
            </w:pPr>
            <w:r>
              <w:rPr>
                <w:rFonts w:ascii="Aptos" w:hAnsi="Aptos" w:eastAsia="Aptos"/>
                <w:sz w:val="13"/>
              </w:rPr>
              <w:t>v2.0 - Enterprise Design Principles and SOLID Enforcement Revision</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3"/>
              </w:rPr>
              <w:t>Supersedes</w:t>
            </w:r>
          </w:p>
        </w:tc>
        <w:tc>
          <w:tcPr>
            <w:tcW w:type="dxa" w:w="5328"/>
            <w:vAlign w:val="top"/>
            <w:tcMar>
              <w:top w:w="35" w:type="dxa"/>
              <w:start w:w="42" w:type="dxa"/>
              <w:bottom w:w="35" w:type="dxa"/>
              <w:end w:w="42" w:type="dxa"/>
            </w:tcMar>
          </w:tcPr>
          <w:p>
            <w:pPr>
              <w:spacing w:after="0" w:line="240" w:lineRule="auto"/>
            </w:pPr>
            <w:r>
              <w:rPr>
                <w:rFonts w:ascii="Aptos" w:hAnsi="Aptos" w:eastAsia="Aptos"/>
                <w:sz w:val="13"/>
              </w:rPr>
              <w:t>11A-AIRA_Development_Readiness_and_Developer_Handoff_Pack_v1.0</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3"/>
              </w:rPr>
              <w:t>Classification</w:t>
            </w:r>
          </w:p>
        </w:tc>
        <w:tc>
          <w:tcPr>
            <w:tcW w:type="dxa" w:w="5328"/>
            <w:vAlign w:val="top"/>
            <w:tcMar>
              <w:top w:w="35" w:type="dxa"/>
              <w:start w:w="42" w:type="dxa"/>
              <w:bottom w:w="35" w:type="dxa"/>
              <w:end w:w="42" w:type="dxa"/>
            </w:tcMar>
          </w:tcPr>
          <w:p>
            <w:pPr>
              <w:spacing w:after="0" w:line="240" w:lineRule="auto"/>
            </w:pPr>
            <w:r>
              <w:rPr>
                <w:rFonts w:ascii="Aptos" w:hAnsi="Aptos" w:eastAsia="Aptos"/>
                <w:sz w:val="13"/>
              </w:rPr>
              <w:t>CONFIDENTIAL - Internal Use Only</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3"/>
              </w:rPr>
              <w:t>Status</w:t>
            </w:r>
          </w:p>
        </w:tc>
        <w:tc>
          <w:tcPr>
            <w:tcW w:type="dxa" w:w="5328"/>
            <w:vAlign w:val="top"/>
            <w:tcMar>
              <w:top w:w="35" w:type="dxa"/>
              <w:start w:w="42" w:type="dxa"/>
              <w:bottom w:w="35" w:type="dxa"/>
              <w:end w:w="42" w:type="dxa"/>
            </w:tcMar>
          </w:tcPr>
          <w:p>
            <w:pPr>
              <w:spacing w:after="0" w:line="240" w:lineRule="auto"/>
            </w:pPr>
            <w:r>
              <w:rPr>
                <w:rFonts w:ascii="Aptos" w:hAnsi="Aptos" w:eastAsia="Aptos"/>
                <w:sz w:val="13"/>
              </w:rPr>
              <w:t>FOR ARCHITECTURE REVIEW BOARD / ENGINEERING ADOPTION</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3"/>
              </w:rPr>
              <w:t>Owner</w:t>
            </w:r>
          </w:p>
        </w:tc>
        <w:tc>
          <w:tcPr>
            <w:tcW w:type="dxa" w:w="5328"/>
            <w:vAlign w:val="top"/>
            <w:tcMar>
              <w:top w:w="35" w:type="dxa"/>
              <w:start w:w="42" w:type="dxa"/>
              <w:bottom w:w="35" w:type="dxa"/>
              <w:end w:w="42" w:type="dxa"/>
            </w:tcMar>
          </w:tcPr>
          <w:p>
            <w:pPr>
              <w:spacing w:after="0" w:line="240" w:lineRule="auto"/>
            </w:pPr>
            <w:r>
              <w:rPr>
                <w:rFonts w:ascii="Aptos" w:hAnsi="Aptos" w:eastAsia="Aptos"/>
                <w:sz w:val="13"/>
              </w:rPr>
              <w:t>Solutions Architect / IT Head</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3"/>
              </w:rPr>
              <w:t>Co-Owners</w:t>
            </w:r>
          </w:p>
        </w:tc>
        <w:tc>
          <w:tcPr>
            <w:tcW w:type="dxa" w:w="5328"/>
            <w:vAlign w:val="top"/>
            <w:tcMar>
              <w:top w:w="35" w:type="dxa"/>
              <w:start w:w="42" w:type="dxa"/>
              <w:bottom w:w="35" w:type="dxa"/>
              <w:end w:w="42" w:type="dxa"/>
            </w:tcMar>
          </w:tcPr>
          <w:p>
            <w:pPr>
              <w:spacing w:after="0" w:line="240" w:lineRule="auto"/>
            </w:pPr>
            <w:r>
              <w:rPr>
                <w:rFonts w:ascii="Aptos" w:hAnsi="Aptos" w:eastAsia="Aptos"/>
                <w:sz w:val="13"/>
              </w:rPr>
              <w:t>Software Development Lead · DevSecOps Lead · QA Lead · Security Administrator</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3"/>
              </w:rPr>
              <w:t>Audience</w:t>
            </w:r>
          </w:p>
        </w:tc>
        <w:tc>
          <w:tcPr>
            <w:tcW w:type="dxa" w:w="5328"/>
            <w:vAlign w:val="top"/>
            <w:tcMar>
              <w:top w:w="35" w:type="dxa"/>
              <w:start w:w="42" w:type="dxa"/>
              <w:bottom w:w="35" w:type="dxa"/>
              <w:end w:w="42" w:type="dxa"/>
            </w:tcMar>
          </w:tcPr>
          <w:p>
            <w:pPr>
              <w:spacing w:after="0" w:line="240" w:lineRule="auto"/>
            </w:pPr>
            <w:r>
              <w:rPr>
                <w:rFonts w:ascii="Aptos" w:hAnsi="Aptos" w:eastAsia="Aptos"/>
                <w:sz w:val="13"/>
              </w:rPr>
              <w:t>Solutions Architects, Developers, QA/SDET, DevSecOps, DBA, Security, System Administration, Internal Audit</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3"/>
              </w:rPr>
              <w:t>Primary Decision Inputs</w:t>
            </w:r>
          </w:p>
        </w:tc>
        <w:tc>
          <w:tcPr>
            <w:tcW w:type="dxa" w:w="5328"/>
            <w:vAlign w:val="top"/>
            <w:tcMar>
              <w:top w:w="35" w:type="dxa"/>
              <w:start w:w="42" w:type="dxa"/>
              <w:bottom w:w="35" w:type="dxa"/>
              <w:end w:w="42" w:type="dxa"/>
            </w:tcMar>
          </w:tcPr>
          <w:p>
            <w:pPr>
              <w:spacing w:after="0" w:line="240" w:lineRule="auto"/>
            </w:pPr>
            <w:r>
              <w:rPr>
                <w:rFonts w:ascii="Aptos" w:hAnsi="Aptos" w:eastAsia="Aptos"/>
                <w:sz w:val="13"/>
              </w:rPr>
              <w:t>ADR-AIRA-2026-001; AIRA Cross-Document Revision Control Matrix v1.0; 01A-AIRA Enterprise Design Principles and SOLID Enforcement Layer v1.0</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3"/>
              </w:rPr>
              <w:t>Companion Documents</w:t>
            </w:r>
          </w:p>
        </w:tc>
        <w:tc>
          <w:tcPr>
            <w:tcW w:type="dxa" w:w="5328"/>
            <w:vAlign w:val="top"/>
            <w:tcMar>
              <w:top w:w="35" w:type="dxa"/>
              <w:start w:w="42" w:type="dxa"/>
              <w:bottom w:w="35" w:type="dxa"/>
              <w:end w:w="42" w:type="dxa"/>
            </w:tcMar>
          </w:tcPr>
          <w:p>
            <w:pPr>
              <w:spacing w:after="0" w:line="240" w:lineRule="auto"/>
            </w:pPr>
            <w:r>
              <w:rPr>
                <w:rFonts w:ascii="Aptos" w:hAnsi="Aptos" w:eastAsia="Aptos"/>
                <w:sz w:val="13"/>
              </w:rPr>
              <w:t>01 AVCI v3.0; 02 Engineering Blueprint v5.0; 03 Developer Guide v4.0; 06 CLAUDE.md Reference v3.0; 08 Unit Testing v3.0; 10/10A/10B/10C/10D MicroFunction v3/v2 suite; 11 DevSecOps v3.0; 12 Rollout Starter Pack v3.0</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3"/>
              </w:rPr>
              <w:t>Purpose</w:t>
            </w:r>
          </w:p>
        </w:tc>
        <w:tc>
          <w:tcPr>
            <w:tcW w:type="dxa" w:w="5328"/>
            <w:vAlign w:val="top"/>
            <w:tcMar>
              <w:top w:w="35" w:type="dxa"/>
              <w:start w:w="42" w:type="dxa"/>
              <w:bottom w:w="35" w:type="dxa"/>
              <w:end w:w="42" w:type="dxa"/>
            </w:tcMar>
          </w:tcPr>
          <w:p>
            <w:pPr>
              <w:spacing w:after="0" w:line="240" w:lineRule="auto"/>
            </w:pPr>
            <w:r>
              <w:rPr>
                <w:rFonts w:ascii="Aptos" w:hAnsi="Aptos" w:eastAsia="Aptos"/>
                <w:sz w:val="13"/>
              </w:rPr>
              <w:t>Define the controlled readiness, onboarding, handoff, and start-of-coding criteria for AIRA after adoption of the Enterprise Design Principles and SOLID Enforcement Layer.</w:t>
            </w:r>
          </w:p>
        </w:tc>
      </w:tr>
    </w:tbl>
    <w:p/>
    <w:p>
      <w:r>
        <w:br w:type="page"/>
      </w:r>
    </w:p>
    <w:p>
      <w:pPr>
        <w:pStyle w:val="Heading1"/>
        <w:keepNext/>
        <w:spacing w:before="160" w:after="60"/>
      </w:pPr>
      <w:r>
        <w:t>1. Executive Decision</w:t>
      </w:r>
    </w:p>
    <w:p>
      <w:pPr>
        <w:spacing w:after="60" w:line="245" w:lineRule="auto"/>
      </w:pPr>
      <w:r>
        <w:rPr>
          <w:rFonts w:ascii="Aptos" w:hAnsi="Aptos" w:eastAsia="Aptos"/>
          <w:sz w:val="17"/>
        </w:rPr>
        <w:t>The AIRA documentation package may continue toward controlled foundation development, but the ready-to-code gate is upgraded in v2.0. Development readiness is no longer limited to access, tools, and source documents. It now includes explicit confirmation that every developer, repository, MicroFunction, test, AI-assisted workflow, and Sprint-0 deliverable can preserve or improve the Enterprise Design Principles and SOLID Enforcement Layer.</w:t>
      </w:r>
    </w:p>
    <w:tbl>
      <w:tblPr>
        <w:tblStyle w:val="TableGrid"/>
        <w:tblW w:type="auto" w:w="0"/>
        <w:jc w:val="center"/>
        <w:tblLook w:firstColumn="1" w:firstRow="1" w:lastColumn="0" w:lastRow="0" w:noHBand="0" w:noVBand="1" w:val="04A0"/>
      </w:tblPr>
      <w:tblGrid>
        <w:gridCol w:w="10656"/>
      </w:tblGrid>
      <w:tr>
        <w:tc>
          <w:tcPr>
            <w:tcW w:type="dxa" w:w="10656"/>
            <w:shd w:fill="FFF2CC"/>
            <w:tcMar>
              <w:top w:w="95" w:type="dxa"/>
              <w:start w:w="120" w:type="dxa"/>
              <w:bottom w:w="95" w:type="dxa"/>
              <w:end w:w="120" w:type="dxa"/>
            </w:tcMar>
          </w:tcPr>
          <w:p>
            <w:pPr>
              <w:spacing w:after="40"/>
            </w:pPr>
            <w:r>
              <w:rPr>
                <w:rFonts w:ascii="Aptos" w:hAnsi="Aptos" w:eastAsia="Aptos"/>
                <w:b/>
                <w:color w:val="203864"/>
                <w:sz w:val="18"/>
              </w:rPr>
              <w:t>Executive Readiness Verdict</w:t>
            </w:r>
          </w:p>
          <w:p>
            <w:pPr>
              <w:spacing w:after="0" w:line="240" w:lineRule="auto"/>
            </w:pPr>
            <w:r>
              <w:rPr>
                <w:rFonts w:ascii="Aptos" w:hAnsi="Aptos" w:eastAsia="Aptos"/>
                <w:sz w:val="16"/>
              </w:rPr>
              <w:t>Controlled foundation development may proceed after the v2.0 Ready-to-Code Gate is satisfied. Business-feature development remains blocked until each module has approved requirements, API/event contracts, data classification, acceptance criteria, test plan, MicroFunction assembly definition, and AVCI/SOLID evidence path.</w:t>
            </w:r>
          </w:p>
        </w:tc>
      </w:tr>
    </w:tbl>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Question</w:t>
            </w:r>
          </w:p>
        </w:tc>
        <w:tc>
          <w:tcPr>
            <w:tcW w:type="dxa" w:w="3552"/>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v2.0 Decision</w:t>
            </w:r>
          </w:p>
        </w:tc>
        <w:tc>
          <w:tcPr>
            <w:tcW w:type="dxa" w:w="3552"/>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Required Action</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2"/>
              </w:rPr>
              <w:t>Can foundation development start?</w:t>
            </w:r>
          </w:p>
        </w:tc>
        <w:tc>
          <w:tcPr>
            <w:tcW w:type="dxa" w:w="3552"/>
            <w:vAlign w:val="top"/>
            <w:tcMar>
              <w:top w:w="35" w:type="dxa"/>
              <w:start w:w="42" w:type="dxa"/>
              <w:bottom w:w="35" w:type="dxa"/>
              <w:end w:w="42" w:type="dxa"/>
            </w:tcMar>
          </w:tcPr>
          <w:p>
            <w:pPr>
              <w:spacing w:after="0" w:line="240" w:lineRule="auto"/>
            </w:pPr>
            <w:r>
              <w:rPr>
                <w:rFonts w:ascii="Aptos" w:hAnsi="Aptos" w:eastAsia="Aptos"/>
                <w:sz w:val="12"/>
              </w:rPr>
              <w:t>Yes, after the v2.0 readiness gates are complete.</w:t>
            </w:r>
          </w:p>
        </w:tc>
        <w:tc>
          <w:tcPr>
            <w:tcW w:type="dxa" w:w="3552"/>
            <w:vAlign w:val="top"/>
            <w:tcMar>
              <w:top w:w="35" w:type="dxa"/>
              <w:start w:w="42" w:type="dxa"/>
              <w:bottom w:w="35" w:type="dxa"/>
              <w:end w:w="42" w:type="dxa"/>
            </w:tcMar>
          </w:tcPr>
          <w:p>
            <w:pPr>
              <w:spacing w:after="0" w:line="240" w:lineRule="auto"/>
            </w:pPr>
            <w:r>
              <w:rPr>
                <w:rFonts w:ascii="Aptos" w:hAnsi="Aptos" w:eastAsia="Aptos"/>
                <w:sz w:val="12"/>
              </w:rPr>
              <w:t>Complete environment, repository, CLAUDE.md, CI, TDD, MicroFunction, and onboarding checks before mergeable code.</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2"/>
              </w:rPr>
              <w:t>Can business module development start?</w:t>
            </w:r>
          </w:p>
        </w:tc>
        <w:tc>
          <w:tcPr>
            <w:tcW w:type="dxa" w:w="3552"/>
            <w:vAlign w:val="top"/>
            <w:tcMar>
              <w:top w:w="35" w:type="dxa"/>
              <w:start w:w="42" w:type="dxa"/>
              <w:bottom w:w="35" w:type="dxa"/>
              <w:end w:w="42" w:type="dxa"/>
            </w:tcMar>
          </w:tcPr>
          <w:p>
            <w:pPr>
              <w:spacing w:after="0" w:line="240" w:lineRule="auto"/>
            </w:pPr>
            <w:r>
              <w:rPr>
                <w:rFonts w:ascii="Aptos" w:hAnsi="Aptos" w:eastAsia="Aptos"/>
                <w:sz w:val="12"/>
              </w:rPr>
              <w:t>Not yet as a broad activity.</w:t>
            </w:r>
          </w:p>
        </w:tc>
        <w:tc>
          <w:tcPr>
            <w:tcW w:type="dxa" w:w="3552"/>
            <w:vAlign w:val="top"/>
            <w:tcMar>
              <w:top w:w="35" w:type="dxa"/>
              <w:start w:w="42" w:type="dxa"/>
              <w:bottom w:w="35" w:type="dxa"/>
              <w:end w:w="42" w:type="dxa"/>
            </w:tcMar>
          </w:tcPr>
          <w:p>
            <w:pPr>
              <w:spacing w:after="0" w:line="240" w:lineRule="auto"/>
            </w:pPr>
            <w:r>
              <w:rPr>
                <w:rFonts w:ascii="Aptos" w:hAnsi="Aptos" w:eastAsia="Aptos"/>
                <w:sz w:val="12"/>
              </w:rPr>
              <w:t>Require approved epics, contracts, classifications, MicroFunction definitions, test scenarios, and approval paths per module.</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2"/>
              </w:rPr>
              <w:t>Are new standards already created?</w:t>
            </w:r>
          </w:p>
        </w:tc>
        <w:tc>
          <w:tcPr>
            <w:tcW w:type="dxa" w:w="3552"/>
            <w:vAlign w:val="top"/>
            <w:tcMar>
              <w:top w:w="35" w:type="dxa"/>
              <w:start w:w="42" w:type="dxa"/>
              <w:bottom w:w="35" w:type="dxa"/>
              <w:end w:w="42" w:type="dxa"/>
            </w:tcMar>
          </w:tcPr>
          <w:p>
            <w:pPr>
              <w:spacing w:after="0" w:line="240" w:lineRule="auto"/>
            </w:pPr>
            <w:r>
              <w:rPr>
                <w:rFonts w:ascii="Aptos" w:hAnsi="Aptos" w:eastAsia="Aptos"/>
                <w:sz w:val="12"/>
              </w:rPr>
              <w:t>Yes. ADR, revision matrix, 01A, 01, 02, 03, 06, 08, 10/10A/10B/10C/10D, 11, and 12 have upgraded baselines.</w:t>
            </w:r>
          </w:p>
        </w:tc>
        <w:tc>
          <w:tcPr>
            <w:tcW w:type="dxa" w:w="3552"/>
            <w:vAlign w:val="top"/>
            <w:tcMar>
              <w:top w:w="35" w:type="dxa"/>
              <w:start w:w="42" w:type="dxa"/>
              <w:bottom w:w="35" w:type="dxa"/>
              <w:end w:w="42" w:type="dxa"/>
            </w:tcMar>
          </w:tcPr>
          <w:p>
            <w:pPr>
              <w:spacing w:after="0" w:line="240" w:lineRule="auto"/>
            </w:pPr>
            <w:r>
              <w:rPr>
                <w:rFonts w:ascii="Aptos" w:hAnsi="Aptos" w:eastAsia="Aptos"/>
                <w:sz w:val="12"/>
              </w:rPr>
              <w:t>Use those revised documents as the immediate handoff baseline.</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2"/>
              </w:rPr>
              <w:t>What is the new non-negotiable?</w:t>
            </w:r>
          </w:p>
        </w:tc>
        <w:tc>
          <w:tcPr>
            <w:tcW w:type="dxa" w:w="3552"/>
            <w:vAlign w:val="top"/>
            <w:tcMar>
              <w:top w:w="35" w:type="dxa"/>
              <w:start w:w="42" w:type="dxa"/>
              <w:bottom w:w="35" w:type="dxa"/>
              <w:end w:w="42" w:type="dxa"/>
            </w:tcMar>
          </w:tcPr>
          <w:p>
            <w:pPr>
              <w:spacing w:after="0" w:line="240" w:lineRule="auto"/>
            </w:pPr>
            <w:r>
              <w:rPr>
                <w:rFonts w:ascii="Aptos" w:hAnsi="Aptos" w:eastAsia="Aptos"/>
                <w:sz w:val="12"/>
              </w:rPr>
              <w:t>Auto-Heal, Auto-Learn, and Auto-Improve must not weaken architecture, SOLID, testability, security, observability, reversibility, or AVCI evidence.</w:t>
            </w:r>
          </w:p>
        </w:tc>
        <w:tc>
          <w:tcPr>
            <w:tcW w:type="dxa" w:w="3552"/>
            <w:vAlign w:val="top"/>
            <w:tcMar>
              <w:top w:w="35" w:type="dxa"/>
              <w:start w:w="42" w:type="dxa"/>
              <w:bottom w:w="35" w:type="dxa"/>
              <w:end w:w="42" w:type="dxa"/>
            </w:tcMar>
          </w:tcPr>
          <w:p>
            <w:pPr>
              <w:spacing w:after="0" w:line="240" w:lineRule="auto"/>
            </w:pPr>
            <w:r>
              <w:rPr>
                <w:rFonts w:ascii="Aptos" w:hAnsi="Aptos" w:eastAsia="Aptos"/>
                <w:sz w:val="12"/>
              </w:rPr>
              <w:t>Add this rule to onboarding, PR templates, CI gates, and review checklists.</w:t>
            </w:r>
          </w:p>
        </w:tc>
      </w:tr>
    </w:tbl>
    <w:p/>
    <w:p>
      <w:pPr>
        <w:pStyle w:val="Heading1"/>
        <w:keepNext/>
        <w:spacing w:before="160" w:after="60"/>
      </w:pPr>
      <w:r>
        <w:t>2. What Changed in v2.0</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Change Area</w:t>
            </w:r>
          </w:p>
        </w:tc>
        <w:tc>
          <w:tcPr>
            <w:tcW w:type="dxa" w:w="3552"/>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v1.0 Position</w:t>
            </w:r>
          </w:p>
        </w:tc>
        <w:tc>
          <w:tcPr>
            <w:tcW w:type="dxa" w:w="3552"/>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v2.0 Upgrade</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2"/>
              </w:rPr>
              <w:t>Readiness gate</w:t>
            </w:r>
          </w:p>
        </w:tc>
        <w:tc>
          <w:tcPr>
            <w:tcW w:type="dxa" w:w="3552"/>
            <w:vAlign w:val="top"/>
            <w:tcMar>
              <w:top w:w="35" w:type="dxa"/>
              <w:start w:w="42" w:type="dxa"/>
              <w:bottom w:w="35" w:type="dxa"/>
              <w:end w:w="42" w:type="dxa"/>
            </w:tcMar>
          </w:tcPr>
          <w:p>
            <w:pPr>
              <w:spacing w:after="0" w:line="240" w:lineRule="auto"/>
            </w:pPr>
            <w:r>
              <w:rPr>
                <w:rFonts w:ascii="Aptos" w:hAnsi="Aptos" w:eastAsia="Aptos"/>
                <w:sz w:val="12"/>
              </w:rPr>
              <w:t>Focused on whether foundation coding could start.</w:t>
            </w:r>
          </w:p>
        </w:tc>
        <w:tc>
          <w:tcPr>
            <w:tcW w:type="dxa" w:w="3552"/>
            <w:vAlign w:val="top"/>
            <w:tcMar>
              <w:top w:w="35" w:type="dxa"/>
              <w:start w:w="42" w:type="dxa"/>
              <w:bottom w:w="35" w:type="dxa"/>
              <w:end w:w="42" w:type="dxa"/>
            </w:tcMar>
          </w:tcPr>
          <w:p>
            <w:pPr>
              <w:spacing w:after="0" w:line="240" w:lineRule="auto"/>
            </w:pPr>
            <w:r>
              <w:rPr>
                <w:rFonts w:ascii="Aptos" w:hAnsi="Aptos" w:eastAsia="Aptos"/>
                <w:sz w:val="12"/>
              </w:rPr>
              <w:t>Adds SOLID, Clean Architecture, DDD, ports-and-adapters, testability, reversibility, and architecture fitness checks.</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2"/>
              </w:rPr>
              <w:t>Document baseline</w:t>
            </w:r>
          </w:p>
        </w:tc>
        <w:tc>
          <w:tcPr>
            <w:tcW w:type="dxa" w:w="3552"/>
            <w:vAlign w:val="top"/>
            <w:tcMar>
              <w:top w:w="35" w:type="dxa"/>
              <w:start w:w="42" w:type="dxa"/>
              <w:bottom w:w="35" w:type="dxa"/>
              <w:end w:w="42" w:type="dxa"/>
            </w:tcMar>
          </w:tcPr>
          <w:p>
            <w:pPr>
              <w:spacing w:after="0" w:line="240" w:lineRule="auto"/>
            </w:pPr>
            <w:r>
              <w:rPr>
                <w:rFonts w:ascii="Aptos" w:hAnsi="Aptos" w:eastAsia="Aptos"/>
                <w:sz w:val="12"/>
              </w:rPr>
              <w:t>Referenced v2/v3/v4 documents available at the time.</w:t>
            </w:r>
          </w:p>
        </w:tc>
        <w:tc>
          <w:tcPr>
            <w:tcW w:type="dxa" w:w="3552"/>
            <w:vAlign w:val="top"/>
            <w:tcMar>
              <w:top w:w="35" w:type="dxa"/>
              <w:start w:w="42" w:type="dxa"/>
              <w:bottom w:w="35" w:type="dxa"/>
              <w:end w:w="42" w:type="dxa"/>
            </w:tcMar>
          </w:tcPr>
          <w:p>
            <w:pPr>
              <w:spacing w:after="0" w:line="240" w:lineRule="auto"/>
            </w:pPr>
            <w:r>
              <w:rPr>
                <w:rFonts w:ascii="Aptos" w:hAnsi="Aptos" w:eastAsia="Aptos"/>
                <w:sz w:val="12"/>
              </w:rPr>
              <w:t>References the new 01A canonical standard plus the upgraded v3/v4/v5 document set.</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2"/>
              </w:rPr>
              <w:t>Developer handoff</w:t>
            </w:r>
          </w:p>
        </w:tc>
        <w:tc>
          <w:tcPr>
            <w:tcW w:type="dxa" w:w="3552"/>
            <w:vAlign w:val="top"/>
            <w:tcMar>
              <w:top w:w="35" w:type="dxa"/>
              <w:start w:w="42" w:type="dxa"/>
              <w:bottom w:w="35" w:type="dxa"/>
              <w:end w:w="42" w:type="dxa"/>
            </w:tcMar>
          </w:tcPr>
          <w:p>
            <w:pPr>
              <w:spacing w:after="0" w:line="240" w:lineRule="auto"/>
            </w:pPr>
            <w:r>
              <w:rPr>
                <w:rFonts w:ascii="Aptos" w:hAnsi="Aptos" w:eastAsia="Aptos"/>
                <w:sz w:val="12"/>
              </w:rPr>
              <w:t>Reading plan and minimum tools.</w:t>
            </w:r>
          </w:p>
        </w:tc>
        <w:tc>
          <w:tcPr>
            <w:tcW w:type="dxa" w:w="3552"/>
            <w:vAlign w:val="top"/>
            <w:tcMar>
              <w:top w:w="35" w:type="dxa"/>
              <w:start w:w="42" w:type="dxa"/>
              <w:bottom w:w="35" w:type="dxa"/>
              <w:end w:w="42" w:type="dxa"/>
            </w:tcMar>
          </w:tcPr>
          <w:p>
            <w:pPr>
              <w:spacing w:after="0" w:line="240" w:lineRule="auto"/>
            </w:pPr>
            <w:r>
              <w:rPr>
                <w:rFonts w:ascii="Aptos" w:hAnsi="Aptos" w:eastAsia="Aptos"/>
                <w:sz w:val="12"/>
              </w:rPr>
              <w:t>Role-based onboarding path, signed acknowledgement, skills confirmation, repository rules, and PR evidence requirements.</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2"/>
              </w:rPr>
              <w:t>AI usage</w:t>
            </w:r>
          </w:p>
        </w:tc>
        <w:tc>
          <w:tcPr>
            <w:tcW w:type="dxa" w:w="3552"/>
            <w:vAlign w:val="top"/>
            <w:tcMar>
              <w:top w:w="35" w:type="dxa"/>
              <w:start w:w="42" w:type="dxa"/>
              <w:bottom w:w="35" w:type="dxa"/>
              <w:end w:w="42" w:type="dxa"/>
            </w:tcMar>
          </w:tcPr>
          <w:p>
            <w:pPr>
              <w:spacing w:after="0" w:line="240" w:lineRule="auto"/>
            </w:pPr>
            <w:r>
              <w:rPr>
                <w:rFonts w:ascii="Aptos" w:hAnsi="Aptos" w:eastAsia="Aptos"/>
                <w:sz w:val="12"/>
              </w:rPr>
              <w:t>Named ChatGPT/Codex seats and classification reminders.</w:t>
            </w:r>
          </w:p>
        </w:tc>
        <w:tc>
          <w:tcPr>
            <w:tcW w:type="dxa" w:w="3552"/>
            <w:vAlign w:val="top"/>
            <w:tcMar>
              <w:top w:w="35" w:type="dxa"/>
              <w:start w:w="42" w:type="dxa"/>
              <w:bottom w:w="35" w:type="dxa"/>
              <w:end w:w="42" w:type="dxa"/>
            </w:tcMar>
          </w:tcPr>
          <w:p>
            <w:pPr>
              <w:spacing w:after="0" w:line="240" w:lineRule="auto"/>
            </w:pPr>
            <w:r>
              <w:rPr>
                <w:rFonts w:ascii="Aptos" w:hAnsi="Aptos" w:eastAsia="Aptos"/>
                <w:sz w:val="12"/>
              </w:rPr>
              <w:t>Adds AI tool adapter inheritance, Harness-only execution, SBAC/OPA checks, and no autonomous production change.</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2"/>
              </w:rPr>
              <w:t>MicroFunction readiness</w:t>
            </w:r>
          </w:p>
        </w:tc>
        <w:tc>
          <w:tcPr>
            <w:tcW w:type="dxa" w:w="3552"/>
            <w:vAlign w:val="top"/>
            <w:tcMar>
              <w:top w:w="35" w:type="dxa"/>
              <w:start w:w="42" w:type="dxa"/>
              <w:bottom w:w="35" w:type="dxa"/>
              <w:end w:w="42" w:type="dxa"/>
            </w:tcMar>
          </w:tcPr>
          <w:p>
            <w:pPr>
              <w:spacing w:after="0" w:line="240" w:lineRule="auto"/>
            </w:pPr>
            <w:r>
              <w:rPr>
                <w:rFonts w:ascii="Aptos" w:hAnsi="Aptos" w:eastAsia="Aptos"/>
                <w:sz w:val="12"/>
              </w:rPr>
              <w:t>Foundation implementation and sample transaction.</w:t>
            </w:r>
          </w:p>
        </w:tc>
        <w:tc>
          <w:tcPr>
            <w:tcW w:type="dxa" w:w="3552"/>
            <w:vAlign w:val="top"/>
            <w:tcMar>
              <w:top w:w="35" w:type="dxa"/>
              <w:start w:w="42" w:type="dxa"/>
              <w:bottom w:w="35" w:type="dxa"/>
              <w:end w:w="42" w:type="dxa"/>
            </w:tcMar>
          </w:tcPr>
          <w:p>
            <w:pPr>
              <w:spacing w:after="0" w:line="240" w:lineRule="auto"/>
            </w:pPr>
            <w:r>
              <w:rPr>
                <w:rFonts w:ascii="Aptos" w:hAnsi="Aptos" w:eastAsia="Aptos"/>
                <w:sz w:val="12"/>
              </w:rPr>
              <w:t>Adds publish-time validation, SOLID/DDD boundary checks, error/compensation gates, and catalog evidence.</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2"/>
              </w:rPr>
              <w:t>Testing</w:t>
            </w:r>
          </w:p>
        </w:tc>
        <w:tc>
          <w:tcPr>
            <w:tcW w:type="dxa" w:w="3552"/>
            <w:vAlign w:val="top"/>
            <w:tcMar>
              <w:top w:w="35" w:type="dxa"/>
              <w:start w:w="42" w:type="dxa"/>
              <w:bottom w:w="35" w:type="dxa"/>
              <w:end w:w="42" w:type="dxa"/>
            </w:tcMar>
          </w:tcPr>
          <w:p>
            <w:pPr>
              <w:spacing w:after="0" w:line="240" w:lineRule="auto"/>
            </w:pPr>
            <w:r>
              <w:rPr>
                <w:rFonts w:ascii="Aptos" w:hAnsi="Aptos" w:eastAsia="Aptos"/>
                <w:sz w:val="12"/>
              </w:rPr>
              <w:t>TDD and Maker-Checker reference.</w:t>
            </w:r>
          </w:p>
        </w:tc>
        <w:tc>
          <w:tcPr>
            <w:tcW w:type="dxa" w:w="3552"/>
            <w:vAlign w:val="top"/>
            <w:tcMar>
              <w:top w:w="35" w:type="dxa"/>
              <w:start w:w="42" w:type="dxa"/>
              <w:bottom w:w="35" w:type="dxa"/>
              <w:end w:w="42" w:type="dxa"/>
            </w:tcMar>
          </w:tcPr>
          <w:p>
            <w:pPr>
              <w:spacing w:after="0" w:line="240" w:lineRule="auto"/>
            </w:pPr>
            <w:r>
              <w:rPr>
                <w:rFonts w:ascii="Aptos" w:hAnsi="Aptos" w:eastAsia="Aptos"/>
                <w:sz w:val="12"/>
              </w:rPr>
              <w:t>Adds architecture tests, ArchUnit fitness checks, mutation gates, deterministic tests, idempotency tests, and AI evaluation evidence.</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2"/>
              </w:rPr>
              <w:t>Auto improvement</w:t>
            </w:r>
          </w:p>
        </w:tc>
        <w:tc>
          <w:tcPr>
            <w:tcW w:type="dxa" w:w="3552"/>
            <w:vAlign w:val="top"/>
            <w:tcMar>
              <w:top w:w="35" w:type="dxa"/>
              <w:start w:w="42" w:type="dxa"/>
              <w:bottom w:w="35" w:type="dxa"/>
              <w:end w:w="42" w:type="dxa"/>
            </w:tcMar>
          </w:tcPr>
          <w:p>
            <w:pPr>
              <w:spacing w:after="0" w:line="240" w:lineRule="auto"/>
            </w:pPr>
            <w:r>
              <w:rPr>
                <w:rFonts w:ascii="Aptos" w:hAnsi="Aptos" w:eastAsia="Aptos"/>
                <w:sz w:val="12"/>
              </w:rPr>
              <w:t>Referenced DevSecOps improvement loops.</w:t>
            </w:r>
          </w:p>
        </w:tc>
        <w:tc>
          <w:tcPr>
            <w:tcW w:type="dxa" w:w="3552"/>
            <w:vAlign w:val="top"/>
            <w:tcMar>
              <w:top w:w="35" w:type="dxa"/>
              <w:start w:w="42" w:type="dxa"/>
              <w:bottom w:w="35" w:type="dxa"/>
              <w:end w:w="42" w:type="dxa"/>
            </w:tcMar>
          </w:tcPr>
          <w:p>
            <w:pPr>
              <w:spacing w:after="0" w:line="240" w:lineRule="auto"/>
            </w:pPr>
            <w:r>
              <w:rPr>
                <w:rFonts w:ascii="Aptos" w:hAnsi="Aptos" w:eastAsia="Aptos"/>
                <w:sz w:val="12"/>
              </w:rPr>
              <w:t>Defines acceptance gates for Auto-Heal, Auto-Learn, and Auto-Improve before promotion.</w:t>
            </w:r>
          </w:p>
        </w:tc>
      </w:tr>
    </w:tbl>
    <w:p/>
    <w:p>
      <w:pPr>
        <w:pStyle w:val="Heading1"/>
        <w:keepNext/>
        <w:spacing w:before="160" w:after="60"/>
      </w:pPr>
      <w:r>
        <w:t>3. Updated Controlled Document Package Baseline</w:t>
      </w:r>
    </w:p>
    <w:p>
      <w:pPr>
        <w:spacing w:after="60" w:line="245" w:lineRule="auto"/>
      </w:pPr>
      <w:r>
        <w:rPr>
          <w:rFonts w:ascii="Aptos" w:hAnsi="Aptos" w:eastAsia="Aptos"/>
          <w:sz w:val="17"/>
        </w:rPr>
        <w:t>The following package is the approved baseline for development handoff. Developers should not work from prior versions unless a specific historical comparison or reconciliation task is assigned.</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Document</w:t>
            </w:r>
          </w:p>
        </w:tc>
        <w:tc>
          <w:tcPr>
            <w:tcW w:type="dxa" w:w="2664"/>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Version</w:t>
            </w:r>
          </w:p>
        </w:tc>
        <w:tc>
          <w:tcPr>
            <w:tcW w:type="dxa" w:w="2664"/>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Primary Audience</w:t>
            </w:r>
          </w:p>
        </w:tc>
        <w:tc>
          <w:tcPr>
            <w:tcW w:type="dxa" w:w="2664"/>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Handoff Requirement</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ADR-AIRA-2026-001</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v1.0</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Architecture / governance leads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Decision record adopting the Enterprise Design Principles and SOLID Enforcement Layer.</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AIRA Cross-Document Revision Control Matrix</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v1.0</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Document owners / PMO / audit</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Tracks affected documents, revision waves, gaps, gates, RACI, and status.</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01A Enterprise Design Principles and SOLID Enforcement Layer</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v1.0</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All engineering roles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Canonical definition of the 20 principles and enforcement model.</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01 AVCI Engineering Standard</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v3.0</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All team members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Universal quality gate with SOLID/architecture evidence extensions.</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02 Engineering Blueprint</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v5.0</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Architects, leads, senior developers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Build-ready architecture with explicit SOLID, Clean Architecture, DDD, and fitness-function invariants.</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03 Developer Guide</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v4.0</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All developers and reviewers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Daily implementation rules, package boundaries, coding patterns, and PR completion criteria.</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06 CLAUDE.md Reference</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v3.0</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Developers, AI users, repository owners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Repository rules of engagement for AI-assisted and human development.</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08 Unit Testing Standard</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v3.0</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Developers, QA/SDET, reviewers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TDD, deterministic testing, architecture tests, AI evaluation, and evidence gates.</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10 MicroFunction Framework</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v3.0</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Architects and backend developers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Configuration-driven runtime processing with SOLID/DDD boundaries and enterprise error handling.</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10A/10B/10C/10D MicroFunction Support Suite</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v2.0</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Developers, QA, DBA, DevSecOps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Design guide, implementation standard, sequence diagrams, and catalog templates.</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11 AI-Native DevSecOps Standard</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v3.0</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DevSecOps, leads, release owners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Lifecycle gates, CI/CD evidence, Auto-Heal/Learn/Improve controls, and release governance.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12 CLAUDE.md Rollout Starter Pack</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v3.0</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Repository owners, DevSecOps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Pre-commit hooks, CI controls, templates, branch protection, and onboarding acknowledgement.</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13-17 Specialist Standards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current / next revision</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Specialist owners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Knowledge, ADR/TDL, API, Database, and Security standards to be revised in subsequent wave.</w:t>
            </w:r>
          </w:p>
        </w:tc>
      </w:tr>
    </w:tbl>
    <w:p/>
    <w:p>
      <w:pPr>
        <w:pStyle w:val="Heading1"/>
        <w:keepNext/>
        <w:spacing w:before="160" w:after="60"/>
      </w:pPr>
      <w:r>
        <w:t>4. Developer Reading and Acknowledgement Plan</w:t>
      </w:r>
    </w:p>
    <w:p>
      <w:pPr>
        <w:spacing w:after="60" w:line="245" w:lineRule="auto"/>
      </w:pPr>
      <w:r>
        <w:rPr>
          <w:rFonts w:ascii="Aptos" w:hAnsi="Aptos" w:eastAsia="Aptos"/>
          <w:sz w:val="17"/>
        </w:rPr>
        <w:t>Developers should not be asked to read every document at the same depth. The handoff package separates mandatory read, role-required read, and reference-only materials.</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Role</w:t>
            </w:r>
          </w:p>
        </w:tc>
        <w:tc>
          <w:tcPr>
            <w:tcW w:type="dxa" w:w="2664"/>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Must Read Before Coding</w:t>
            </w:r>
          </w:p>
        </w:tc>
        <w:tc>
          <w:tcPr>
            <w:tcW w:type="dxa" w:w="2664"/>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Role-Required</w:t>
            </w:r>
          </w:p>
        </w:tc>
        <w:tc>
          <w:tcPr>
            <w:tcW w:type="dxa" w:w="2664"/>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Acknowledgement Evidence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All Developers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01A, 01, 03, 06, 08, 11, 12</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02 architecture overview; 10 MicroFunction overview</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Signed onboarding acknowledgement; PR evidence dry run; local pre-commit validation.</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Backend Developers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01A, 01, 02, 03, 08, 10, 10A, 10B, 10C, 10D</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15 API; 16 Database; 17 Security</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Sample STP-BUS-* function with tests, ArchUnit checks, and MicroFunction registration.</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Frontend Developers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01A, 01, 03, 06, 08, 11, 12</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02 service boundaries; API contracts; accessibility/security rules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Sample UI component with API mock, validation, no business logic leakage, and test evidence.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QA / SDET</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01A, 01, 02, 03, 08, 11</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10/10C sequence diagrams; 15 API; test data rules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Test strategy walkthrough; deterministic fixture validation; evidence pack review.</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DevSecOps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01A, 01, 04, 06, 08, 09, 11, 12</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17 Security; CI/CD controls; OPA/Conftest rules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Pipeline dry run with SAST/SCA/secret scan/SBOM/policy evidence.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Security Administrator</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01A, 01, 06, 11, 12, 17</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07 Skills; 13 Knowledge; 15 API</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SBAC/OPA policy review; classification routing check; AI usage approval.</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DBA / Data Engineer</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01A, 01, 02, 03, 08, 10B, 16</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05 Information Nervous System; data classification</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Flyway migration dry run; rollback/forward-fix plan; RLS and classification evidence.</w:t>
            </w:r>
          </w:p>
        </w:tc>
      </w:tr>
    </w:tbl>
    <w:p/>
    <w:p>
      <w:pPr>
        <w:pStyle w:val="Heading1"/>
        <w:keepNext/>
        <w:spacing w:before="160" w:after="60"/>
      </w:pPr>
      <w:r>
        <w:t>5. v2.0 Ready-to-Code Gate</w:t>
      </w:r>
    </w:p>
    <w:p>
      <w:pPr>
        <w:spacing w:after="60" w:line="245" w:lineRule="auto"/>
      </w:pPr>
      <w:r>
        <w:rPr>
          <w:rFonts w:ascii="Aptos" w:hAnsi="Aptos" w:eastAsia="Aptos"/>
          <w:sz w:val="17"/>
        </w:rPr>
        <w:t>No developer should start mergeable production-bound code until the following gate is complete. Spikes may be allowed only if explicitly marked non-mergeable and time-boxed.</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Gate</w:t>
            </w:r>
          </w:p>
        </w:tc>
        <w:tc>
          <w:tcPr>
            <w:tcW w:type="dxa" w:w="2664"/>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Minimum Evidence</w:t>
            </w:r>
          </w:p>
        </w:tc>
        <w:tc>
          <w:tcPr>
            <w:tcW w:type="dxa" w:w="2664"/>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Owner</w:t>
            </w:r>
          </w:p>
        </w:tc>
        <w:tc>
          <w:tcPr>
            <w:tcW w:type="dxa" w:w="2664"/>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Status</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G1 - Document Baseline</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Developer has access to approved v2/v3/v4/v5 documents and understands which versions are authoritative.</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Solutions Architect / IT Head</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Pending / Complete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G2 - 01A Acknowledgement</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Developer signs acknowledgement of the 20 Enterprise Design Principles and SOLID Enforcement Layer.</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Software Development Lead</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Pending / Complete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G3 - Clean Environment</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Workstation/devcontainer provisioned from Greenfield baseline; no unapproved tools or personal AI accounts.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System Administrator / DevSecOps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Pending / Complete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G4 - Repository Controls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Branch protection, CODEOWNERS, CLAUDE.md hierarchy, pre-commit, and CI strict mode are active.</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Repository Owner / DevSecOps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Pending / Complete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G5 - TDD Readiness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Developer can run unit, component, contract, architecture, mutation, and AI evaluation tests locally or in CI.</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QA Lead</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Pending / Complete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G6 - MicroFunction Readiness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Sample transaction can assemble, execute, audit, error-handle, compensate, and produce evidence.</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Backend Lead</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Pending / Complete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G7 - Security Readiness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Least privilege, SBAC, OPA, secrets handling, classification routing, and no-PII test rules validated.</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Security Administrator</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Pending / Complete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G8 - AI Tool Readiness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ChatGPT/Codex/Claude/approved AI tools are named-seat, governed, and tied to repository rules.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AI DevSecOps Lead</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Pending / Complete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G9 - PR Evidence Dry Run</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Developer completes a dry-run PR/MR with AVCI, SOLID impact, tests, scans, and reversibility statement.</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Reviewer / Team Lead</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Pending / Complete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G10 - Escalation Path</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Architecture, security, test, data, and AI escalation paths are known and documented.</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Project Lead</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Pending / Complete</w:t>
            </w:r>
          </w:p>
        </w:tc>
      </w:tr>
    </w:tbl>
    <w:p/>
    <w:p>
      <w:pPr>
        <w:pStyle w:val="Heading1"/>
        <w:keepNext/>
        <w:spacing w:before="160" w:after="60"/>
      </w:pPr>
      <w:r>
        <w:t>6. Enterprise Design Principles Handoff Requirements</w:t>
      </w:r>
    </w:p>
    <w:p>
      <w:pPr>
        <w:spacing w:after="60" w:line="245" w:lineRule="auto"/>
      </w:pPr>
      <w:r>
        <w:rPr>
          <w:rFonts w:ascii="Aptos" w:hAnsi="Aptos" w:eastAsia="Aptos"/>
          <w:sz w:val="17"/>
        </w:rPr>
        <w:t>The following principles are now mandatory knowledge for every developer and reviewer. The handoff objective is not academic memorization; it is the ability to apply each principle to code, configuration, tests, architecture reviews, and AI-generated changes.</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9"/>
            <w:tcMar>
              <w:top w:w="35" w:type="dxa"/>
              <w:start w:w="42" w:type="dxa"/>
              <w:bottom w:w="35" w:type="dxa"/>
              <w:end w:w="42" w:type="dxa"/>
            </w:tcMar>
          </w:tcPr>
          <w:p>
            <w:pPr>
              <w:spacing w:after="0" w:line="240" w:lineRule="auto"/>
              <w:jc w:val="center"/>
            </w:pPr>
            <w:r>
              <w:rPr>
                <w:rFonts w:ascii="Aptos" w:hAnsi="Aptos" w:eastAsia="Aptos"/>
                <w:b/>
                <w:color w:val="FFFFFF"/>
                <w:sz w:val="9"/>
              </w:rPr>
              <w:t>Principle</w:t>
            </w:r>
          </w:p>
        </w:tc>
        <w:tc>
          <w:tcPr>
            <w:tcW w:type="dxa" w:w="3552"/>
            <w:shd w:fill="1F4E79"/>
            <w:tcMar>
              <w:top w:w="35" w:type="dxa"/>
              <w:start w:w="42" w:type="dxa"/>
              <w:bottom w:w="35" w:type="dxa"/>
              <w:end w:w="42" w:type="dxa"/>
            </w:tcMar>
          </w:tcPr>
          <w:p>
            <w:pPr>
              <w:spacing w:after="0" w:line="240" w:lineRule="auto"/>
              <w:jc w:val="center"/>
            </w:pPr>
            <w:r>
              <w:rPr>
                <w:rFonts w:ascii="Aptos" w:hAnsi="Aptos" w:eastAsia="Aptos"/>
                <w:b/>
                <w:color w:val="FFFFFF"/>
                <w:sz w:val="9"/>
              </w:rPr>
              <w:t>Developer Meaning</w:t>
            </w:r>
          </w:p>
        </w:tc>
        <w:tc>
          <w:tcPr>
            <w:tcW w:type="dxa" w:w="3552"/>
            <w:shd w:fill="1F4E79"/>
            <w:tcMar>
              <w:top w:w="35" w:type="dxa"/>
              <w:start w:w="42" w:type="dxa"/>
              <w:bottom w:w="35" w:type="dxa"/>
              <w:end w:w="42" w:type="dxa"/>
            </w:tcMar>
          </w:tcPr>
          <w:p>
            <w:pPr>
              <w:spacing w:after="0" w:line="240" w:lineRule="auto"/>
              <w:jc w:val="center"/>
            </w:pPr>
            <w:r>
              <w:rPr>
                <w:rFonts w:ascii="Aptos" w:hAnsi="Aptos" w:eastAsia="Aptos"/>
                <w:b/>
                <w:color w:val="FFFFFF"/>
                <w:sz w:val="9"/>
              </w:rPr>
              <w:t>How It Is Verified</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9"/>
              </w:rPr>
              <w:t>SOLID</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Classes, services, MicroFunctions, and adapters are cohesive, substitutable, interface-driven, and dependency-inverted.</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ArchUnit, code review, Sonar rules, package boundaries.</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9"/>
              </w:rPr>
              <w:t>Clean Architecture</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Domain and application logic do not depend on frameworks, controllers, databases, AI gateways, or UI details.</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Dependency rules, package graph checks, reviewer checklist.</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9"/>
              </w:rPr>
              <w:t>DDD / Bounded Contexts</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Domain terms, aggregates, schemas, contracts, and events belong to explicit bounded contexts.</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Context map, API/event ownership, schema ownership.</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9"/>
              </w:rPr>
              <w:t>Ports and Adapters</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External systems, AI providers, DBs, OpenKM, Kafka, Temporal, and Flowable are accessed through ports.</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No direct infrastructure leakage into domain code.</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9"/>
              </w:rPr>
              <w:t>DRY, KISS, YAGNI</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Avoid duplicated plumbing, over-engineered abstractions, and speculative extension points.</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Review checklist and refactoring backlog discipline.</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9"/>
              </w:rPr>
              <w:t>Idempotency by Design</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Retries and replays do not double-post business effects.</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Idempotency tests, outbox, processed-event registry.</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9"/>
              </w:rPr>
              <w:t>Determinism and Reproducibility</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Builds, tests, migrations, and runtime assembly are predictable and repeatable.</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Pinned versions, deterministic tests, signed runtime definitions.</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9"/>
              </w:rPr>
              <w:t>Fail-Safe, Not Fail-Open</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Missing policy, guardrail, identity, audit, or secrets services block protected actions.</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OPA/guardrail failure tests and readiness gates.</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9"/>
              </w:rPr>
              <w:t>Human-in-the-Loop</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High-risk, low-confidence, Confidential/Restricted, or production-impacting changes require human approval.</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Flowable approval records and evidence links.</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9"/>
              </w:rPr>
              <w:t>Least Privilege / SBAC</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Human, service, and agent access is role/skill scoped and time-bounded.</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SBAC policy tests and access reviews.</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9"/>
              </w:rPr>
              <w:t>Separation of Duties</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Maker, checker, approver, deployer, and auditor roles remain separated where risk requires.</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CODEOWNERS, branch protection, approval workflow.</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9"/>
              </w:rPr>
              <w:t>Observability by Design</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Trace, log, metric, audit, and evidence events are built into every important flow.</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OpenTelemetry, logs, audit outbox, dashboards.</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9"/>
              </w:rPr>
              <w:t>Policy as Code</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Access, admission, classification, and AI action rules are versioned and tested.</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OPA/Conftest policy tests.</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9"/>
              </w:rPr>
              <w:t>Testability by Design</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Design must be testable without live external dependencies or production data.</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Mock ports, synthetic fixtures, contract tests.</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9"/>
              </w:rPr>
              <w:t>Secure by Design</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Security is embedded in identity, validation, data handling, secrets, and code paths.</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SAST/SCA/secret scan/security regression tests.</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9"/>
              </w:rPr>
              <w:t>Resilience Patterns</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Timeouts, retries, circuit breakers, fallbacks, bulkheads, DLQ, and compensation are explicit.</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Resilience4j, Temporal, Kafka DLQ, test evidence.</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9"/>
              </w:rPr>
              <w:t>Architectural Fitness Functions</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Automated tests continuously protect architecture boundaries and design rules.</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ArchUnit, Semgrep, Sonar, dependency graph checks.</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9"/>
              </w:rPr>
              <w:t>Progressive Autonomy</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AI authority increases only with evidence, scope, trust, and human-governed thresholds.</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Trust score, SBAC, OPA, approval gates.</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9"/>
              </w:rPr>
              <w:t>Reversibility / Rollbackability</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Changes have rollback, forward-fix, compensation, or retirement paths.</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Release plan, migration plan, feature flags, GitOps rollback.</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9"/>
              </w:rPr>
              <w:t>AVCI</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Every artifact is attributable, verifiable, classifiable, and improvable.</w:t>
            </w:r>
          </w:p>
        </w:tc>
        <w:tc>
          <w:tcPr>
            <w:tcW w:type="dxa" w:w="3552"/>
            <w:vAlign w:val="top"/>
            <w:tcMar>
              <w:top w:w="35" w:type="dxa"/>
              <w:start w:w="42" w:type="dxa"/>
              <w:bottom w:w="35" w:type="dxa"/>
              <w:end w:w="42" w:type="dxa"/>
            </w:tcMar>
          </w:tcPr>
          <w:p>
            <w:pPr>
              <w:spacing w:after="0" w:line="240" w:lineRule="auto"/>
            </w:pPr>
            <w:r>
              <w:rPr>
                <w:rFonts w:ascii="Aptos" w:hAnsi="Aptos" w:eastAsia="Aptos"/>
                <w:sz w:val="9"/>
              </w:rPr>
              <w:t>AVCI evidence record and PR/MR summary.</w:t>
            </w:r>
          </w:p>
        </w:tc>
      </w:tr>
    </w:tbl>
    <w:p/>
    <w:p>
      <w:pPr>
        <w:pStyle w:val="Heading1"/>
        <w:keepNext/>
        <w:spacing w:before="160" w:after="60"/>
      </w:pPr>
      <w:r>
        <w:t>7. Developer Onboarding Workflow O1-O9</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Step</w:t>
            </w:r>
          </w:p>
        </w:tc>
        <w:tc>
          <w:tcPr>
            <w:tcW w:type="dxa" w:w="2664"/>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Name</w:t>
            </w:r>
          </w:p>
        </w:tc>
        <w:tc>
          <w:tcPr>
            <w:tcW w:type="dxa" w:w="2664"/>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Completion Criteria</w:t>
            </w:r>
          </w:p>
        </w:tc>
        <w:tc>
          <w:tcPr>
            <w:tcW w:type="dxa" w:w="2664"/>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Evidence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O1</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Identity and Seat Assignment</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Named account, SSO/MFA where available, role and team mapped.</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Account inventory; access approval.</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O2</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Environment Provisioning</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Clean workstation/devcontainer available from Golden Source baseline.</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Provisioning record; drift scan.</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O3</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Document Package Access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Developer can access approved documents and handoff folder.</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Access log or acknowledgement.</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O4</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Principles Briefing</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01A and the 20 principles explained with examples.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Signed acknowledgement; quiz or walkthrough note.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O5</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Repository Rules Briefing</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Root and directory CLAUDE.md rules explained.</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Local pre-commit run; CI dry run.</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O6</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TDD / Maker-Checker Exercise</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Developer completes Red-Green-Refactor exercise and review.</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Test evidence and reviewer sign-off.</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O7</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MicroFunction Exercise</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Developer traces sample transaction through standard steps, error path, and evidence.</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Sample run evidence; audit record.</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O8</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AI Tool Governance Exercise</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Developer uses approved AI assistance without violating classification or execution boundaries.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Prompt intent record; PR declaration sample.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O9</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Ready-to-Code Approval</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Team lead confirms developer is ready for assigned foundation tasks.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Readiness checklist signed by lead.</w:t>
            </w:r>
          </w:p>
        </w:tc>
      </w:tr>
    </w:tbl>
    <w:p/>
    <w:p>
      <w:pPr>
        <w:pStyle w:val="Heading1"/>
        <w:keepNext/>
        <w:spacing w:before="160" w:after="60"/>
      </w:pPr>
      <w:r>
        <w:t>8. Required Day-1 Handoff Contents</w:t>
      </w:r>
    </w:p>
    <w:p>
      <w:pPr>
        <w:spacing w:after="60" w:line="245" w:lineRule="auto"/>
      </w:pPr>
      <w:r>
        <w:rPr>
          <w:rFonts w:ascii="Aptos" w:hAnsi="Aptos" w:eastAsia="Aptos"/>
          <w:sz w:val="17"/>
        </w:rPr>
        <w:t>The handoff package should be distributed through a controlled folder in the approved repository, DMS, or knowledge vault. The folder must make the current baseline obvious and must quarantine superseded material.</w:t>
      </w:r>
    </w:p>
    <w:tbl>
      <w:tblPr>
        <w:tblStyle w:val="TableGrid"/>
        <w:tblW w:type="auto" w:w="0"/>
        <w:jc w:val="center"/>
        <w:tblLook w:firstColumn="1" w:firstRow="1" w:lastColumn="0" w:lastRow="0" w:noHBand="0" w:noVBand="1" w:val="04A0"/>
      </w:tblPr>
      <w:tblGrid>
        <w:gridCol w:w="10656"/>
      </w:tblGrid>
      <w:tr>
        <w:tc>
          <w:tcPr>
            <w:tcW w:type="dxa" w:w="10656"/>
            <w:shd w:fill="F4F6F7"/>
            <w:tcMar>
              <w:top w:w="80" w:type="dxa"/>
              <w:start w:w="100" w:type="dxa"/>
              <w:bottom w:w="80" w:type="dxa"/>
              <w:end w:w="100" w:type="dxa"/>
            </w:tcMar>
          </w:tcPr>
          <w:p>
            <w:pPr>
              <w:spacing w:line="240" w:lineRule="auto"/>
            </w:pPr>
            <w:r>
              <w:rPr>
                <w:rFonts w:ascii="Consolas" w:hAnsi="Consolas" w:eastAsia="Consolas"/>
                <w:b w:val="0"/>
                <w:color w:val="111111"/>
                <w:sz w:val="12"/>
              </w:rPr>
              <w:t>aira-developer-handoff/</w:t>
              <w:br/>
              <w:t>├── 00-read-me-first.md</w:t>
              <w:br/>
              <w:t>├── 01-current-standards/</w:t>
              <w:br/>
              <w:t>│   ├── ADR-AIRA-2026-001_Enterprise_Design_Principles_SOLID_Enforcement_Layer_v1.0.docx</w:t>
              <w:br/>
              <w:t>│   ├── AIRA_Cross_Document_Revision_Control_Matrix_v1.0.xlsx</w:t>
              <w:br/>
              <w:t>│   ├── 01A-AIRA_Enterprise_Design_Principles_and_SOLID_Enforcement_Layer_v1.0.docx</w:t>
              <w:br/>
              <w:t>│   ├── 01-AIRA_AVCI_Engineering_Standard_v3.0.docx</w:t>
              <w:br/>
              <w:t>│   ├── 02-AIRA_Engineering_Blueprint_v5.0.docx</w:t>
              <w:br/>
              <w:t>│   ├── 03-AIRA_Developer_Guide_v4.0.docx</w:t>
              <w:br/>
              <w:t>│   ├── 06-AIRA_CLAUDE_MD_Reference_v3.0.docx</w:t>
              <w:br/>
              <w:t>│   ├── 08-AIRA_Unit_Testing_Standard_v3.0.docx</w:t>
              <w:br/>
              <w:t>│   ├── 10-to-10D-MicroFunction-Suite/</w:t>
              <w:br/>
              <w:t>│   ├── 11-AIRA_AI_Native_DevSecOps_Standard_v3.0.docx</w:t>
              <w:br/>
              <w:t>│   └── 12-AIRA_CLAUDE_MD_Rollout_Starter_Pack_v3.0.docx</w:t>
              <w:br/>
              <w:t>├── 02-templates/</w:t>
              <w:br/>
              <w:t>│   ├── pr-avci-solid-summary.md</w:t>
              <w:br/>
              <w:t>│   ├── microfunction-registration-template.yaml</w:t>
              <w:br/>
              <w:t>│   ├── adr-tdl-template.md</w:t>
              <w:br/>
              <w:t>│   └── sprint-0-definition-of-done.md</w:t>
              <w:br/>
              <w:t>├── 03-sprint-0-backlog/</w:t>
              <w:br/>
              <w:t>├── 04-training-and-acknowledgement/</w:t>
              <w:br/>
              <w:t>└── 99-superseded-read-only/</w:t>
            </w:r>
          </w:p>
        </w:tc>
      </w:tr>
    </w:tbl>
    <w:p/>
    <w:p>
      <w:pPr>
        <w:pStyle w:val="Heading1"/>
        <w:keepNext/>
        <w:spacing w:before="160" w:after="60"/>
      </w:pPr>
      <w:r>
        <w:t>9. Repository, CI, and Local Tooling Readiness</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Control Area</w:t>
            </w:r>
          </w:p>
        </w:tc>
        <w:tc>
          <w:tcPr>
            <w:tcW w:type="dxa" w:w="3552"/>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Required Control</w:t>
            </w:r>
          </w:p>
        </w:tc>
        <w:tc>
          <w:tcPr>
            <w:tcW w:type="dxa" w:w="3552"/>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Evidence Before Coding</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Source Control</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Protected main branches, signed commits where practical, CODEOWNERS, no direct production changes.</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Repository settings screenshot/export; CODEOWNERS file; branch rule record.</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CLAUDE.md Hierarchy</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Root and high-risk directory CLAUDE.md files installed and locked.</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Compiled rule lock file; pre-commit result.</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Pre-Commit</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Secret scan, formatting, linting, architecture rule precheck, prompt/guardrail checks, no direct model SDK imports.</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Local hook output from sample change.</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CI Strict Mode</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Unit/component/contract/architecture/security/AI checks run in CI and cannot be bypassed.</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Passing pipeline evidence pack.</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Policy as Code</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OPA/Conftest rules for repo, IaC, model routes, and AI actions are versioned and tested.</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Policy test output and approval record.</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Test Harness</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JUnit/Vitest/Playwright/ArchUnit/Semgrep/Sonar/mutation tooling available.</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Tool version report and sample test run.</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Evidence Storage</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Pipeline artifacts, SBOM, scan reports, test results, and AVCI summary retained.</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Evidence path and retention setting.</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No Shadow AI</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No personal/unapproved accounts or direct model credentials in code, tests, prompts, or environment variables.</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Subscription inventory and secret scan result.</w:t>
            </w:r>
          </w:p>
        </w:tc>
      </w:tr>
    </w:tbl>
    <w:p/>
    <w:p>
      <w:pPr>
        <w:pStyle w:val="Heading1"/>
        <w:keepNext/>
        <w:spacing w:before="160" w:after="60"/>
      </w:pPr>
      <w:r>
        <w:t>10. Sprint-0 Foundation Backlog</w:t>
      </w:r>
    </w:p>
    <w:p>
      <w:pPr>
        <w:spacing w:after="60" w:line="245" w:lineRule="auto"/>
      </w:pPr>
      <w:r>
        <w:rPr>
          <w:rFonts w:ascii="Aptos" w:hAnsi="Aptos" w:eastAsia="Aptos"/>
          <w:sz w:val="17"/>
        </w:rPr>
        <w:t>Sprint 0 must produce an executable governed foundation, not business functionality. The goal is to prove the engineering control plane before business modules depend on it.</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Epic</w:t>
            </w:r>
          </w:p>
        </w:tc>
        <w:tc>
          <w:tcPr>
            <w:tcW w:type="dxa" w:w="3552"/>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Sprint-0 Deliverable</w:t>
            </w:r>
          </w:p>
        </w:tc>
        <w:tc>
          <w:tcPr>
            <w:tcW w:type="dxa" w:w="3552"/>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Definition of Done</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Repository Bootstrap</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Base repository, branch protection, CODEOWNERS, CLAUDE.md, MR templates, pre-commit, CI skeleton.</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Sample PR passes local and CI strict mode with AVCI/SOLID evidence.</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Devcontainer / Local Stack</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Reproducible local devcontainer or compose profile with required dependencies/mocks.</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New developer can build and run sample transaction from clean checkout.</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MicroFunction Runtime Skeleton</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Runtime assembler, catalog, execution envelope, error policy, audit recorder, idempotency registry.</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Sample transaction runs standard pre-business steps and produces evidence.</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Sample STP-BUS Function</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One isolated business MicroFunction implemented using ports, tests, and registration.</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No business logic outside STP-BUS or rules/DMN; tests and ArchUnit pass.</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Contract Baseline</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Initial OpenAPI/AsyncAPI skeleton and error contract pattern.</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Contract tests pass; AI cannot invent endpoints or fields.</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Database Baseline</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Flyway schema for framework tables, audit, idempotency, outbox, and DLQ.</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Migration dry run, rollback/forward-fix plan, no manual DDL.</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Security Baseline</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OIDC/JWT mock, SBAC/OPA policy skeleton, Vault/OpenBao placeholder, classification guard.</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Negative authorization tests and fail-closed behavior verified.</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Observability Baseline</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Trace/log/metric/audit correlation pattern and dashboard stub.</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Sample transaction shows trace_id across logs, audit, and response.</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AI Governance Stub</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LiteLLM route stub, NeMo rail placeholders, Harness action vocabulary stub.</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Direct provider SDK/import checks fail CI; Harness-mediated path documented.</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Evidence Pack</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Standard PR/MR evidence package and handoff checklist.</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Evidence package generated from sample PR and accepted by reviewer.</w:t>
            </w:r>
          </w:p>
        </w:tc>
      </w:tr>
    </w:tbl>
    <w:p/>
    <w:p>
      <w:pPr>
        <w:pStyle w:val="Heading1"/>
        <w:keepNext/>
        <w:spacing w:before="160" w:after="60"/>
      </w:pPr>
      <w:r>
        <w:t>11. MicroFunction Handoff Rules</w:t>
      </w:r>
    </w:p>
    <w:p>
      <w:pPr>
        <w:spacing w:after="60" w:line="245" w:lineRule="auto"/>
      </w:pPr>
      <w:r>
        <w:rPr>
          <w:rFonts w:ascii="Aptos" w:hAnsi="Aptos" w:eastAsia="Aptos"/>
          <w:sz w:val="17"/>
        </w:rPr>
        <w:t>The MicroFunction framework is the main mechanism for simplifying development. Developers should add business logic only when no standard function, parameter, rule table, DMN, or OPA policy can satisfy the requirement.</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Rule</w:t>
            </w:r>
          </w:p>
        </w:tc>
        <w:tc>
          <w:tcPr>
            <w:tcW w:type="dxa" w:w="3552"/>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Developer Instruction</w:t>
            </w:r>
          </w:p>
        </w:tc>
        <w:tc>
          <w:tcPr>
            <w:tcW w:type="dxa" w:w="3552"/>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Reviewer Check</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Configuration first</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Assemble transactions using approved standard functions and templates before writing Java code.</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MR includes configuration diff, validation report, and evidence.</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Business logic isolation</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Business behavior belongs only in STP-BUS-* functions, rules, or DMN decisions.</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No business rules in controllers, adapters, repositories, or orchestration glue.</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Single responsibility</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Each MicroFunction does one narrow operation and depends only on approved context/ports.</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Function contract and tests prove narrow scope.</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Framework-owned concerns</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Security, parsing, validation, idempotency, audit, telemetry, error handling, retry, compensation, events, and response shaping are framework-owned.</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No duplicated plumbing in STP-BUS-* code.</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Error path required</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Every mutating step has retry, timeout, error policy, compensation/DLQ/human review where applicable.</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Publish-time validator rejects missing policy.</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Reusability required</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A new function enters the catalog with owner, version, classification, tests, and examples.</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Catalog registration and AVCI evidence present.</w:t>
            </w:r>
          </w:p>
        </w:tc>
      </w:tr>
    </w:tbl>
    <w:p/>
    <w:p>
      <w:pPr>
        <w:pStyle w:val="Heading1"/>
        <w:keepNext/>
        <w:spacing w:before="160" w:after="60"/>
      </w:pPr>
      <w:r>
        <w:t>12. AI-Assisted Development Handoff Rules</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Area</w:t>
            </w:r>
          </w:p>
        </w:tc>
        <w:tc>
          <w:tcPr>
            <w:tcW w:type="dxa" w:w="3552"/>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Rule</w:t>
            </w:r>
          </w:p>
        </w:tc>
        <w:tc>
          <w:tcPr>
            <w:tcW w:type="dxa" w:w="3552"/>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Evidence</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Tool identity</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All AI use must be through named, approved accounts and workspaces.</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Seat inventory and onboarding acknowledgement.</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Repository rules</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AI tools inherit CLAUDE.md rules; no parallel weaker instruction sets.</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Tool adapter or generated instruction file from approved source.</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Model routing</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Application code never calls provider SDKs directly; production model traffic goes through LiteLLM.</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Import lint and secret scans pass.</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Execution boundary</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AI may draft and analyze; tool execution passes through Harness, SBAC, OPA, trust score, guardrails, and audit.</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Harness evidence record for any tool action beyond sandbox.</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Data handling</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No secrets, production data, real PII, restricted content, or raw confidential documents in prompts or tests.</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Classification declaration and prompt/data review evidence.</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PR declaration</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PR/MR must disclose AI assistance, model/tool used, prompt intent, files affected, tests run, and human checker.</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Completed AVCI/SOLID PR section.</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Auto remediation</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AI remediation attempts are bounded and must escalate after repeated failure or ambiguous design risk.</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Attempt log, failure classification, escalation record.</w:t>
            </w:r>
          </w:p>
        </w:tc>
      </w:tr>
    </w:tbl>
    <w:p/>
    <w:p>
      <w:pPr>
        <w:pStyle w:val="Heading1"/>
        <w:keepNext/>
        <w:spacing w:before="160" w:after="60"/>
      </w:pPr>
      <w:r>
        <w:t>13. Security, Classification, and Data Handling Gate</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Gate</w:t>
            </w:r>
          </w:p>
        </w:tc>
        <w:tc>
          <w:tcPr>
            <w:tcW w:type="dxa" w:w="3552"/>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Required Rule</w:t>
            </w:r>
          </w:p>
        </w:tc>
        <w:tc>
          <w:tcPr>
            <w:tcW w:type="dxa" w:w="3552"/>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Fail Condition</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Classification</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Every artifact, prompt, fixture, log, API contract, event, and data field declares handling classification where applicable.</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Unclassified artifact enters PR, prompt, cache, log, index, or model route.</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Secrets</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No secrets in Git, prompts, examples, screenshots, test fixtures, logs, traces, or documents.</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Secret scan finding or manual secret exposure.</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Synthetic data</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Tests and examples use synthetic data only; no real customer/account/document data.</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Real PII or production-derived data detected.</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Least privilege</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Developer and AI agent permissions are role, skill, and repository scoped.</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Shared account, broad admin access, or missing access owner.</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Fail closed</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Missing OPA, guardrails, identity, audit, Vault/secrets, or Harness blocks protected actions.</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Fallback allows protected action without policy decision.</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Segregation</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Maker/checker/approver and deployment roles remain separated for high-risk changes.</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Author self-approves high-risk or production-impacting change.</w:t>
            </w:r>
          </w:p>
        </w:tc>
      </w:tr>
    </w:tbl>
    <w:p/>
    <w:p>
      <w:pPr>
        <w:pStyle w:val="Heading1"/>
        <w:keepNext/>
        <w:spacing w:before="160" w:after="60"/>
      </w:pPr>
      <w:r>
        <w:t>14. PR/MR Completion Criteria</w:t>
      </w:r>
    </w:p>
    <w:p>
      <w:pPr>
        <w:spacing w:after="60" w:line="245" w:lineRule="auto"/>
      </w:pPr>
      <w:r>
        <w:rPr>
          <w:rFonts w:ascii="Aptos" w:hAnsi="Aptos" w:eastAsia="Aptos"/>
          <w:sz w:val="17"/>
        </w:rPr>
        <w:t>A pull request or merge request is not complete unless the developer provides enough evidence for reviewer, auditor, and future AI retrieval to understand intent, impact, verification, classification, and improvement path.</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5328"/>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Evidence Item</w:t>
            </w:r>
          </w:p>
        </w:tc>
        <w:tc>
          <w:tcPr>
            <w:tcW w:type="dxa" w:w="5328"/>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Required Content</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1"/>
              </w:rPr>
              <w:t>Attributable</w:t>
            </w:r>
          </w:p>
        </w:tc>
        <w:tc>
          <w:tcPr>
            <w:tcW w:type="dxa" w:w="5328"/>
            <w:vAlign w:val="top"/>
            <w:tcMar>
              <w:top w:w="35" w:type="dxa"/>
              <w:start w:w="42" w:type="dxa"/>
              <w:bottom w:w="35" w:type="dxa"/>
              <w:end w:w="42" w:type="dxa"/>
            </w:tcMar>
          </w:tcPr>
          <w:p>
            <w:pPr>
              <w:spacing w:after="0" w:line="240" w:lineRule="auto"/>
            </w:pPr>
            <w:r>
              <w:rPr>
                <w:rFonts w:ascii="Aptos" w:hAnsi="Aptos" w:eastAsia="Aptos"/>
                <w:sz w:val="11"/>
              </w:rPr>
              <w:t>Ticket/epic, owner, author, reviewer, related ADR/TDL, source files, AI tool involvement.</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1"/>
              </w:rPr>
              <w:t>Verifiable</w:t>
            </w:r>
          </w:p>
        </w:tc>
        <w:tc>
          <w:tcPr>
            <w:tcW w:type="dxa" w:w="5328"/>
            <w:vAlign w:val="top"/>
            <w:tcMar>
              <w:top w:w="35" w:type="dxa"/>
              <w:start w:w="42" w:type="dxa"/>
              <w:bottom w:w="35" w:type="dxa"/>
              <w:end w:w="42" w:type="dxa"/>
            </w:tcMar>
          </w:tcPr>
          <w:p>
            <w:pPr>
              <w:spacing w:after="0" w:line="240" w:lineRule="auto"/>
            </w:pPr>
            <w:r>
              <w:rPr>
                <w:rFonts w:ascii="Aptos" w:hAnsi="Aptos" w:eastAsia="Aptos"/>
                <w:sz w:val="11"/>
              </w:rPr>
              <w:t>Tests, scans, contract checks, architecture fitness functions, policy tests, CI run, screenshots where useful.</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1"/>
              </w:rPr>
              <w:t>Classifiable</w:t>
            </w:r>
          </w:p>
        </w:tc>
        <w:tc>
          <w:tcPr>
            <w:tcW w:type="dxa" w:w="5328"/>
            <w:vAlign w:val="top"/>
            <w:tcMar>
              <w:top w:w="35" w:type="dxa"/>
              <w:start w:w="42" w:type="dxa"/>
              <w:bottom w:w="35" w:type="dxa"/>
              <w:end w:w="42" w:type="dxa"/>
            </w:tcMar>
          </w:tcPr>
          <w:p>
            <w:pPr>
              <w:spacing w:after="0" w:line="240" w:lineRule="auto"/>
            </w:pPr>
            <w:r>
              <w:rPr>
                <w:rFonts w:ascii="Aptos" w:hAnsi="Aptos" w:eastAsia="Aptos"/>
                <w:sz w:val="11"/>
              </w:rPr>
              <w:t>Data classification, domain/bounded context, model routing eligibility, log/cache/prompt handling.</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1"/>
              </w:rPr>
              <w:t>Improvable</w:t>
            </w:r>
          </w:p>
        </w:tc>
        <w:tc>
          <w:tcPr>
            <w:tcW w:type="dxa" w:w="5328"/>
            <w:vAlign w:val="top"/>
            <w:tcMar>
              <w:top w:w="35" w:type="dxa"/>
              <w:start w:w="42" w:type="dxa"/>
              <w:bottom w:w="35" w:type="dxa"/>
              <w:end w:w="42" w:type="dxa"/>
            </w:tcMar>
          </w:tcPr>
          <w:p>
            <w:pPr>
              <w:spacing w:after="0" w:line="240" w:lineRule="auto"/>
            </w:pPr>
            <w:r>
              <w:rPr>
                <w:rFonts w:ascii="Aptos" w:hAnsi="Aptos" w:eastAsia="Aptos"/>
                <w:sz w:val="11"/>
              </w:rPr>
              <w:t>Known limitations, feedback path, backlog items, metrics, follow-up review cadence.</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1"/>
              </w:rPr>
              <w:t>SOLID / Design Impact</w:t>
            </w:r>
          </w:p>
        </w:tc>
        <w:tc>
          <w:tcPr>
            <w:tcW w:type="dxa" w:w="5328"/>
            <w:vAlign w:val="top"/>
            <w:tcMar>
              <w:top w:w="35" w:type="dxa"/>
              <w:start w:w="42" w:type="dxa"/>
              <w:bottom w:w="35" w:type="dxa"/>
              <w:end w:w="42" w:type="dxa"/>
            </w:tcMar>
          </w:tcPr>
          <w:p>
            <w:pPr>
              <w:spacing w:after="0" w:line="240" w:lineRule="auto"/>
            </w:pPr>
            <w:r>
              <w:rPr>
                <w:rFonts w:ascii="Aptos" w:hAnsi="Aptos" w:eastAsia="Aptos"/>
                <w:sz w:val="11"/>
              </w:rPr>
              <w:t>Statement that change preserves or improves SOLID, Clean Architecture, DDD, ports/adapters, DRY/KISS/YAGNI.</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1"/>
              </w:rPr>
              <w:t>Security Impact</w:t>
            </w:r>
          </w:p>
        </w:tc>
        <w:tc>
          <w:tcPr>
            <w:tcW w:type="dxa" w:w="5328"/>
            <w:vAlign w:val="top"/>
            <w:tcMar>
              <w:top w:w="35" w:type="dxa"/>
              <w:start w:w="42" w:type="dxa"/>
              <w:bottom w:w="35" w:type="dxa"/>
              <w:end w:w="42" w:type="dxa"/>
            </w:tcMar>
          </w:tcPr>
          <w:p>
            <w:pPr>
              <w:spacing w:after="0" w:line="240" w:lineRule="auto"/>
            </w:pPr>
            <w:r>
              <w:rPr>
                <w:rFonts w:ascii="Aptos" w:hAnsi="Aptos" w:eastAsia="Aptos"/>
                <w:sz w:val="11"/>
              </w:rPr>
              <w:t>Secrets, auth, SBAC/OPA, least privilege, input validation, output safety, and dependency risk considered.</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1"/>
              </w:rPr>
              <w:t>Testability Impact</w:t>
            </w:r>
          </w:p>
        </w:tc>
        <w:tc>
          <w:tcPr>
            <w:tcW w:type="dxa" w:w="5328"/>
            <w:vAlign w:val="top"/>
            <w:tcMar>
              <w:top w:w="35" w:type="dxa"/>
              <w:start w:w="42" w:type="dxa"/>
              <w:bottom w:w="35" w:type="dxa"/>
              <w:end w:w="42" w:type="dxa"/>
            </w:tcMar>
          </w:tcPr>
          <w:p>
            <w:pPr>
              <w:spacing w:after="0" w:line="240" w:lineRule="auto"/>
            </w:pPr>
            <w:r>
              <w:rPr>
                <w:rFonts w:ascii="Aptos" w:hAnsi="Aptos" w:eastAsia="Aptos"/>
                <w:sz w:val="11"/>
              </w:rPr>
              <w:t>Deterministic tests, synthetic fixtures, mocks/stubs/ports, boundary and negative tests included.</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1"/>
              </w:rPr>
              <w:t>Observability Impact</w:t>
            </w:r>
          </w:p>
        </w:tc>
        <w:tc>
          <w:tcPr>
            <w:tcW w:type="dxa" w:w="5328"/>
            <w:vAlign w:val="top"/>
            <w:tcMar>
              <w:top w:w="35" w:type="dxa"/>
              <w:start w:w="42" w:type="dxa"/>
              <w:bottom w:w="35" w:type="dxa"/>
              <w:end w:w="42" w:type="dxa"/>
            </w:tcMar>
          </w:tcPr>
          <w:p>
            <w:pPr>
              <w:spacing w:after="0" w:line="240" w:lineRule="auto"/>
            </w:pPr>
            <w:r>
              <w:rPr>
                <w:rFonts w:ascii="Aptos" w:hAnsi="Aptos" w:eastAsia="Aptos"/>
                <w:sz w:val="11"/>
              </w:rPr>
              <w:t>Trace/log/metric/audit/evidence path added or confirmed unchanged.</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1"/>
              </w:rPr>
              <w:t>Reversibility Impact</w:t>
            </w:r>
          </w:p>
        </w:tc>
        <w:tc>
          <w:tcPr>
            <w:tcW w:type="dxa" w:w="5328"/>
            <w:vAlign w:val="top"/>
            <w:tcMar>
              <w:top w:w="35" w:type="dxa"/>
              <w:start w:w="42" w:type="dxa"/>
              <w:bottom w:w="35" w:type="dxa"/>
              <w:end w:w="42" w:type="dxa"/>
            </w:tcMar>
          </w:tcPr>
          <w:p>
            <w:pPr>
              <w:spacing w:after="0" w:line="240" w:lineRule="auto"/>
            </w:pPr>
            <w:r>
              <w:rPr>
                <w:rFonts w:ascii="Aptos" w:hAnsi="Aptos" w:eastAsia="Aptos"/>
                <w:sz w:val="11"/>
              </w:rPr>
              <w:t>Rollback, forward-fix, feature flag, migration, compensation, or deactivation path documented.</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1"/>
              </w:rPr>
              <w:t>Auto-Heal/Learn/Improve Impact</w:t>
            </w:r>
          </w:p>
        </w:tc>
        <w:tc>
          <w:tcPr>
            <w:tcW w:type="dxa" w:w="5328"/>
            <w:vAlign w:val="top"/>
            <w:tcMar>
              <w:top w:w="35" w:type="dxa"/>
              <w:start w:w="42" w:type="dxa"/>
              <w:bottom w:w="35" w:type="dxa"/>
              <w:end w:w="42" w:type="dxa"/>
            </w:tcMar>
          </w:tcPr>
          <w:p>
            <w:pPr>
              <w:spacing w:after="0" w:line="240" w:lineRule="auto"/>
            </w:pPr>
            <w:r>
              <w:rPr>
                <w:rFonts w:ascii="Aptos" w:hAnsi="Aptos" w:eastAsia="Aptos"/>
                <w:sz w:val="11"/>
              </w:rPr>
              <w:t>Any automated change must show it does not weaken architecture, security, observability, reversibility, or AVCI evidence.</w:t>
            </w:r>
          </w:p>
        </w:tc>
      </w:tr>
    </w:tbl>
    <w:p/>
    <w:p>
      <w:pPr>
        <w:pStyle w:val="Heading1"/>
        <w:keepNext/>
        <w:spacing w:before="160" w:after="60"/>
      </w:pPr>
      <w:r>
        <w:t>15. Auto-Heal, Auto-Learn, and Auto-Improve Developer Constraints</w:t>
      </w:r>
    </w:p>
    <w:tbl>
      <w:tblPr>
        <w:tblStyle w:val="TableGrid"/>
        <w:tblW w:type="auto" w:w="0"/>
        <w:jc w:val="center"/>
        <w:tblLook w:firstColumn="1" w:firstRow="1" w:lastColumn="0" w:lastRow="0" w:noHBand="0" w:noVBand="1" w:val="04A0"/>
      </w:tblPr>
      <w:tblGrid>
        <w:gridCol w:w="10656"/>
      </w:tblGrid>
      <w:tr>
        <w:tc>
          <w:tcPr>
            <w:tcW w:type="dxa" w:w="10656"/>
            <w:shd w:fill="E2F0D9"/>
            <w:tcMar>
              <w:top w:w="95" w:type="dxa"/>
              <w:start w:w="120" w:type="dxa"/>
              <w:bottom w:w="95" w:type="dxa"/>
              <w:end w:w="120" w:type="dxa"/>
            </w:tcMar>
          </w:tcPr>
          <w:p>
            <w:pPr>
              <w:spacing w:after="40"/>
            </w:pPr>
            <w:r>
              <w:rPr>
                <w:rFonts w:ascii="Aptos" w:hAnsi="Aptos" w:eastAsia="Aptos"/>
                <w:b/>
                <w:color w:val="203864"/>
                <w:sz w:val="18"/>
              </w:rPr>
              <w:t>Core Constraint</w:t>
            </w:r>
          </w:p>
          <w:p>
            <w:pPr>
              <w:spacing w:after="0" w:line="240" w:lineRule="auto"/>
            </w:pPr>
            <w:r>
              <w:rPr>
                <w:rFonts w:ascii="Aptos" w:hAnsi="Aptos" w:eastAsia="Aptos"/>
                <w:sz w:val="16"/>
              </w:rPr>
              <w:t>Auto-Heal, Auto-Learn, and Auto-Improve must not only fix, learn, or improve. They must preserve or improve SOLID compliance, architecture boundaries, testability, security posture, observability, reversibility, and AVCI evidence.</w:t>
            </w:r>
          </w:p>
        </w:tc>
      </w:tr>
    </w:tbl>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Capability</w:t>
            </w:r>
          </w:p>
        </w:tc>
        <w:tc>
          <w:tcPr>
            <w:tcW w:type="dxa" w:w="2664"/>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Allowed Developer Outcome</w:t>
            </w:r>
          </w:p>
        </w:tc>
        <w:tc>
          <w:tcPr>
            <w:tcW w:type="dxa" w:w="2664"/>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Blocked Outcome</w:t>
            </w:r>
          </w:p>
        </w:tc>
        <w:tc>
          <w:tcPr>
            <w:tcW w:type="dxa" w:w="2664"/>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Required Evidence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Auto-Heal</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Draft minimal remediation PR, test fix, rollback proposal, or operational runbook update.</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Autonomous production mutation, policy bypass, hidden retry loop, or untested patch.</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Incident evidence, root-cause hypothesis, tests, security check, rollback path.</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Auto-Learn</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Create reviewed knowledge artifact, prompt update candidate, guardrail test, or lesson learned.</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Unreviewed model memory, stale knowledge promotion, or contradiction of approved standards.</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Source citation, human review, classification, freshness, conflict check.</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1"/>
              </w:rPr>
              <w:t>Auto-Improve</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Propose refactoring, architecture drift correction, test hardening, or policy improvement.</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Speculative rewrite, over-engineering, weakened boundaries, or unapproved dependency.</w:t>
            </w:r>
          </w:p>
        </w:tc>
        <w:tc>
          <w:tcPr>
            <w:tcW w:type="dxa" w:w="2664"/>
            <w:vAlign w:val="top"/>
            <w:tcMar>
              <w:top w:w="35" w:type="dxa"/>
              <w:start w:w="42" w:type="dxa"/>
              <w:bottom w:w="35" w:type="dxa"/>
              <w:end w:w="42" w:type="dxa"/>
            </w:tcMar>
          </w:tcPr>
          <w:p>
            <w:pPr>
              <w:spacing w:after="0" w:line="240" w:lineRule="auto"/>
            </w:pPr>
            <w:r>
              <w:rPr>
                <w:rFonts w:ascii="Aptos" w:hAnsi="Aptos" w:eastAsia="Aptos"/>
                <w:sz w:val="11"/>
              </w:rPr>
              <w:t>Metric/risk basis, ADR/TDL if material, tests, impact assessment.</w:t>
            </w:r>
          </w:p>
        </w:tc>
      </w:tr>
    </w:tbl>
    <w:p/>
    <w:p>
      <w:pPr>
        <w:pStyle w:val="Heading1"/>
        <w:keepNext/>
        <w:spacing w:before="160" w:after="60"/>
      </w:pPr>
      <w:r>
        <w:t>16. RACI and Escalation Model</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9"/>
            <w:tcMar>
              <w:top w:w="35" w:type="dxa"/>
              <w:start w:w="42" w:type="dxa"/>
              <w:bottom w:w="35" w:type="dxa"/>
              <w:end w:w="42" w:type="dxa"/>
            </w:tcMar>
          </w:tcPr>
          <w:p>
            <w:pPr>
              <w:spacing w:after="0" w:line="240" w:lineRule="auto"/>
              <w:jc w:val="center"/>
            </w:pPr>
            <w:r>
              <w:rPr>
                <w:rFonts w:ascii="Aptos" w:hAnsi="Aptos" w:eastAsia="Aptos"/>
                <w:b/>
                <w:color w:val="FFFFFF"/>
                <w:sz w:val="10"/>
              </w:rPr>
              <w:t>Activity</w:t>
            </w:r>
          </w:p>
        </w:tc>
        <w:tc>
          <w:tcPr>
            <w:tcW w:type="dxa" w:w="1332"/>
            <w:shd w:fill="1F4E79"/>
            <w:tcMar>
              <w:top w:w="35" w:type="dxa"/>
              <w:start w:w="42" w:type="dxa"/>
              <w:bottom w:w="35" w:type="dxa"/>
              <w:end w:w="42" w:type="dxa"/>
            </w:tcMar>
          </w:tcPr>
          <w:p>
            <w:pPr>
              <w:spacing w:after="0" w:line="240" w:lineRule="auto"/>
              <w:jc w:val="center"/>
            </w:pPr>
            <w:r>
              <w:rPr>
                <w:rFonts w:ascii="Aptos" w:hAnsi="Aptos" w:eastAsia="Aptos"/>
                <w:b/>
                <w:color w:val="FFFFFF"/>
                <w:sz w:val="10"/>
              </w:rPr>
              <w:t>Solutions Architect / IT Head</w:t>
            </w:r>
          </w:p>
        </w:tc>
        <w:tc>
          <w:tcPr>
            <w:tcW w:type="dxa" w:w="1332"/>
            <w:shd w:fill="1F4E79"/>
            <w:tcMar>
              <w:top w:w="35" w:type="dxa"/>
              <w:start w:w="42" w:type="dxa"/>
              <w:bottom w:w="35" w:type="dxa"/>
              <w:end w:w="42" w:type="dxa"/>
            </w:tcMar>
          </w:tcPr>
          <w:p>
            <w:pPr>
              <w:spacing w:after="0" w:line="240" w:lineRule="auto"/>
              <w:jc w:val="center"/>
            </w:pPr>
            <w:r>
              <w:rPr>
                <w:rFonts w:ascii="Aptos" w:hAnsi="Aptos" w:eastAsia="Aptos"/>
                <w:b/>
                <w:color w:val="FFFFFF"/>
                <w:sz w:val="10"/>
              </w:rPr>
              <w:t>Dev Lead</w:t>
            </w:r>
          </w:p>
        </w:tc>
        <w:tc>
          <w:tcPr>
            <w:tcW w:type="dxa" w:w="1332"/>
            <w:shd w:fill="1F4E79"/>
            <w:tcMar>
              <w:top w:w="35" w:type="dxa"/>
              <w:start w:w="42" w:type="dxa"/>
              <w:bottom w:w="35" w:type="dxa"/>
              <w:end w:w="42" w:type="dxa"/>
            </w:tcMar>
          </w:tcPr>
          <w:p>
            <w:pPr>
              <w:spacing w:after="0" w:line="240" w:lineRule="auto"/>
              <w:jc w:val="center"/>
            </w:pPr>
            <w:r>
              <w:rPr>
                <w:rFonts w:ascii="Aptos" w:hAnsi="Aptos" w:eastAsia="Aptos"/>
                <w:b/>
                <w:color w:val="FFFFFF"/>
                <w:sz w:val="10"/>
              </w:rPr>
              <w:t>QA Lead</w:t>
            </w:r>
          </w:p>
        </w:tc>
        <w:tc>
          <w:tcPr>
            <w:tcW w:type="dxa" w:w="1332"/>
            <w:shd w:fill="1F4E79"/>
            <w:tcMar>
              <w:top w:w="35" w:type="dxa"/>
              <w:start w:w="42" w:type="dxa"/>
              <w:bottom w:w="35" w:type="dxa"/>
              <w:end w:w="42" w:type="dxa"/>
            </w:tcMar>
          </w:tcPr>
          <w:p>
            <w:pPr>
              <w:spacing w:after="0" w:line="240" w:lineRule="auto"/>
              <w:jc w:val="center"/>
            </w:pPr>
            <w:r>
              <w:rPr>
                <w:rFonts w:ascii="Aptos" w:hAnsi="Aptos" w:eastAsia="Aptos"/>
                <w:b/>
                <w:color w:val="FFFFFF"/>
                <w:sz w:val="10"/>
              </w:rPr>
              <w:t>DevSecOps</w:t>
            </w:r>
          </w:p>
        </w:tc>
        <w:tc>
          <w:tcPr>
            <w:tcW w:type="dxa" w:w="1332"/>
            <w:shd w:fill="1F4E79"/>
            <w:tcMar>
              <w:top w:w="35" w:type="dxa"/>
              <w:start w:w="42" w:type="dxa"/>
              <w:bottom w:w="35" w:type="dxa"/>
              <w:end w:w="42" w:type="dxa"/>
            </w:tcMar>
          </w:tcPr>
          <w:p>
            <w:pPr>
              <w:spacing w:after="0" w:line="240" w:lineRule="auto"/>
              <w:jc w:val="center"/>
            </w:pPr>
            <w:r>
              <w:rPr>
                <w:rFonts w:ascii="Aptos" w:hAnsi="Aptos" w:eastAsia="Aptos"/>
                <w:b/>
                <w:color w:val="FFFFFF"/>
                <w:sz w:val="10"/>
              </w:rPr>
              <w:t>Security</w:t>
            </w:r>
          </w:p>
        </w:tc>
        <w:tc>
          <w:tcPr>
            <w:tcW w:type="dxa" w:w="1332"/>
            <w:shd w:fill="1F4E79"/>
            <w:tcMar>
              <w:top w:w="35" w:type="dxa"/>
              <w:start w:w="42" w:type="dxa"/>
              <w:bottom w:w="35" w:type="dxa"/>
              <w:end w:w="42" w:type="dxa"/>
            </w:tcMar>
          </w:tcPr>
          <w:p>
            <w:pPr>
              <w:spacing w:after="0" w:line="240" w:lineRule="auto"/>
              <w:jc w:val="center"/>
            </w:pPr>
            <w:r>
              <w:rPr>
                <w:rFonts w:ascii="Aptos" w:hAnsi="Aptos" w:eastAsia="Aptos"/>
                <w:b/>
                <w:color w:val="FFFFFF"/>
                <w:sz w:val="10"/>
              </w:rPr>
              <w:t>DBA</w:t>
            </w:r>
          </w:p>
        </w:tc>
        <w:tc>
          <w:tcPr>
            <w:tcW w:type="dxa" w:w="1332"/>
            <w:shd w:fill="1F4E79"/>
            <w:tcMar>
              <w:top w:w="35" w:type="dxa"/>
              <w:start w:w="42" w:type="dxa"/>
              <w:bottom w:w="35" w:type="dxa"/>
              <w:end w:w="42" w:type="dxa"/>
            </w:tcMar>
          </w:tcPr>
          <w:p>
            <w:pPr>
              <w:spacing w:after="0" w:line="240" w:lineRule="auto"/>
              <w:jc w:val="center"/>
            </w:pPr>
            <w:r>
              <w:rPr>
                <w:rFonts w:ascii="Aptos" w:hAnsi="Aptos" w:eastAsia="Aptos"/>
                <w:b/>
                <w:color w:val="FFFFFF"/>
                <w:sz w:val="10"/>
              </w:rPr>
              <w:t>Developer</w:t>
            </w:r>
          </w:p>
        </w:tc>
      </w:tr>
      <w:tr>
        <w:trPr>
          <w:cantSplit/>
        </w:trPr>
        <w:tc>
          <w:tcPr>
            <w:tcW w:type="dxa" w:w="1332"/>
            <w:vAlign w:val="top"/>
            <w:tcMar>
              <w:top w:w="35" w:type="dxa"/>
              <w:start w:w="42" w:type="dxa"/>
              <w:bottom w:w="35" w:type="dxa"/>
              <w:end w:w="42" w:type="dxa"/>
            </w:tcMar>
          </w:tcPr>
          <w:p>
            <w:pPr>
              <w:spacing w:after="0" w:line="240" w:lineRule="auto"/>
            </w:pPr>
            <w:r>
              <w:rPr>
                <w:rFonts w:ascii="Aptos" w:hAnsi="Aptos" w:eastAsia="Aptos"/>
                <w:sz w:val="10"/>
              </w:rPr>
              <w:t>Approve handoff baseline</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A</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R</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I</w:t>
            </w:r>
          </w:p>
        </w:tc>
      </w:tr>
      <w:tr>
        <w:trPr>
          <w:cantSplit/>
        </w:trPr>
        <w:tc>
          <w:tcPr>
            <w:tcW w:type="dxa" w:w="1332"/>
            <w:vAlign w:val="top"/>
            <w:tcMar>
              <w:top w:w="35" w:type="dxa"/>
              <w:start w:w="42" w:type="dxa"/>
              <w:bottom w:w="35" w:type="dxa"/>
              <w:end w:w="42" w:type="dxa"/>
            </w:tcMar>
          </w:tcPr>
          <w:p>
            <w:pPr>
              <w:spacing w:after="0" w:line="240" w:lineRule="auto"/>
            </w:pPr>
            <w:r>
              <w:rPr>
                <w:rFonts w:ascii="Aptos" w:hAnsi="Aptos" w:eastAsia="Aptos"/>
                <w:sz w:val="10"/>
              </w:rPr>
              <w:t>Complete developer onboarding</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A</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R</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R</w:t>
            </w:r>
          </w:p>
        </w:tc>
      </w:tr>
      <w:tr>
        <w:trPr>
          <w:cantSplit/>
        </w:trPr>
        <w:tc>
          <w:tcPr>
            <w:tcW w:type="dxa" w:w="1332"/>
            <w:vAlign w:val="top"/>
            <w:tcMar>
              <w:top w:w="35" w:type="dxa"/>
              <w:start w:w="42" w:type="dxa"/>
              <w:bottom w:w="35" w:type="dxa"/>
              <w:end w:w="42" w:type="dxa"/>
            </w:tcMar>
          </w:tcPr>
          <w:p>
            <w:pPr>
              <w:spacing w:after="0" w:line="240" w:lineRule="auto"/>
            </w:pPr>
            <w:r>
              <w:rPr>
                <w:rFonts w:ascii="Aptos" w:hAnsi="Aptos" w:eastAsia="Aptos"/>
                <w:sz w:val="10"/>
              </w:rPr>
              <w:t>Repository bootstrap</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A</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R</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I</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r>
      <w:tr>
        <w:trPr>
          <w:cantSplit/>
        </w:trPr>
        <w:tc>
          <w:tcPr>
            <w:tcW w:type="dxa" w:w="1332"/>
            <w:vAlign w:val="top"/>
            <w:tcMar>
              <w:top w:w="35" w:type="dxa"/>
              <w:start w:w="42" w:type="dxa"/>
              <w:bottom w:w="35" w:type="dxa"/>
              <w:end w:w="42" w:type="dxa"/>
            </w:tcMar>
          </w:tcPr>
          <w:p>
            <w:pPr>
              <w:spacing w:after="0" w:line="240" w:lineRule="auto"/>
            </w:pPr>
            <w:r>
              <w:rPr>
                <w:rFonts w:ascii="Aptos" w:hAnsi="Aptos" w:eastAsia="Aptos"/>
                <w:sz w:val="10"/>
              </w:rPr>
              <w:t>CI/CD gate readiness</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A/R</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I</w:t>
            </w:r>
          </w:p>
        </w:tc>
      </w:tr>
      <w:tr>
        <w:trPr>
          <w:cantSplit/>
        </w:trPr>
        <w:tc>
          <w:tcPr>
            <w:tcW w:type="dxa" w:w="1332"/>
            <w:vAlign w:val="top"/>
            <w:tcMar>
              <w:top w:w="35" w:type="dxa"/>
              <w:start w:w="42" w:type="dxa"/>
              <w:bottom w:w="35" w:type="dxa"/>
              <w:end w:w="42" w:type="dxa"/>
            </w:tcMar>
          </w:tcPr>
          <w:p>
            <w:pPr>
              <w:spacing w:after="0" w:line="240" w:lineRule="auto"/>
            </w:pPr>
            <w:r>
              <w:rPr>
                <w:rFonts w:ascii="Aptos" w:hAnsi="Aptos" w:eastAsia="Aptos"/>
                <w:sz w:val="10"/>
              </w:rPr>
              <w:t>TDD and architecture test readiness</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A</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R</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R</w:t>
            </w:r>
          </w:p>
        </w:tc>
      </w:tr>
      <w:tr>
        <w:trPr>
          <w:cantSplit/>
        </w:trPr>
        <w:tc>
          <w:tcPr>
            <w:tcW w:type="dxa" w:w="1332"/>
            <w:vAlign w:val="top"/>
            <w:tcMar>
              <w:top w:w="35" w:type="dxa"/>
              <w:start w:w="42" w:type="dxa"/>
              <w:bottom w:w="35" w:type="dxa"/>
              <w:end w:w="42" w:type="dxa"/>
            </w:tcMar>
          </w:tcPr>
          <w:p>
            <w:pPr>
              <w:spacing w:after="0" w:line="240" w:lineRule="auto"/>
            </w:pPr>
            <w:r>
              <w:rPr>
                <w:rFonts w:ascii="Aptos" w:hAnsi="Aptos" w:eastAsia="Aptos"/>
                <w:sz w:val="10"/>
              </w:rPr>
              <w:t>MicroFunction framework readiness</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A</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R</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R</w:t>
            </w:r>
          </w:p>
        </w:tc>
      </w:tr>
      <w:tr>
        <w:trPr>
          <w:cantSplit/>
        </w:trPr>
        <w:tc>
          <w:tcPr>
            <w:tcW w:type="dxa" w:w="1332"/>
            <w:vAlign w:val="top"/>
            <w:tcMar>
              <w:top w:w="35" w:type="dxa"/>
              <w:start w:w="42" w:type="dxa"/>
              <w:bottom w:w="35" w:type="dxa"/>
              <w:end w:w="42" w:type="dxa"/>
            </w:tcMar>
          </w:tcPr>
          <w:p>
            <w:pPr>
              <w:spacing w:after="0" w:line="240" w:lineRule="auto"/>
            </w:pPr>
            <w:r>
              <w:rPr>
                <w:rFonts w:ascii="Aptos" w:hAnsi="Aptos" w:eastAsia="Aptos"/>
                <w:sz w:val="10"/>
              </w:rPr>
              <w:t>Security/classification readiness</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A/R</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R</w:t>
            </w:r>
          </w:p>
        </w:tc>
      </w:tr>
      <w:tr>
        <w:trPr>
          <w:cantSplit/>
        </w:trPr>
        <w:tc>
          <w:tcPr>
            <w:tcW w:type="dxa" w:w="1332"/>
            <w:vAlign w:val="top"/>
            <w:tcMar>
              <w:top w:w="35" w:type="dxa"/>
              <w:start w:w="42" w:type="dxa"/>
              <w:bottom w:w="35" w:type="dxa"/>
              <w:end w:w="42" w:type="dxa"/>
            </w:tcMar>
          </w:tcPr>
          <w:p>
            <w:pPr>
              <w:spacing w:after="0" w:line="240" w:lineRule="auto"/>
            </w:pPr>
            <w:r>
              <w:rPr>
                <w:rFonts w:ascii="Aptos" w:hAnsi="Aptos" w:eastAsia="Aptos"/>
                <w:sz w:val="10"/>
              </w:rPr>
              <w:t>Database/migration readiness</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A/R</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R</w:t>
            </w:r>
          </w:p>
        </w:tc>
      </w:tr>
      <w:tr>
        <w:trPr>
          <w:cantSplit/>
        </w:trPr>
        <w:tc>
          <w:tcPr>
            <w:tcW w:type="dxa" w:w="1332"/>
            <w:vAlign w:val="top"/>
            <w:tcMar>
              <w:top w:w="35" w:type="dxa"/>
              <w:start w:w="42" w:type="dxa"/>
              <w:bottom w:w="35" w:type="dxa"/>
              <w:end w:w="42" w:type="dxa"/>
            </w:tcMar>
          </w:tcPr>
          <w:p>
            <w:pPr>
              <w:spacing w:after="0" w:line="240" w:lineRule="auto"/>
            </w:pPr>
            <w:r>
              <w:rPr>
                <w:rFonts w:ascii="Aptos" w:hAnsi="Aptos" w:eastAsia="Aptos"/>
                <w:sz w:val="10"/>
              </w:rPr>
              <w:t>Ready-to-code sign-off</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A</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R</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R</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R</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R</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R</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I</w:t>
            </w:r>
          </w:p>
        </w:tc>
      </w:tr>
      <w:tr>
        <w:trPr>
          <w:cantSplit/>
        </w:trPr>
        <w:tc>
          <w:tcPr>
            <w:tcW w:type="dxa" w:w="1332"/>
            <w:vAlign w:val="top"/>
            <w:tcMar>
              <w:top w:w="35" w:type="dxa"/>
              <w:start w:w="42" w:type="dxa"/>
              <w:bottom w:w="35" w:type="dxa"/>
              <w:end w:w="42" w:type="dxa"/>
            </w:tcMar>
          </w:tcPr>
          <w:p>
            <w:pPr>
              <w:spacing w:after="0" w:line="240" w:lineRule="auto"/>
            </w:pPr>
            <w:r>
              <w:rPr>
                <w:rFonts w:ascii="Aptos" w:hAnsi="Aptos" w:eastAsia="Aptos"/>
                <w:sz w:val="10"/>
              </w:rPr>
              <w:t>Exception/waiver approval</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A</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R</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1332"/>
            <w:vAlign w:val="top"/>
            <w:tcMar>
              <w:top w:w="35" w:type="dxa"/>
              <w:start w:w="42" w:type="dxa"/>
              <w:bottom w:w="35" w:type="dxa"/>
              <w:end w:w="42" w:type="dxa"/>
            </w:tcMar>
          </w:tcPr>
          <w:p>
            <w:pPr>
              <w:spacing w:after="0" w:line="240" w:lineRule="auto"/>
            </w:pPr>
            <w:r>
              <w:rPr>
                <w:rFonts w:ascii="Aptos" w:hAnsi="Aptos" w:eastAsia="Aptos"/>
                <w:sz w:val="10"/>
              </w:rPr>
              <w:t>I</w:t>
            </w:r>
          </w:p>
        </w:tc>
      </w:tr>
    </w:tbl>
    <w:p/>
    <w:p>
      <w:pPr>
        <w:spacing w:after="60" w:line="245" w:lineRule="auto"/>
      </w:pPr>
      <w:r>
        <w:rPr>
          <w:rFonts w:ascii="Aptos" w:hAnsi="Aptos" w:eastAsia="Aptos"/>
          <w:sz w:val="15"/>
        </w:rPr>
        <w:t>Legend: R = Responsible; A = Accountable; C = Consulted; I = Informed.</w:t>
      </w:r>
    </w:p>
    <w:p>
      <w:pPr>
        <w:pStyle w:val="Heading1"/>
        <w:keepNext/>
        <w:spacing w:before="160" w:after="60"/>
      </w:pPr>
      <w:r>
        <w:t>17. Implementation Roadmap</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Phase</w:t>
            </w:r>
          </w:p>
        </w:tc>
        <w:tc>
          <w:tcPr>
            <w:tcW w:type="dxa" w:w="3552"/>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Target Outcome</w:t>
            </w:r>
          </w:p>
        </w:tc>
        <w:tc>
          <w:tcPr>
            <w:tcW w:type="dxa" w:w="3552"/>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Exit Criteria</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Phase 0 - Package Finalization</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All revised standards and handoff materials are placed in the controlled folder.</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Document versions, owners, and superseded folder confirmed.</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Phase 1 - Environment and Repository Setup</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Clean workstations, devcontainers, repositories, CI, and hooks are ready.</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New developer can clone, build, test, and submit sample PR.</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Phase 2 - Foundation Runtime</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MicroFunction skeleton, database baseline, audit, idempotency, outbox, and error paths are executable.</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Sample transaction produces traceable AVCI evidence and safe error behavior.</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Phase 3 - Security and AI Governance</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SBAC/OPA/Harness/LiteLLM/guardrail stubs and checks are operational.</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Direct provider calls and unauthorized tool actions are blocked.</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Phase 4 - Sprint-0 Readiness Review</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Team demonstrates readiness through dry-run PRs and sample transaction walkthrough.</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Architecture, QA, Security, and DevSecOps sign off.</w:t>
            </w:r>
          </w:p>
        </w:tc>
      </w:tr>
      <w:tr>
        <w:trPr>
          <w:cantSplit/>
        </w:trPr>
        <w:tc>
          <w:tcPr>
            <w:tcW w:type="dxa" w:w="3552"/>
            <w:vAlign w:val="top"/>
            <w:tcMar>
              <w:top w:w="35" w:type="dxa"/>
              <w:start w:w="42" w:type="dxa"/>
              <w:bottom w:w="35" w:type="dxa"/>
              <w:end w:w="42" w:type="dxa"/>
            </w:tcMar>
          </w:tcPr>
          <w:p>
            <w:pPr>
              <w:spacing w:after="0" w:line="240" w:lineRule="auto"/>
            </w:pPr>
            <w:r>
              <w:rPr>
                <w:rFonts w:ascii="Aptos" w:hAnsi="Aptos" w:eastAsia="Aptos"/>
                <w:sz w:val="11"/>
              </w:rPr>
              <w:t>Phase 5 - Controlled Foundation Development</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Foundation tasks proceed under gated PR/MR process.</w:t>
            </w:r>
          </w:p>
        </w:tc>
        <w:tc>
          <w:tcPr>
            <w:tcW w:type="dxa" w:w="3552"/>
            <w:vAlign w:val="top"/>
            <w:tcMar>
              <w:top w:w="35" w:type="dxa"/>
              <w:start w:w="42" w:type="dxa"/>
              <w:bottom w:w="35" w:type="dxa"/>
              <w:end w:w="42" w:type="dxa"/>
            </w:tcMar>
          </w:tcPr>
          <w:p>
            <w:pPr>
              <w:spacing w:after="0" w:line="240" w:lineRule="auto"/>
            </w:pPr>
            <w:r>
              <w:rPr>
                <w:rFonts w:ascii="Aptos" w:hAnsi="Aptos" w:eastAsia="Aptos"/>
                <w:sz w:val="11"/>
              </w:rPr>
              <w:t>No merge without tests, scans, architecture checks, and AVCI/SOLID summary.</w:t>
            </w:r>
          </w:p>
        </w:tc>
      </w:tr>
    </w:tbl>
    <w:p/>
    <w:p>
      <w:pPr>
        <w:pStyle w:val="Heading1"/>
        <w:keepNext/>
        <w:spacing w:before="160" w:after="60"/>
      </w:pPr>
      <w:r>
        <w:t>18. Acceptance Criteria for This Handoff Pack</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5328"/>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Acceptance Criterion</w:t>
            </w:r>
          </w:p>
        </w:tc>
        <w:tc>
          <w:tcPr>
            <w:tcW w:type="dxa" w:w="5328"/>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Pass Requirement</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1"/>
              </w:rPr>
              <w:t>Current baseline is clear</w:t>
            </w:r>
          </w:p>
        </w:tc>
        <w:tc>
          <w:tcPr>
            <w:tcW w:type="dxa" w:w="5328"/>
            <w:vAlign w:val="top"/>
            <w:tcMar>
              <w:top w:w="35" w:type="dxa"/>
              <w:start w:w="42" w:type="dxa"/>
              <w:bottom w:w="35" w:type="dxa"/>
              <w:end w:w="42" w:type="dxa"/>
            </w:tcMar>
          </w:tcPr>
          <w:p>
            <w:pPr>
              <w:spacing w:after="0" w:line="240" w:lineRule="auto"/>
            </w:pPr>
            <w:r>
              <w:rPr>
                <w:rFonts w:ascii="Aptos" w:hAnsi="Aptos" w:eastAsia="Aptos"/>
                <w:sz w:val="11"/>
              </w:rPr>
              <w:t>Developers can identify authoritative current documents and superseded versions are quarantined.</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1"/>
              </w:rPr>
              <w:t>01A is operationalized</w:t>
            </w:r>
          </w:p>
        </w:tc>
        <w:tc>
          <w:tcPr>
            <w:tcW w:type="dxa" w:w="5328"/>
            <w:vAlign w:val="top"/>
            <w:tcMar>
              <w:top w:w="35" w:type="dxa"/>
              <w:start w:w="42" w:type="dxa"/>
              <w:bottom w:w="35" w:type="dxa"/>
              <w:end w:w="42" w:type="dxa"/>
            </w:tcMar>
          </w:tcPr>
          <w:p>
            <w:pPr>
              <w:spacing w:after="0" w:line="240" w:lineRule="auto"/>
            </w:pPr>
            <w:r>
              <w:rPr>
                <w:rFonts w:ascii="Aptos" w:hAnsi="Aptos" w:eastAsia="Aptos"/>
                <w:sz w:val="11"/>
              </w:rPr>
              <w:t>The 20 principles appear in onboarding, PR/MR evidence, CI checks, and review gates.</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1"/>
              </w:rPr>
              <w:t>Ready-to-code gate is enforceable</w:t>
            </w:r>
          </w:p>
        </w:tc>
        <w:tc>
          <w:tcPr>
            <w:tcW w:type="dxa" w:w="5328"/>
            <w:vAlign w:val="top"/>
            <w:tcMar>
              <w:top w:w="35" w:type="dxa"/>
              <w:start w:w="42" w:type="dxa"/>
              <w:bottom w:w="35" w:type="dxa"/>
              <w:end w:w="42" w:type="dxa"/>
            </w:tcMar>
          </w:tcPr>
          <w:p>
            <w:pPr>
              <w:spacing w:after="0" w:line="240" w:lineRule="auto"/>
            </w:pPr>
            <w:r>
              <w:rPr>
                <w:rFonts w:ascii="Aptos" w:hAnsi="Aptos" w:eastAsia="Aptos"/>
                <w:sz w:val="11"/>
              </w:rPr>
              <w:t>Every gate has owner, evidence, and status.</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1"/>
              </w:rPr>
              <w:t>Sprint-0 is bounded</w:t>
            </w:r>
          </w:p>
        </w:tc>
        <w:tc>
          <w:tcPr>
            <w:tcW w:type="dxa" w:w="5328"/>
            <w:vAlign w:val="top"/>
            <w:tcMar>
              <w:top w:w="35" w:type="dxa"/>
              <w:start w:w="42" w:type="dxa"/>
              <w:bottom w:w="35" w:type="dxa"/>
              <w:end w:w="42" w:type="dxa"/>
            </w:tcMar>
          </w:tcPr>
          <w:p>
            <w:pPr>
              <w:spacing w:after="0" w:line="240" w:lineRule="auto"/>
            </w:pPr>
            <w:r>
              <w:rPr>
                <w:rFonts w:ascii="Aptos" w:hAnsi="Aptos" w:eastAsia="Aptos"/>
                <w:sz w:val="11"/>
              </w:rPr>
              <w:t>Backlog proves foundation controls before business features.</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1"/>
              </w:rPr>
              <w:t>AI use is governed</w:t>
            </w:r>
          </w:p>
        </w:tc>
        <w:tc>
          <w:tcPr>
            <w:tcW w:type="dxa" w:w="5328"/>
            <w:vAlign w:val="top"/>
            <w:tcMar>
              <w:top w:w="35" w:type="dxa"/>
              <w:start w:w="42" w:type="dxa"/>
              <w:bottom w:w="35" w:type="dxa"/>
              <w:end w:w="42" w:type="dxa"/>
            </w:tcMar>
          </w:tcPr>
          <w:p>
            <w:pPr>
              <w:spacing w:after="0" w:line="240" w:lineRule="auto"/>
            </w:pPr>
            <w:r>
              <w:rPr>
                <w:rFonts w:ascii="Aptos" w:hAnsi="Aptos" w:eastAsia="Aptos"/>
                <w:sz w:val="11"/>
              </w:rPr>
              <w:t>Named-seat, classification-aware, Harness/SBAC/OPA-controlled use is enforced.</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1"/>
              </w:rPr>
              <w:t>MicroFunction rules are understood</w:t>
            </w:r>
          </w:p>
        </w:tc>
        <w:tc>
          <w:tcPr>
            <w:tcW w:type="dxa" w:w="5328"/>
            <w:vAlign w:val="top"/>
            <w:tcMar>
              <w:top w:w="35" w:type="dxa"/>
              <w:start w:w="42" w:type="dxa"/>
              <w:bottom w:w="35" w:type="dxa"/>
              <w:end w:w="42" w:type="dxa"/>
            </w:tcMar>
          </w:tcPr>
          <w:p>
            <w:pPr>
              <w:spacing w:after="0" w:line="240" w:lineRule="auto"/>
            </w:pPr>
            <w:r>
              <w:rPr>
                <w:rFonts w:ascii="Aptos" w:hAnsi="Aptos" w:eastAsia="Aptos"/>
                <w:sz w:val="11"/>
              </w:rPr>
              <w:t>Developers know what not to code and where business logic belongs.</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1"/>
              </w:rPr>
              <w:t>Testing is mandatory</w:t>
            </w:r>
          </w:p>
        </w:tc>
        <w:tc>
          <w:tcPr>
            <w:tcW w:type="dxa" w:w="5328"/>
            <w:vAlign w:val="top"/>
            <w:tcMar>
              <w:top w:w="35" w:type="dxa"/>
              <w:start w:w="42" w:type="dxa"/>
              <w:bottom w:w="35" w:type="dxa"/>
              <w:end w:w="42" w:type="dxa"/>
            </w:tcMar>
          </w:tcPr>
          <w:p>
            <w:pPr>
              <w:spacing w:after="0" w:line="240" w:lineRule="auto"/>
            </w:pPr>
            <w:r>
              <w:rPr>
                <w:rFonts w:ascii="Aptos" w:hAnsi="Aptos" w:eastAsia="Aptos"/>
                <w:sz w:val="11"/>
              </w:rPr>
              <w:t>TDD, architecture fitness, deterministic tests, and security tests are available.</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1"/>
              </w:rPr>
              <w:t>AVCI evidence is repeatable</w:t>
            </w:r>
          </w:p>
        </w:tc>
        <w:tc>
          <w:tcPr>
            <w:tcW w:type="dxa" w:w="5328"/>
            <w:vAlign w:val="top"/>
            <w:tcMar>
              <w:top w:w="35" w:type="dxa"/>
              <w:start w:w="42" w:type="dxa"/>
              <w:bottom w:w="35" w:type="dxa"/>
              <w:end w:w="42" w:type="dxa"/>
            </w:tcMar>
          </w:tcPr>
          <w:p>
            <w:pPr>
              <w:spacing w:after="0" w:line="240" w:lineRule="auto"/>
            </w:pPr>
            <w:r>
              <w:rPr>
                <w:rFonts w:ascii="Aptos" w:hAnsi="Aptos" w:eastAsia="Aptos"/>
                <w:sz w:val="11"/>
              </w:rPr>
              <w:t>Every PR/MR can produce the same evidence categories without manual reinvention.</w:t>
            </w:r>
          </w:p>
        </w:tc>
      </w:tr>
    </w:tbl>
    <w:p/>
    <w:p>
      <w:pPr>
        <w:pStyle w:val="Heading1"/>
        <w:keepNext/>
        <w:spacing w:before="160" w:after="60"/>
      </w:pPr>
      <w:r>
        <w:t>19. AVCI Compliance Summary</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5328"/>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AVCI Property</w:t>
            </w:r>
          </w:p>
        </w:tc>
        <w:tc>
          <w:tcPr>
            <w:tcW w:type="dxa" w:w="5328"/>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How This Document Satisfies It</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1"/>
              </w:rPr>
              <w:t>Attributable</w:t>
            </w:r>
          </w:p>
        </w:tc>
        <w:tc>
          <w:tcPr>
            <w:tcW w:type="dxa" w:w="5328"/>
            <w:vAlign w:val="top"/>
            <w:tcMar>
              <w:top w:w="35" w:type="dxa"/>
              <w:start w:w="42" w:type="dxa"/>
              <w:bottom w:w="35" w:type="dxa"/>
              <w:end w:w="42" w:type="dxa"/>
            </w:tcMar>
          </w:tcPr>
          <w:p>
            <w:pPr>
              <w:spacing w:after="0" w:line="240" w:lineRule="auto"/>
            </w:pPr>
            <w:r>
              <w:rPr>
                <w:rFonts w:ascii="Aptos" w:hAnsi="Aptos" w:eastAsia="Aptos"/>
                <w:sz w:val="11"/>
              </w:rPr>
              <w:t>Owned by the Solutions Architect / IT Head with co-ownership by development, QA, DevSecOps, security, and DBA leads. It supersedes v1.0 and references ADR-AIRA-2026-001 and 01A.</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1"/>
              </w:rPr>
              <w:t>Verifiable</w:t>
            </w:r>
          </w:p>
        </w:tc>
        <w:tc>
          <w:tcPr>
            <w:tcW w:type="dxa" w:w="5328"/>
            <w:vAlign w:val="top"/>
            <w:tcMar>
              <w:top w:w="35" w:type="dxa"/>
              <w:start w:w="42" w:type="dxa"/>
              <w:bottom w:w="35" w:type="dxa"/>
              <w:end w:w="42" w:type="dxa"/>
            </w:tcMar>
          </w:tcPr>
          <w:p>
            <w:pPr>
              <w:spacing w:after="0" w:line="240" w:lineRule="auto"/>
            </w:pPr>
            <w:r>
              <w:rPr>
                <w:rFonts w:ascii="Aptos" w:hAnsi="Aptos" w:eastAsia="Aptos"/>
                <w:sz w:val="11"/>
              </w:rPr>
              <w:t>Defines ready-to-code gates, onboarding steps, repository controls, Sprint-0 deliverables, PR/MR evidence, and acceptance criteria that can be checked by reviewers and audit.</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1"/>
              </w:rPr>
              <w:t>Classifiable</w:t>
            </w:r>
          </w:p>
        </w:tc>
        <w:tc>
          <w:tcPr>
            <w:tcW w:type="dxa" w:w="5328"/>
            <w:vAlign w:val="top"/>
            <w:tcMar>
              <w:top w:w="35" w:type="dxa"/>
              <w:start w:w="42" w:type="dxa"/>
              <w:bottom w:w="35" w:type="dxa"/>
              <w:end w:w="42" w:type="dxa"/>
            </w:tcMar>
          </w:tcPr>
          <w:p>
            <w:pPr>
              <w:spacing w:after="0" w:line="240" w:lineRule="auto"/>
            </w:pPr>
            <w:r>
              <w:rPr>
                <w:rFonts w:ascii="Aptos" w:hAnsi="Aptos" w:eastAsia="Aptos"/>
                <w:sz w:val="11"/>
              </w:rPr>
              <w:t>Classified CONFIDENTIAL - Internal Use Only. Applies to internal AIRA engineering governance and developer handoff materials.</w:t>
            </w:r>
          </w:p>
        </w:tc>
      </w:tr>
      <w:tr>
        <w:trPr>
          <w:cantSplit/>
        </w:trPr>
        <w:tc>
          <w:tcPr>
            <w:tcW w:type="dxa" w:w="5328"/>
            <w:vAlign w:val="top"/>
            <w:tcMar>
              <w:top w:w="35" w:type="dxa"/>
              <w:start w:w="42" w:type="dxa"/>
              <w:bottom w:w="35" w:type="dxa"/>
              <w:end w:w="42" w:type="dxa"/>
            </w:tcMar>
          </w:tcPr>
          <w:p>
            <w:pPr>
              <w:spacing w:after="0" w:line="240" w:lineRule="auto"/>
            </w:pPr>
            <w:r>
              <w:rPr>
                <w:rFonts w:ascii="Aptos" w:hAnsi="Aptos" w:eastAsia="Aptos"/>
                <w:sz w:val="11"/>
              </w:rPr>
              <w:t>Improvable</w:t>
            </w:r>
          </w:p>
        </w:tc>
        <w:tc>
          <w:tcPr>
            <w:tcW w:type="dxa" w:w="5328"/>
            <w:vAlign w:val="top"/>
            <w:tcMar>
              <w:top w:w="35" w:type="dxa"/>
              <w:start w:w="42" w:type="dxa"/>
              <w:bottom w:w="35" w:type="dxa"/>
              <w:end w:w="42" w:type="dxa"/>
            </w:tcMar>
          </w:tcPr>
          <w:p>
            <w:pPr>
              <w:spacing w:after="0" w:line="240" w:lineRule="auto"/>
            </w:pPr>
            <w:r>
              <w:rPr>
                <w:rFonts w:ascii="Aptos" w:hAnsi="Aptos" w:eastAsia="Aptos"/>
                <w:sz w:val="11"/>
              </w:rPr>
              <w:t>Improves through quarterly review, Sprint-0 lessons learned, onboarding feedback, CI gate results, architecture drift findings, and Auto-Learn proposals after human approval.</w:t>
            </w:r>
          </w:p>
        </w:tc>
      </w:tr>
    </w:tbl>
    <w:p/>
    <w:p>
      <w:pPr>
        <w:pStyle w:val="Heading1"/>
        <w:keepNext/>
        <w:spacing w:before="160" w:after="60"/>
      </w:pPr>
      <w:r>
        <w:t>Appendix A. Copy-Ready PR/MR AVCI + SOLID Summary</w:t>
      </w:r>
    </w:p>
    <w:tbl>
      <w:tblPr>
        <w:tblStyle w:val="TableGrid"/>
        <w:tblW w:type="auto" w:w="0"/>
        <w:tblLook w:firstColumn="1" w:firstRow="1" w:lastColumn="0" w:lastRow="0" w:noHBand="0" w:noVBand="1" w:val="04A0"/>
      </w:tblPr>
      <w:tblGrid>
        <w:gridCol w:w="10656"/>
      </w:tblGrid>
      <w:tr>
        <w:tc>
          <w:tcPr>
            <w:tcW w:type="dxa" w:w="10656"/>
            <w:shd w:fill="F4F6F7"/>
            <w:tcMar>
              <w:top w:w="80" w:type="dxa"/>
              <w:start w:w="100" w:type="dxa"/>
              <w:bottom w:w="80" w:type="dxa"/>
              <w:end w:w="100" w:type="dxa"/>
            </w:tcMar>
          </w:tcPr>
          <w:p>
            <w:pPr>
              <w:spacing w:line="240" w:lineRule="auto"/>
            </w:pPr>
            <w:r>
              <w:rPr>
                <w:rFonts w:ascii="Consolas" w:hAnsi="Consolas" w:eastAsia="Consolas"/>
                <w:sz w:val="12"/>
              </w:rPr>
              <w:t>## AVCI + Enterprise Design Principles Summary</w:t>
              <w:br/>
              <w:t>A - Attributable:</w:t>
              <w:br/>
              <w:t>- Ticket / Epic:</w:t>
              <w:br/>
              <w:t>- Owner:</w:t>
              <w:br/>
              <w:t>- Reviewer / Checker:</w:t>
              <w:br/>
              <w:t>- ADR / TDL reference:</w:t>
              <w:br/>
              <w:t>- AI tool used, if any:</w:t>
              <w:br/>
              <w:br/>
              <w:t>V - Verifiable:</w:t>
              <w:br/>
              <w:t>- Tests written first:</w:t>
              <w:br/>
              <w:t>- Unit/component/contract/architecture tests:</w:t>
              <w:br/>
              <w:t>- Security/secret/SCA/SAST checks:</w:t>
              <w:br/>
              <w:t>- CI evidence link:</w:t>
              <w:br/>
              <w:br/>
              <w:t>C - Classifiable:</w:t>
              <w:br/>
              <w:t>- Data classification:</w:t>
              <w:br/>
              <w:t>- Bounded context:</w:t>
              <w:br/>
              <w:t>- Model/prompt/log/cache eligibility:</w:t>
              <w:br/>
              <w:t>- PII/secrets impact:</w:t>
              <w:br/>
              <w:br/>
              <w:t>I - Improvable:</w:t>
              <w:br/>
              <w:t>- Known limitations:</w:t>
              <w:br/>
              <w:t>- Follow-up backlog:</w:t>
              <w:br/>
              <w:t>- Metrics/evidence to monitor:</w:t>
              <w:br/>
              <w:br/>
              <w:t>Enterprise Design Principles Impact:</w:t>
              <w:br/>
              <w:t>- SOLID preserved or improved:</w:t>
              <w:br/>
              <w:t>- Clean Architecture / DDD / Ports-and-Adapters preserved:</w:t>
              <w:br/>
              <w:t>- Idempotency / determinism / resilience considered:</w:t>
              <w:br/>
              <w:t>- Observability and audit evidence added or preserved:</w:t>
              <w:br/>
              <w:t>- Reversibility / rollbackability path:</w:t>
              <w:br/>
              <w:t>- Auto-Heal / Auto-Learn / Auto-Improve impact:</w:t>
            </w:r>
          </w:p>
        </w:tc>
      </w:tr>
    </w:tbl>
    <w:p>
      <w:pPr>
        <w:pStyle w:val="Heading1"/>
        <w:keepNext/>
        <w:spacing w:before="160" w:after="60"/>
      </w:pPr>
      <w:r>
        <w:t>Appendix B. Developer Acknowledgement Statement</w:t>
      </w:r>
    </w:p>
    <w:p>
      <w:pPr>
        <w:spacing w:after="60" w:line="245" w:lineRule="auto"/>
      </w:pPr>
      <w:r>
        <w:rPr>
          <w:rFonts w:ascii="Aptos" w:hAnsi="Aptos" w:eastAsia="Aptos"/>
          <w:sz w:val="17"/>
        </w:rPr>
        <w:t>I acknowledge that I have received the current AIRA development handoff package and understand that AIRA engineering work must preserve or improve SOLID compliance, Clean Architecture boundaries, DDD bounded contexts, ports-and-adapters separation, testability, security posture, observability, reversibility, and AVCI evidence. I will not use unapproved AI tools, personal accounts, unclassified data, production data, secrets, or direct model/provider/tool paths outside the approved governance model.</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Name</w:t>
            </w:r>
          </w:p>
        </w:tc>
        <w:tc>
          <w:tcPr>
            <w:tcW w:type="dxa" w:w="2664"/>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Role</w:t>
            </w:r>
          </w:p>
        </w:tc>
        <w:tc>
          <w:tcPr>
            <w:tcW w:type="dxa" w:w="2664"/>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Date</w:t>
            </w:r>
          </w:p>
        </w:tc>
        <w:tc>
          <w:tcPr>
            <w:tcW w:type="dxa" w:w="2664"/>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Signature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3"/>
              </w:rPr>
            </w:r>
          </w:p>
        </w:tc>
        <w:tc>
          <w:tcPr>
            <w:tcW w:type="dxa" w:w="2664"/>
            <w:vAlign w:val="top"/>
            <w:tcMar>
              <w:top w:w="35" w:type="dxa"/>
              <w:start w:w="42" w:type="dxa"/>
              <w:bottom w:w="35" w:type="dxa"/>
              <w:end w:w="42" w:type="dxa"/>
            </w:tcMar>
          </w:tcPr>
          <w:p>
            <w:pPr>
              <w:spacing w:after="0" w:line="240" w:lineRule="auto"/>
            </w:pPr>
            <w:r>
              <w:rPr>
                <w:rFonts w:ascii="Aptos" w:hAnsi="Aptos" w:eastAsia="Aptos"/>
                <w:sz w:val="13"/>
              </w:rPr>
            </w:r>
          </w:p>
        </w:tc>
        <w:tc>
          <w:tcPr>
            <w:tcW w:type="dxa" w:w="2664"/>
            <w:vAlign w:val="top"/>
            <w:tcMar>
              <w:top w:w="35" w:type="dxa"/>
              <w:start w:w="42" w:type="dxa"/>
              <w:bottom w:w="35" w:type="dxa"/>
              <w:end w:w="42" w:type="dxa"/>
            </w:tcMar>
          </w:tcPr>
          <w:p>
            <w:pPr>
              <w:spacing w:after="0" w:line="240" w:lineRule="auto"/>
            </w:pPr>
            <w:r>
              <w:rPr>
                <w:rFonts w:ascii="Aptos" w:hAnsi="Aptos" w:eastAsia="Aptos"/>
                <w:sz w:val="13"/>
              </w:rPr>
            </w:r>
          </w:p>
        </w:tc>
        <w:tc>
          <w:tcPr>
            <w:tcW w:type="dxa" w:w="2664"/>
            <w:vAlign w:val="top"/>
            <w:tcMar>
              <w:top w:w="35" w:type="dxa"/>
              <w:start w:w="42" w:type="dxa"/>
              <w:bottom w:w="35" w:type="dxa"/>
              <w:end w:w="42" w:type="dxa"/>
            </w:tcMar>
          </w:tcPr>
          <w:p>
            <w:pPr>
              <w:spacing w:after="0" w:line="240" w:lineRule="auto"/>
            </w:pPr>
            <w:r>
              <w:rPr>
                <w:rFonts w:ascii="Aptos" w:hAnsi="Aptos" w:eastAsia="Aptos"/>
                <w:sz w:val="13"/>
              </w:rPr>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3"/>
              </w:rPr>
            </w:r>
          </w:p>
        </w:tc>
        <w:tc>
          <w:tcPr>
            <w:tcW w:type="dxa" w:w="2664"/>
            <w:vAlign w:val="top"/>
            <w:tcMar>
              <w:top w:w="35" w:type="dxa"/>
              <w:start w:w="42" w:type="dxa"/>
              <w:bottom w:w="35" w:type="dxa"/>
              <w:end w:w="42" w:type="dxa"/>
            </w:tcMar>
          </w:tcPr>
          <w:p>
            <w:pPr>
              <w:spacing w:after="0" w:line="240" w:lineRule="auto"/>
            </w:pPr>
            <w:r>
              <w:rPr>
                <w:rFonts w:ascii="Aptos" w:hAnsi="Aptos" w:eastAsia="Aptos"/>
                <w:sz w:val="13"/>
              </w:rPr>
            </w:r>
          </w:p>
        </w:tc>
        <w:tc>
          <w:tcPr>
            <w:tcW w:type="dxa" w:w="2664"/>
            <w:vAlign w:val="top"/>
            <w:tcMar>
              <w:top w:w="35" w:type="dxa"/>
              <w:start w:w="42" w:type="dxa"/>
              <w:bottom w:w="35" w:type="dxa"/>
              <w:end w:w="42" w:type="dxa"/>
            </w:tcMar>
          </w:tcPr>
          <w:p>
            <w:pPr>
              <w:spacing w:after="0" w:line="240" w:lineRule="auto"/>
            </w:pPr>
            <w:r>
              <w:rPr>
                <w:rFonts w:ascii="Aptos" w:hAnsi="Aptos" w:eastAsia="Aptos"/>
                <w:sz w:val="13"/>
              </w:rPr>
            </w:r>
          </w:p>
        </w:tc>
        <w:tc>
          <w:tcPr>
            <w:tcW w:type="dxa" w:w="2664"/>
            <w:vAlign w:val="top"/>
            <w:tcMar>
              <w:top w:w="35" w:type="dxa"/>
              <w:start w:w="42" w:type="dxa"/>
              <w:bottom w:w="35" w:type="dxa"/>
              <w:end w:w="42" w:type="dxa"/>
            </w:tcMar>
          </w:tcPr>
          <w:p>
            <w:pPr>
              <w:spacing w:after="0" w:line="240" w:lineRule="auto"/>
            </w:pPr>
            <w:r>
              <w:rPr>
                <w:rFonts w:ascii="Aptos" w:hAnsi="Aptos" w:eastAsia="Aptos"/>
                <w:sz w:val="13"/>
              </w:rPr>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3"/>
              </w:rPr>
            </w:r>
          </w:p>
        </w:tc>
        <w:tc>
          <w:tcPr>
            <w:tcW w:type="dxa" w:w="2664"/>
            <w:vAlign w:val="top"/>
            <w:tcMar>
              <w:top w:w="35" w:type="dxa"/>
              <w:start w:w="42" w:type="dxa"/>
              <w:bottom w:w="35" w:type="dxa"/>
              <w:end w:w="42" w:type="dxa"/>
            </w:tcMar>
          </w:tcPr>
          <w:p>
            <w:pPr>
              <w:spacing w:after="0" w:line="240" w:lineRule="auto"/>
            </w:pPr>
            <w:r>
              <w:rPr>
                <w:rFonts w:ascii="Aptos" w:hAnsi="Aptos" w:eastAsia="Aptos"/>
                <w:sz w:val="13"/>
              </w:rPr>
            </w:r>
          </w:p>
        </w:tc>
        <w:tc>
          <w:tcPr>
            <w:tcW w:type="dxa" w:w="2664"/>
            <w:vAlign w:val="top"/>
            <w:tcMar>
              <w:top w:w="35" w:type="dxa"/>
              <w:start w:w="42" w:type="dxa"/>
              <w:bottom w:w="35" w:type="dxa"/>
              <w:end w:w="42" w:type="dxa"/>
            </w:tcMar>
          </w:tcPr>
          <w:p>
            <w:pPr>
              <w:spacing w:after="0" w:line="240" w:lineRule="auto"/>
            </w:pPr>
            <w:r>
              <w:rPr>
                <w:rFonts w:ascii="Aptos" w:hAnsi="Aptos" w:eastAsia="Aptos"/>
                <w:sz w:val="13"/>
              </w:rPr>
            </w:r>
          </w:p>
        </w:tc>
        <w:tc>
          <w:tcPr>
            <w:tcW w:type="dxa" w:w="2664"/>
            <w:vAlign w:val="top"/>
            <w:tcMar>
              <w:top w:w="35" w:type="dxa"/>
              <w:start w:w="42" w:type="dxa"/>
              <w:bottom w:w="35" w:type="dxa"/>
              <w:end w:w="42" w:type="dxa"/>
            </w:tcMar>
          </w:tcPr>
          <w:p>
            <w:pPr>
              <w:spacing w:after="0" w:line="240" w:lineRule="auto"/>
            </w:pPr>
            <w:r>
              <w:rPr>
                <w:rFonts w:ascii="Aptos" w:hAnsi="Aptos" w:eastAsia="Aptos"/>
                <w:sz w:val="13"/>
              </w:rPr>
            </w:r>
          </w:p>
        </w:tc>
      </w:tr>
    </w:tbl>
    <w:p/>
    <w:sectPr w:rsidR="00FC693F" w:rsidRPr="0006063C" w:rsidSect="00034616">
      <w:headerReference w:type="default" r:id="rId9"/>
      <w:footerReference w:type="default" r:id="rId10"/>
      <w:pgSz w:w="12240" w:h="15840"/>
      <w:pgMar w:top="792" w:right="792" w:bottom="792"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color w:val="666666"/>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eastAsia="Aptos"/>
        <w:b/>
        <w:color w:val="666666"/>
        <w:sz w:val="15"/>
      </w:rPr>
      <w:t>AIRA Development Readiness and Developer Handoff Pack v2.0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0386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AIRA Development Readiness and Developer Handoff Pack v2.0</dc:title>
  <dc:subject>Ready-to-Code Gate, Developer Onboarding, SOLID/AVCI Enforcement, Sprint-0 Handoff</dc:subject>
  <dc:creator>Solutions Architecture Office</dc:creator>
  <cp:keywords/>
  <dc:description>Generated for AIRA documentation revision package.</dc:description>
  <cp:lastModifiedBy/>
  <cp:revision>1</cp:revision>
  <dcterms:created xsi:type="dcterms:W3CDTF">2013-12-23T23:15:00Z</dcterms:created>
  <dcterms:modified xsi:type="dcterms:W3CDTF">2013-12-23T23:15:00Z</dcterms:modified>
  <cp:category/>
</cp:coreProperties>
</file>