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52"/>
        </w:rPr>
        <w:t>AIRA</w:t>
      </w:r>
    </w:p>
    <w:p>
      <w:pPr>
        <w:jc w:val="center"/>
      </w:pPr>
      <w:r>
        <w:rPr>
          <w:rFonts w:ascii="Aptos" w:hAnsi="Aptos"/>
          <w:b/>
          <w:color w:val="666666"/>
          <w:sz w:val="24"/>
        </w:rPr>
        <w:t>AI-Native Enterprise Platform</w:t>
      </w:r>
    </w:p>
    <w:p>
      <w:pPr>
        <w:spacing w:before="40" w:after="160"/>
        <w:pBdr>
          <w:bottom w:val="single" w:sz="10" w:space="1" w:color="1F4E79"/>
        </w:pBdr>
      </w:pPr>
    </w:p>
    <w:p>
      <w:pPr>
        <w:pStyle w:val="Title"/>
        <w:jc w:val="center"/>
      </w:pPr>
      <w:r>
        <w:t>AVCI Engineering Standard</w:t>
      </w:r>
    </w:p>
    <w:p>
      <w:pPr>
        <w:jc w:val="center"/>
      </w:pPr>
      <w:r>
        <w:rPr>
          <w:rFonts w:ascii="Aptos" w:hAnsi="Aptos"/>
          <w:b/>
          <w:color w:val="2F5597"/>
          <w:sz w:val="26"/>
        </w:rPr>
        <w:t>Attributable · Verifiable · Classifiable · Improvable</w:t>
      </w:r>
    </w:p>
    <w:p>
      <w:pPr>
        <w:jc w:val="center"/>
      </w:pPr>
      <w:r>
        <w:rPr>
          <w:rFonts w:ascii="Aptos" w:hAnsi="Aptos"/>
          <w:b/>
          <w:color w:val="1F4E79"/>
          <w:sz w:val="23"/>
        </w:rPr>
        <w:t>Universal Quality Standard with Enterprise Design Principles &amp; SOLID Enforcement Layer</w:t>
      </w:r>
    </w:p>
    <w:tbl>
      <w:tblPr>
        <w:tblStyle w:val="TableGrid"/>
        <w:tblW w:type="auto" w:w="0"/>
        <w:jc w:val="center"/>
        <w:tblLook w:firstColumn="1" w:firstRow="1" w:lastColumn="0" w:lastRow="0" w:noHBand="0" w:noVBand="1" w:val="04A0"/>
      </w:tblPr>
      <w:tblGrid>
        <w:gridCol w:w="10368"/>
      </w:tblGrid>
      <w:tr>
        <w:tc>
          <w:tcPr>
            <w:tcW w:type="dxa" w:w="10368"/>
            <w:shd w:fill="D9EAF7"/>
            <w:tcMar>
              <w:top w:w="145" w:type="dxa"/>
              <w:start w:w="160" w:type="dxa"/>
              <w:bottom w:w="145" w:type="dxa"/>
              <w:end w:w="160" w:type="dxa"/>
            </w:tcMar>
          </w:tcPr>
          <w:p>
            <w:pPr>
              <w:spacing w:after="60"/>
            </w:pPr>
            <w:r>
              <w:rPr>
                <w:rFonts w:ascii="Aptos" w:hAnsi="Aptos"/>
                <w:b/>
                <w:color w:val="1F4E79"/>
                <w:sz w:val="19"/>
              </w:rPr>
              <w:t>Mandatory Practice Statement</w:t>
            </w:r>
          </w:p>
          <w:p>
            <w:pPr>
              <w:spacing w:after="0"/>
            </w:pPr>
            <w:r>
              <w:rPr>
                <w:rFonts w:ascii="Aptos" w:hAnsi="Aptos"/>
                <w:sz w:val="17"/>
              </w:rPr>
              <w:t>Nothing that influences AIRA system behaviour, customer outcomes, business decisions, security posture, or AI outputs may be treated as production-ready unless it satisfies AVCI and the Enterprise Design Principles &amp; SOLID Enforcement Layer. AVCI is not documentation style; it is the engineering control plane for trust, architecture discipline, safety, and continuous improvement.</w:t>
            </w:r>
          </w:p>
        </w:tc>
      </w:tr>
    </w:tbl>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shd w:fill="1F4E79"/>
            <w:tcMar>
              <w:top w:w="60" w:type="dxa"/>
              <w:start w:w="60" w:type="dxa"/>
              <w:bottom w:w="60" w:type="dxa"/>
              <w:end w:w="60" w:type="dxa"/>
            </w:tcMar>
          </w:tcPr>
          <w:p>
            <w:pPr>
              <w:spacing w:after="0"/>
              <w:jc w:val="center"/>
            </w:pPr>
            <w:r>
              <w:rPr>
                <w:rFonts w:ascii="Aptos" w:hAnsi="Aptos"/>
                <w:b/>
                <w:color w:val="FFFFFF"/>
                <w:sz w:val="16"/>
              </w:rPr>
              <w:t>Property</w:t>
            </w:r>
          </w:p>
        </w:tc>
        <w:tc>
          <w:tcPr>
            <w:tcW w:type="dxa" w:w="7632"/>
            <w:shd w:fill="1F4E79"/>
            <w:tcMar>
              <w:top w:w="60" w:type="dxa"/>
              <w:start w:w="60" w:type="dxa"/>
              <w:bottom w:w="60" w:type="dxa"/>
              <w:end w:w="60" w:type="dxa"/>
            </w:tcMar>
          </w:tcPr>
          <w:p>
            <w:pPr>
              <w:spacing w:after="0"/>
              <w:jc w:val="center"/>
            </w:pPr>
            <w:r>
              <w:rPr>
                <w:rFonts w:ascii="Aptos" w:hAnsi="Aptos"/>
                <w:b/>
                <w:color w:val="FFFFFF"/>
                <w:sz w:val="16"/>
              </w:rPr>
              <w:t>Value</w:t>
            </w:r>
          </w:p>
        </w:tc>
      </w:tr>
      <w:tr>
        <w:trPr>
          <w:cantSplit/>
        </w:trPr>
        <w:tc>
          <w:tcPr>
            <w:tcW w:type="dxa" w:w="2880"/>
            <w:vAlign w:val="top"/>
            <w:tcMar>
              <w:top w:w="50" w:type="dxa"/>
              <w:start w:w="60" w:type="dxa"/>
              <w:bottom w:w="50" w:type="dxa"/>
              <w:end w:w="60" w:type="dxa"/>
            </w:tcMar>
          </w:tcPr>
          <w:p>
            <w:pPr>
              <w:spacing w:after="0"/>
            </w:pPr>
            <w:r>
              <w:rPr>
                <w:rFonts w:ascii="Aptos" w:hAnsi="Aptos"/>
                <w:sz w:val="16"/>
              </w:rPr>
              <w:t>Document Version</w:t>
            </w:r>
          </w:p>
        </w:tc>
        <w:tc>
          <w:tcPr>
            <w:tcW w:type="dxa" w:w="7632"/>
            <w:vAlign w:val="top"/>
            <w:tcMar>
              <w:top w:w="50" w:type="dxa"/>
              <w:start w:w="60" w:type="dxa"/>
              <w:bottom w:w="50" w:type="dxa"/>
              <w:end w:w="60" w:type="dxa"/>
            </w:tcMar>
          </w:tcPr>
          <w:p>
            <w:pPr>
              <w:spacing w:after="0"/>
            </w:pPr>
            <w:r>
              <w:rPr>
                <w:rFonts w:ascii="Aptos" w:hAnsi="Aptos"/>
                <w:sz w:val="16"/>
              </w:rPr>
              <w:t>v3.0 - Enterprise Design Principles and SOLID Enforcement Update</w:t>
            </w:r>
          </w:p>
        </w:tc>
      </w:tr>
      <w:tr>
        <w:trPr>
          <w:cantSplit/>
        </w:trPr>
        <w:tc>
          <w:tcPr>
            <w:tcW w:type="dxa" w:w="2880"/>
            <w:vAlign w:val="top"/>
            <w:tcMar>
              <w:top w:w="50" w:type="dxa"/>
              <w:start w:w="60" w:type="dxa"/>
              <w:bottom w:w="50" w:type="dxa"/>
              <w:end w:w="60" w:type="dxa"/>
            </w:tcMar>
          </w:tcPr>
          <w:p>
            <w:pPr>
              <w:spacing w:after="0"/>
            </w:pPr>
            <w:r>
              <w:rPr>
                <w:rFonts w:ascii="Aptos" w:hAnsi="Aptos"/>
                <w:sz w:val="16"/>
              </w:rPr>
              <w:t>Supersedes</w:t>
            </w:r>
          </w:p>
        </w:tc>
        <w:tc>
          <w:tcPr>
            <w:tcW w:type="dxa" w:w="7632"/>
            <w:vAlign w:val="top"/>
            <w:tcMar>
              <w:top w:w="50" w:type="dxa"/>
              <w:start w:w="60" w:type="dxa"/>
              <w:bottom w:w="50" w:type="dxa"/>
              <w:end w:w="60" w:type="dxa"/>
            </w:tcMar>
          </w:tcPr>
          <w:p>
            <w:pPr>
              <w:spacing w:after="0"/>
            </w:pPr>
            <w:r>
              <w:rPr>
                <w:rFonts w:ascii="Aptos" w:hAnsi="Aptos"/>
                <w:sz w:val="16"/>
              </w:rPr>
              <w:t>01-AIRA_AVCI_Engineering_Standard_v2.0</w:t>
            </w:r>
          </w:p>
        </w:tc>
      </w:tr>
      <w:tr>
        <w:trPr>
          <w:cantSplit/>
        </w:trPr>
        <w:tc>
          <w:tcPr>
            <w:tcW w:type="dxa" w:w="2880"/>
            <w:vAlign w:val="top"/>
            <w:tcMar>
              <w:top w:w="50" w:type="dxa"/>
              <w:start w:w="60" w:type="dxa"/>
              <w:bottom w:w="50" w:type="dxa"/>
              <w:end w:w="60" w:type="dxa"/>
            </w:tcMar>
          </w:tcPr>
          <w:p>
            <w:pPr>
              <w:spacing w:after="0"/>
            </w:pPr>
            <w:r>
              <w:rPr>
                <w:rFonts w:ascii="Aptos" w:hAnsi="Aptos"/>
                <w:sz w:val="16"/>
              </w:rPr>
              <w:t>New Canonical Companion</w:t>
            </w:r>
          </w:p>
        </w:tc>
        <w:tc>
          <w:tcPr>
            <w:tcW w:type="dxa" w:w="7632"/>
            <w:vAlign w:val="top"/>
            <w:tcMar>
              <w:top w:w="50" w:type="dxa"/>
              <w:start w:w="60" w:type="dxa"/>
              <w:bottom w:w="50" w:type="dxa"/>
              <w:end w:w="60" w:type="dxa"/>
            </w:tcMar>
          </w:tcPr>
          <w:p>
            <w:pPr>
              <w:spacing w:after="0"/>
            </w:pPr>
            <w:r>
              <w:rPr>
                <w:rFonts w:ascii="Aptos" w:hAnsi="Aptos"/>
                <w:sz w:val="16"/>
              </w:rPr>
              <w:t>01A-AIRA_Enterprise_Design_Principles_and_SOLID_Enforcement_Layer_v1.0</w:t>
            </w:r>
          </w:p>
        </w:tc>
      </w:tr>
      <w:tr>
        <w:trPr>
          <w:cantSplit/>
        </w:trPr>
        <w:tc>
          <w:tcPr>
            <w:tcW w:type="dxa" w:w="2880"/>
            <w:vAlign w:val="top"/>
            <w:tcMar>
              <w:top w:w="50" w:type="dxa"/>
              <w:start w:w="60" w:type="dxa"/>
              <w:bottom w:w="50" w:type="dxa"/>
              <w:end w:w="60" w:type="dxa"/>
            </w:tcMar>
          </w:tcPr>
          <w:p>
            <w:pPr>
              <w:spacing w:after="0"/>
            </w:pPr>
            <w:r>
              <w:rPr>
                <w:rFonts w:ascii="Aptos" w:hAnsi="Aptos"/>
                <w:sz w:val="16"/>
              </w:rPr>
              <w:t>Decision Record</w:t>
            </w:r>
          </w:p>
        </w:tc>
        <w:tc>
          <w:tcPr>
            <w:tcW w:type="dxa" w:w="7632"/>
            <w:vAlign w:val="top"/>
            <w:tcMar>
              <w:top w:w="50" w:type="dxa"/>
              <w:start w:w="60" w:type="dxa"/>
              <w:bottom w:w="50" w:type="dxa"/>
              <w:end w:w="60" w:type="dxa"/>
            </w:tcMar>
          </w:tcPr>
          <w:p>
            <w:pPr>
              <w:spacing w:after="0"/>
            </w:pPr>
            <w:r>
              <w:rPr>
                <w:rFonts w:ascii="Aptos" w:hAnsi="Aptos"/>
                <w:sz w:val="16"/>
              </w:rPr>
              <w:t>ADR-AIRA-2026-001 - Adoption of Enterprise Design Principles and SOLID Enforcement Layer</w:t>
            </w:r>
          </w:p>
        </w:tc>
      </w:tr>
      <w:tr>
        <w:trPr>
          <w:cantSplit/>
        </w:trPr>
        <w:tc>
          <w:tcPr>
            <w:tcW w:type="dxa" w:w="2880"/>
            <w:vAlign w:val="top"/>
            <w:tcMar>
              <w:top w:w="50" w:type="dxa"/>
              <w:start w:w="60" w:type="dxa"/>
              <w:bottom w:w="50" w:type="dxa"/>
              <w:end w:w="60" w:type="dxa"/>
            </w:tcMar>
          </w:tcPr>
          <w:p>
            <w:pPr>
              <w:spacing w:after="0"/>
            </w:pPr>
            <w:r>
              <w:rPr>
                <w:rFonts w:ascii="Aptos" w:hAnsi="Aptos"/>
                <w:sz w:val="16"/>
              </w:rPr>
              <w:t>Classification</w:t>
            </w:r>
          </w:p>
        </w:tc>
        <w:tc>
          <w:tcPr>
            <w:tcW w:type="dxa" w:w="7632"/>
            <w:vAlign w:val="top"/>
            <w:tcMar>
              <w:top w:w="50" w:type="dxa"/>
              <w:start w:w="60" w:type="dxa"/>
              <w:bottom w:w="50" w:type="dxa"/>
              <w:end w:w="60" w:type="dxa"/>
            </w:tcMar>
          </w:tcPr>
          <w:p>
            <w:pPr>
              <w:spacing w:after="0"/>
            </w:pPr>
            <w:r>
              <w:rPr>
                <w:rFonts w:ascii="Aptos" w:hAnsi="Aptos"/>
                <w:sz w:val="16"/>
              </w:rPr>
              <w:t>INTERNAL CONFIDENTIAL</w:t>
            </w:r>
          </w:p>
        </w:tc>
      </w:tr>
      <w:tr>
        <w:trPr>
          <w:cantSplit/>
        </w:trPr>
        <w:tc>
          <w:tcPr>
            <w:tcW w:type="dxa" w:w="2880"/>
            <w:vAlign w:val="top"/>
            <w:tcMar>
              <w:top w:w="50" w:type="dxa"/>
              <w:start w:w="60" w:type="dxa"/>
              <w:bottom w:w="50" w:type="dxa"/>
              <w:end w:w="60" w:type="dxa"/>
            </w:tcMar>
          </w:tcPr>
          <w:p>
            <w:pPr>
              <w:spacing w:after="0"/>
            </w:pPr>
            <w:r>
              <w:rPr>
                <w:rFonts w:ascii="Aptos" w:hAnsi="Aptos"/>
                <w:sz w:val="16"/>
              </w:rPr>
              <w:t>Status</w:t>
            </w:r>
          </w:p>
        </w:tc>
        <w:tc>
          <w:tcPr>
            <w:tcW w:type="dxa" w:w="7632"/>
            <w:vAlign w:val="top"/>
            <w:tcMar>
              <w:top w:w="50" w:type="dxa"/>
              <w:start w:w="60" w:type="dxa"/>
              <w:bottom w:w="50" w:type="dxa"/>
              <w:end w:w="60" w:type="dxa"/>
            </w:tcMar>
          </w:tcPr>
          <w:p>
            <w:pPr>
              <w:spacing w:after="0"/>
            </w:pPr>
            <w:r>
              <w:rPr>
                <w:rFonts w:ascii="Aptos" w:hAnsi="Aptos"/>
                <w:sz w:val="16"/>
              </w:rPr>
              <w:t>FOR ARCHITECTURE REVIEW AND DEVELOPMENT BASELINE ADOPTION</w:t>
            </w:r>
          </w:p>
        </w:tc>
      </w:tr>
      <w:tr>
        <w:trPr>
          <w:cantSplit/>
        </w:trPr>
        <w:tc>
          <w:tcPr>
            <w:tcW w:type="dxa" w:w="2880"/>
            <w:vAlign w:val="top"/>
            <w:tcMar>
              <w:top w:w="50" w:type="dxa"/>
              <w:start w:w="60" w:type="dxa"/>
              <w:bottom w:w="50" w:type="dxa"/>
              <w:end w:w="60" w:type="dxa"/>
            </w:tcMar>
          </w:tcPr>
          <w:p>
            <w:pPr>
              <w:spacing w:after="0"/>
            </w:pPr>
            <w:r>
              <w:rPr>
                <w:rFonts w:ascii="Aptos" w:hAnsi="Aptos"/>
                <w:sz w:val="16"/>
              </w:rPr>
              <w:t>Owner</w:t>
            </w:r>
          </w:p>
        </w:tc>
        <w:tc>
          <w:tcPr>
            <w:tcW w:type="dxa" w:w="7632"/>
            <w:vAlign w:val="top"/>
            <w:tcMar>
              <w:top w:w="50" w:type="dxa"/>
              <w:start w:w="60" w:type="dxa"/>
              <w:bottom w:w="50" w:type="dxa"/>
              <w:end w:w="60" w:type="dxa"/>
            </w:tcMar>
          </w:tcPr>
          <w:p>
            <w:pPr>
              <w:spacing w:after="0"/>
            </w:pPr>
            <w:r>
              <w:rPr>
                <w:rFonts w:ascii="Aptos" w:hAnsi="Aptos"/>
                <w:sz w:val="16"/>
              </w:rPr>
              <w:t>Solutions Architecture Office · Senior Solutions Architect / IT Head</w:t>
            </w:r>
          </w:p>
        </w:tc>
      </w:tr>
      <w:tr>
        <w:trPr>
          <w:cantSplit/>
        </w:trPr>
        <w:tc>
          <w:tcPr>
            <w:tcW w:type="dxa" w:w="2880"/>
            <w:vAlign w:val="top"/>
            <w:tcMar>
              <w:top w:w="50" w:type="dxa"/>
              <w:start w:w="60" w:type="dxa"/>
              <w:bottom w:w="50" w:type="dxa"/>
              <w:end w:w="60" w:type="dxa"/>
            </w:tcMar>
          </w:tcPr>
          <w:p>
            <w:pPr>
              <w:spacing w:after="0"/>
            </w:pPr>
            <w:r>
              <w:rPr>
                <w:rFonts w:ascii="Aptos" w:hAnsi="Aptos"/>
                <w:sz w:val="16"/>
              </w:rPr>
              <w:t>Effective Date</w:t>
            </w:r>
          </w:p>
        </w:tc>
        <w:tc>
          <w:tcPr>
            <w:tcW w:type="dxa" w:w="7632"/>
            <w:vAlign w:val="top"/>
            <w:tcMar>
              <w:top w:w="50" w:type="dxa"/>
              <w:start w:w="60" w:type="dxa"/>
              <w:bottom w:w="50" w:type="dxa"/>
              <w:end w:w="60" w:type="dxa"/>
            </w:tcMar>
          </w:tcPr>
          <w:p>
            <w:pPr>
              <w:spacing w:after="0"/>
            </w:pPr>
            <w:r>
              <w:rPr>
                <w:rFonts w:ascii="Aptos" w:hAnsi="Aptos"/>
                <w:sz w:val="16"/>
              </w:rPr>
              <w:t>Upon CAB / Architecture Review Board approval</w:t>
            </w:r>
          </w:p>
        </w:tc>
      </w:tr>
      <w:tr>
        <w:trPr>
          <w:cantSplit/>
        </w:trPr>
        <w:tc>
          <w:tcPr>
            <w:tcW w:type="dxa" w:w="2880"/>
            <w:vAlign w:val="top"/>
            <w:tcMar>
              <w:top w:w="50" w:type="dxa"/>
              <w:start w:w="60" w:type="dxa"/>
              <w:bottom w:w="50" w:type="dxa"/>
              <w:end w:w="60" w:type="dxa"/>
            </w:tcMar>
          </w:tcPr>
          <w:p>
            <w:pPr>
              <w:spacing w:after="0"/>
            </w:pPr>
            <w:r>
              <w:rPr>
                <w:rFonts w:ascii="Aptos" w:hAnsi="Aptos"/>
                <w:sz w:val="16"/>
              </w:rPr>
              <w:t>Review Cadence</w:t>
            </w:r>
          </w:p>
        </w:tc>
        <w:tc>
          <w:tcPr>
            <w:tcW w:type="dxa" w:w="7632"/>
            <w:vAlign w:val="top"/>
            <w:tcMar>
              <w:top w:w="50" w:type="dxa"/>
              <w:start w:w="60" w:type="dxa"/>
              <w:bottom w:w="50" w:type="dxa"/>
              <w:end w:w="60" w:type="dxa"/>
            </w:tcMar>
          </w:tcPr>
          <w:p>
            <w:pPr>
              <w:spacing w:after="0"/>
            </w:pPr>
            <w:r>
              <w:rPr>
                <w:rFonts w:ascii="Aptos" w:hAnsi="Aptos"/>
                <w:sz w:val="16"/>
              </w:rPr>
              <w:t>Quarterly; unscheduled on material technology, security, regulatory, AI-risk, or architecture-principle change</w:t>
            </w:r>
          </w:p>
        </w:tc>
      </w:tr>
    </w:tbl>
    <w:p/>
    <w:p>
      <w:pPr>
        <w:jc w:val="center"/>
      </w:pPr>
      <w:r>
        <w:rPr>
          <w:rFonts w:ascii="Aptos" w:hAnsi="Aptos"/>
          <w:b/>
          <w:color w:val="666666"/>
          <w:sz w:val="21"/>
        </w:rPr>
        <w:t>Version 3.0 · April 2026</w:t>
      </w:r>
    </w:p>
    <w:p>
      <w:pPr>
        <w:jc w:val="center"/>
      </w:pPr>
      <w:r>
        <w:rPr>
          <w:rFonts w:ascii="Aptos" w:hAnsi="Aptos"/>
          <w:b w:val="0"/>
          <w:color w:val="666666"/>
          <w:sz w:val="17"/>
        </w:rPr>
        <w:t>Prepared for Architecture, Development, DevSecOps, Security, QA, Infrastructure, Database, AI Engineering, Compliance, and Internal Audit teams</w:t>
      </w:r>
    </w:p>
    <w:p>
      <w:r>
        <w:br w:type="page"/>
      </w:r>
    </w:p>
    <w:p>
      <w:pPr>
        <w:pStyle w:val="Heading1"/>
        <w:keepNext/>
      </w:pPr>
      <w:r>
        <w:t>Document Control</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736"/>
            <w:shd w:fill="1F4E79"/>
            <w:tcMar>
              <w:top w:w="60" w:type="dxa"/>
              <w:start w:w="60" w:type="dxa"/>
              <w:bottom w:w="60" w:type="dxa"/>
              <w:end w:w="60" w:type="dxa"/>
            </w:tcMar>
          </w:tcPr>
          <w:p>
            <w:pPr>
              <w:spacing w:after="0"/>
              <w:jc w:val="center"/>
            </w:pPr>
            <w:r>
              <w:rPr>
                <w:rFonts w:ascii="Aptos" w:hAnsi="Aptos"/>
                <w:b/>
                <w:color w:val="FFFFFF"/>
                <w:sz w:val="15"/>
              </w:rPr>
              <w:t>Property</w:t>
            </w:r>
          </w:p>
        </w:tc>
        <w:tc>
          <w:tcPr>
            <w:tcW w:type="dxa" w:w="7776"/>
            <w:shd w:fill="1F4E79"/>
            <w:tcMar>
              <w:top w:w="60" w:type="dxa"/>
              <w:start w:w="60" w:type="dxa"/>
              <w:bottom w:w="60" w:type="dxa"/>
              <w:end w:w="60" w:type="dxa"/>
            </w:tcMar>
          </w:tcPr>
          <w:p>
            <w:pPr>
              <w:spacing w:after="0"/>
              <w:jc w:val="center"/>
            </w:pPr>
            <w:r>
              <w:rPr>
                <w:rFonts w:ascii="Aptos" w:hAnsi="Aptos"/>
                <w:b/>
                <w:color w:val="FFFFFF"/>
                <w:sz w:val="15"/>
              </w:rPr>
              <w:t>Value</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Document Title</w:t>
            </w:r>
          </w:p>
        </w:tc>
        <w:tc>
          <w:tcPr>
            <w:tcW w:type="dxa" w:w="7776"/>
            <w:vAlign w:val="top"/>
            <w:tcMar>
              <w:top w:w="50" w:type="dxa"/>
              <w:start w:w="60" w:type="dxa"/>
              <w:bottom w:w="50" w:type="dxa"/>
              <w:end w:w="60" w:type="dxa"/>
            </w:tcMar>
          </w:tcPr>
          <w:p>
            <w:pPr>
              <w:spacing w:after="0"/>
            </w:pPr>
            <w:r>
              <w:rPr>
                <w:rFonts w:ascii="Aptos" w:hAnsi="Aptos"/>
                <w:sz w:val="15"/>
              </w:rPr>
              <w:t>AIRA AVCI Engineering Standard</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Document ID</w:t>
            </w:r>
          </w:p>
        </w:tc>
        <w:tc>
          <w:tcPr>
            <w:tcW w:type="dxa" w:w="7776"/>
            <w:vAlign w:val="top"/>
            <w:tcMar>
              <w:top w:w="50" w:type="dxa"/>
              <w:start w:w="60" w:type="dxa"/>
              <w:bottom w:w="50" w:type="dxa"/>
              <w:end w:w="60" w:type="dxa"/>
            </w:tcMar>
          </w:tcPr>
          <w:p>
            <w:pPr>
              <w:spacing w:after="0"/>
            </w:pPr>
            <w:r>
              <w:rPr>
                <w:rFonts w:ascii="Aptos" w:hAnsi="Aptos"/>
                <w:sz w:val="15"/>
              </w:rPr>
              <w:t>AIRA-DOC-001</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Document Version</w:t>
            </w:r>
          </w:p>
        </w:tc>
        <w:tc>
          <w:tcPr>
            <w:tcW w:type="dxa" w:w="7776"/>
            <w:vAlign w:val="top"/>
            <w:tcMar>
              <w:top w:w="50" w:type="dxa"/>
              <w:start w:w="60" w:type="dxa"/>
              <w:bottom w:w="50" w:type="dxa"/>
              <w:end w:w="60" w:type="dxa"/>
            </w:tcMar>
          </w:tcPr>
          <w:p>
            <w:pPr>
              <w:spacing w:after="0"/>
            </w:pPr>
            <w:r>
              <w:rPr>
                <w:rFonts w:ascii="Aptos" w:hAnsi="Aptos"/>
                <w:sz w:val="15"/>
              </w:rPr>
              <w:t>v3.0</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Classification</w:t>
            </w:r>
          </w:p>
        </w:tc>
        <w:tc>
          <w:tcPr>
            <w:tcW w:type="dxa" w:w="7776"/>
            <w:vAlign w:val="top"/>
            <w:tcMar>
              <w:top w:w="50" w:type="dxa"/>
              <w:start w:w="60" w:type="dxa"/>
              <w:bottom w:w="50" w:type="dxa"/>
              <w:end w:w="60" w:type="dxa"/>
            </w:tcMar>
          </w:tcPr>
          <w:p>
            <w:pPr>
              <w:spacing w:after="0"/>
            </w:pPr>
            <w:r>
              <w:rPr>
                <w:rFonts w:ascii="Aptos" w:hAnsi="Aptos"/>
                <w:sz w:val="15"/>
              </w:rPr>
              <w:t>INTERNAL CONFIDENTIAL</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Status</w:t>
            </w:r>
          </w:p>
        </w:tc>
        <w:tc>
          <w:tcPr>
            <w:tcW w:type="dxa" w:w="7776"/>
            <w:vAlign w:val="top"/>
            <w:tcMar>
              <w:top w:w="50" w:type="dxa"/>
              <w:start w:w="60" w:type="dxa"/>
              <w:bottom w:w="50" w:type="dxa"/>
              <w:end w:w="60" w:type="dxa"/>
            </w:tcMar>
          </w:tcPr>
          <w:p>
            <w:pPr>
              <w:spacing w:after="0"/>
            </w:pPr>
            <w:r>
              <w:rPr>
                <w:rFonts w:ascii="Aptos" w:hAnsi="Aptos"/>
                <w:sz w:val="15"/>
              </w:rPr>
              <w:t>FOR ARCHITECTURE REVIEW AND DEVELOPMENT BASELINE ADOPTION</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Owner</w:t>
            </w:r>
          </w:p>
        </w:tc>
        <w:tc>
          <w:tcPr>
            <w:tcW w:type="dxa" w:w="7776"/>
            <w:vAlign w:val="top"/>
            <w:tcMar>
              <w:top w:w="50" w:type="dxa"/>
              <w:start w:w="60" w:type="dxa"/>
              <w:bottom w:w="50" w:type="dxa"/>
              <w:end w:w="60" w:type="dxa"/>
            </w:tcMar>
          </w:tcPr>
          <w:p>
            <w:pPr>
              <w:spacing w:after="0"/>
            </w:pPr>
            <w:r>
              <w:rPr>
                <w:rFonts w:ascii="Aptos" w:hAnsi="Aptos"/>
                <w:sz w:val="15"/>
              </w:rPr>
              <w:t>Solutions Architecture Office · Senior Solutions Architect / IT Head</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Primary Audience</w:t>
            </w:r>
          </w:p>
        </w:tc>
        <w:tc>
          <w:tcPr>
            <w:tcW w:type="dxa" w:w="7776"/>
            <w:vAlign w:val="top"/>
            <w:tcMar>
              <w:top w:w="50" w:type="dxa"/>
              <w:start w:w="60" w:type="dxa"/>
              <w:bottom w:w="50" w:type="dxa"/>
              <w:end w:w="60" w:type="dxa"/>
            </w:tcMar>
          </w:tcPr>
          <w:p>
            <w:pPr>
              <w:spacing w:after="0"/>
            </w:pPr>
            <w:r>
              <w:rPr>
                <w:rFonts w:ascii="Aptos" w:hAnsi="Aptos"/>
                <w:sz w:val="15"/>
              </w:rPr>
              <w:t>Enterprise Architects, Development Leads, Developers, DevSecOps, QA, Security, Infrastructure, Database, AI Engineering, SRE, Compliance, Internal Audit</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Supersedes</w:t>
            </w:r>
          </w:p>
        </w:tc>
        <w:tc>
          <w:tcPr>
            <w:tcW w:type="dxa" w:w="7776"/>
            <w:vAlign w:val="top"/>
            <w:tcMar>
              <w:top w:w="50" w:type="dxa"/>
              <w:start w:w="60" w:type="dxa"/>
              <w:bottom w:w="50" w:type="dxa"/>
              <w:end w:w="60" w:type="dxa"/>
            </w:tcMar>
          </w:tcPr>
          <w:p>
            <w:pPr>
              <w:spacing w:after="0"/>
            </w:pPr>
            <w:r>
              <w:rPr>
                <w:rFonts w:ascii="Aptos" w:hAnsi="Aptos"/>
                <w:sz w:val="15"/>
              </w:rPr>
              <w:t>AIRA AVCI Engineering Standard v2.0</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Primary Companion</w:t>
            </w:r>
          </w:p>
        </w:tc>
        <w:tc>
          <w:tcPr>
            <w:tcW w:type="dxa" w:w="7776"/>
            <w:vAlign w:val="top"/>
            <w:tcMar>
              <w:top w:w="50" w:type="dxa"/>
              <w:start w:w="60" w:type="dxa"/>
              <w:bottom w:w="50" w:type="dxa"/>
              <w:end w:w="60" w:type="dxa"/>
            </w:tcMar>
          </w:tcPr>
          <w:p>
            <w:pPr>
              <w:spacing w:after="0"/>
            </w:pPr>
            <w:r>
              <w:rPr>
                <w:rFonts w:ascii="Aptos" w:hAnsi="Aptos"/>
                <w:sz w:val="15"/>
              </w:rPr>
              <w:t>01A-AIRA Enterprise Design Principles and SOLID Enforcement Layer v1.0</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Control Matrix</w:t>
            </w:r>
          </w:p>
        </w:tc>
        <w:tc>
          <w:tcPr>
            <w:tcW w:type="dxa" w:w="7776"/>
            <w:vAlign w:val="top"/>
            <w:tcMar>
              <w:top w:w="50" w:type="dxa"/>
              <w:start w:w="60" w:type="dxa"/>
              <w:bottom w:w="50" w:type="dxa"/>
              <w:end w:w="60" w:type="dxa"/>
            </w:tcMar>
          </w:tcPr>
          <w:p>
            <w:pPr>
              <w:spacing w:after="0"/>
            </w:pPr>
            <w:r>
              <w:rPr>
                <w:rFonts w:ascii="Aptos" w:hAnsi="Aptos"/>
                <w:sz w:val="15"/>
              </w:rPr>
              <w:t>AIRA Cross-Document Revision Control Matrix v1.0</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Compliance Scope</w:t>
            </w:r>
          </w:p>
        </w:tc>
        <w:tc>
          <w:tcPr>
            <w:tcW w:type="dxa" w:w="7776"/>
            <w:vAlign w:val="top"/>
            <w:tcMar>
              <w:top w:w="50" w:type="dxa"/>
              <w:start w:w="60" w:type="dxa"/>
              <w:bottom w:w="50" w:type="dxa"/>
              <w:end w:w="60" w:type="dxa"/>
            </w:tcMar>
          </w:tcPr>
          <w:p>
            <w:pPr>
              <w:spacing w:after="0"/>
            </w:pPr>
            <w:r>
              <w:rPr>
                <w:rFonts w:ascii="Aptos" w:hAnsi="Aptos"/>
                <w:sz w:val="15"/>
              </w:rPr>
              <w:t>ISO/IEC 27001:2022; ISO 9001 QMS; CIS Controls v8.1; NIST AI RMF 1.0; NIST AI 600-1; NIST SSDF SP 800-218; OWASP ASVS; OWASP SAMM; SOC 2; BSP IT Risk; SLSA Build Level 3 target</w:t>
            </w:r>
          </w:p>
        </w:tc>
      </w:tr>
    </w:tbl>
    <w:p/>
    <w:p>
      <w:pPr>
        <w:pStyle w:val="Heading1"/>
        <w:keepNext/>
      </w:pPr>
      <w:r>
        <w:t>v3.0 Change Summary</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736"/>
            <w:shd w:fill="1F4E79"/>
            <w:tcMar>
              <w:top w:w="60" w:type="dxa"/>
              <w:start w:w="60" w:type="dxa"/>
              <w:bottom w:w="60" w:type="dxa"/>
              <w:end w:w="60" w:type="dxa"/>
            </w:tcMar>
          </w:tcPr>
          <w:p>
            <w:pPr>
              <w:spacing w:after="0"/>
              <w:jc w:val="center"/>
            </w:pPr>
            <w:r>
              <w:rPr>
                <w:rFonts w:ascii="Aptos" w:hAnsi="Aptos"/>
                <w:b/>
                <w:color w:val="FFFFFF"/>
                <w:sz w:val="15"/>
              </w:rPr>
              <w:t>Change Area</w:t>
            </w:r>
          </w:p>
        </w:tc>
        <w:tc>
          <w:tcPr>
            <w:tcW w:type="dxa" w:w="7776"/>
            <w:shd w:fill="1F4E79"/>
            <w:tcMar>
              <w:top w:w="60" w:type="dxa"/>
              <w:start w:w="60" w:type="dxa"/>
              <w:bottom w:w="60" w:type="dxa"/>
              <w:end w:w="60" w:type="dxa"/>
            </w:tcMar>
          </w:tcPr>
          <w:p>
            <w:pPr>
              <w:spacing w:after="0"/>
              <w:jc w:val="center"/>
            </w:pPr>
            <w:r>
              <w:rPr>
                <w:rFonts w:ascii="Aptos" w:hAnsi="Aptos"/>
                <w:b/>
                <w:color w:val="FFFFFF"/>
                <w:sz w:val="15"/>
              </w:rPr>
              <w:t>v3.0 Improvement</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Enterprise design layer</w:t>
            </w:r>
          </w:p>
        </w:tc>
        <w:tc>
          <w:tcPr>
            <w:tcW w:type="dxa" w:w="7776"/>
            <w:vAlign w:val="top"/>
            <w:tcMar>
              <w:top w:w="50" w:type="dxa"/>
              <w:start w:w="60" w:type="dxa"/>
              <w:bottom w:w="50" w:type="dxa"/>
              <w:end w:w="60" w:type="dxa"/>
            </w:tcMar>
          </w:tcPr>
          <w:p>
            <w:pPr>
              <w:spacing w:after="0"/>
            </w:pPr>
            <w:r>
              <w:rPr>
                <w:rFonts w:ascii="Aptos" w:hAnsi="Aptos"/>
                <w:sz w:val="15"/>
              </w:rPr>
              <w:t>Adds the Enterprise Design Principles &amp; SOLID Enforcement Layer as a mandatory AVCI extension.</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Canonical reference</w:t>
            </w:r>
          </w:p>
        </w:tc>
        <w:tc>
          <w:tcPr>
            <w:tcW w:type="dxa" w:w="7776"/>
            <w:vAlign w:val="top"/>
            <w:tcMar>
              <w:top w:w="50" w:type="dxa"/>
              <w:start w:w="60" w:type="dxa"/>
              <w:bottom w:w="50" w:type="dxa"/>
              <w:end w:w="60" w:type="dxa"/>
            </w:tcMar>
          </w:tcPr>
          <w:p>
            <w:pPr>
              <w:spacing w:after="0"/>
            </w:pPr>
            <w:r>
              <w:rPr>
                <w:rFonts w:ascii="Aptos" w:hAnsi="Aptos"/>
                <w:sz w:val="15"/>
              </w:rPr>
              <w:t>Establishes 01A as the authoritative companion for definitions, enforcement criteria, and evidence expectations.</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SOLID enforcement</w:t>
            </w:r>
          </w:p>
        </w:tc>
        <w:tc>
          <w:tcPr>
            <w:tcW w:type="dxa" w:w="7776"/>
            <w:vAlign w:val="top"/>
            <w:tcMar>
              <w:top w:w="50" w:type="dxa"/>
              <w:start w:w="60" w:type="dxa"/>
              <w:bottom w:w="50" w:type="dxa"/>
              <w:end w:w="60" w:type="dxa"/>
            </w:tcMar>
          </w:tcPr>
          <w:p>
            <w:pPr>
              <w:spacing w:after="0"/>
            </w:pPr>
            <w:r>
              <w:rPr>
                <w:rFonts w:ascii="Aptos" w:hAnsi="Aptos"/>
                <w:sz w:val="15"/>
              </w:rPr>
              <w:t>Introduces explicit SRP, OCP, LSP, ISP, and DIP evidence gates for code, MicroFunctions, services, and AI-generated changes.</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Architecture boundaries</w:t>
            </w:r>
          </w:p>
        </w:tc>
        <w:tc>
          <w:tcPr>
            <w:tcW w:type="dxa" w:w="7776"/>
            <w:vAlign w:val="top"/>
            <w:tcMar>
              <w:top w:w="50" w:type="dxa"/>
              <w:start w:w="60" w:type="dxa"/>
              <w:bottom w:w="50" w:type="dxa"/>
              <w:end w:w="60" w:type="dxa"/>
            </w:tcMar>
          </w:tcPr>
          <w:p>
            <w:pPr>
              <w:spacing w:after="0"/>
            </w:pPr>
            <w:r>
              <w:rPr>
                <w:rFonts w:ascii="Aptos" w:hAnsi="Aptos"/>
                <w:sz w:val="15"/>
              </w:rPr>
              <w:t>Strengthens Clean Architecture, DDD / Bounded Context, and Ports-and-Adapters as production-readiness controls.</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Auto loops</w:t>
            </w:r>
          </w:p>
        </w:tc>
        <w:tc>
          <w:tcPr>
            <w:tcW w:type="dxa" w:w="7776"/>
            <w:vAlign w:val="top"/>
            <w:tcMar>
              <w:top w:w="50" w:type="dxa"/>
              <w:start w:w="60" w:type="dxa"/>
              <w:bottom w:w="50" w:type="dxa"/>
              <w:end w:w="60" w:type="dxa"/>
            </w:tcMar>
          </w:tcPr>
          <w:p>
            <w:pPr>
              <w:spacing w:after="0"/>
            </w:pPr>
            <w:r>
              <w:rPr>
                <w:rFonts w:ascii="Aptos" w:hAnsi="Aptos"/>
                <w:sz w:val="15"/>
              </w:rPr>
              <w:t>Requires Auto-Heal, Auto-Learn, and Auto-Improve to preserve or improve architecture, security, observability, testability, reversibility, and AVCI evidence.</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Fitness functions</w:t>
            </w:r>
          </w:p>
        </w:tc>
        <w:tc>
          <w:tcPr>
            <w:tcW w:type="dxa" w:w="7776"/>
            <w:vAlign w:val="top"/>
            <w:tcMar>
              <w:top w:w="50" w:type="dxa"/>
              <w:start w:w="60" w:type="dxa"/>
              <w:bottom w:w="50" w:type="dxa"/>
              <w:end w:w="60" w:type="dxa"/>
            </w:tcMar>
          </w:tcPr>
          <w:p>
            <w:pPr>
              <w:spacing w:after="0"/>
            </w:pPr>
            <w:r>
              <w:rPr>
                <w:rFonts w:ascii="Aptos" w:hAnsi="Aptos"/>
                <w:sz w:val="15"/>
              </w:rPr>
              <w:t>Adds architecture fitness functions as a standard verification mechanism for design principles.</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Evidence schema</w:t>
            </w:r>
          </w:p>
        </w:tc>
        <w:tc>
          <w:tcPr>
            <w:tcW w:type="dxa" w:w="7776"/>
            <w:vAlign w:val="top"/>
            <w:tcMar>
              <w:top w:w="50" w:type="dxa"/>
              <w:start w:w="60" w:type="dxa"/>
              <w:bottom w:w="50" w:type="dxa"/>
              <w:end w:w="60" w:type="dxa"/>
            </w:tcMar>
          </w:tcPr>
          <w:p>
            <w:pPr>
              <w:spacing w:after="0"/>
            </w:pPr>
            <w:r>
              <w:rPr>
                <w:rFonts w:ascii="Aptos" w:hAnsi="Aptos"/>
                <w:sz w:val="15"/>
              </w:rPr>
              <w:t>Extends the AVCI Evidence Record with design-principle impact, architecture-boundary impact, testability impact, reversibility impact, and fitness-function result.</w:t>
            </w:r>
          </w:p>
        </w:tc>
      </w:tr>
      <w:tr>
        <w:trPr>
          <w:cantSplit/>
        </w:trPr>
        <w:tc>
          <w:tcPr>
            <w:tcW w:type="dxa" w:w="2736"/>
            <w:vAlign w:val="top"/>
            <w:tcMar>
              <w:top w:w="50" w:type="dxa"/>
              <w:start w:w="60" w:type="dxa"/>
              <w:bottom w:w="50" w:type="dxa"/>
              <w:end w:w="60" w:type="dxa"/>
            </w:tcMar>
          </w:tcPr>
          <w:p>
            <w:pPr>
              <w:spacing w:after="0"/>
            </w:pPr>
            <w:r>
              <w:rPr>
                <w:rFonts w:ascii="Aptos" w:hAnsi="Aptos"/>
                <w:sz w:val="15"/>
              </w:rPr>
              <w:t>PR/MR gate</w:t>
            </w:r>
          </w:p>
        </w:tc>
        <w:tc>
          <w:tcPr>
            <w:tcW w:type="dxa" w:w="7776"/>
            <w:vAlign w:val="top"/>
            <w:tcMar>
              <w:top w:w="50" w:type="dxa"/>
              <w:start w:w="60" w:type="dxa"/>
              <w:bottom w:w="50" w:type="dxa"/>
              <w:end w:w="60" w:type="dxa"/>
            </w:tcMar>
          </w:tcPr>
          <w:p>
            <w:pPr>
              <w:spacing w:after="0"/>
            </w:pPr>
            <w:r>
              <w:rPr>
                <w:rFonts w:ascii="Aptos" w:hAnsi="Aptos"/>
                <w:sz w:val="15"/>
              </w:rPr>
              <w:t>Adds a Design Principles Impact Assessment to non-trivial pull requests and merge requests.</w:t>
            </w:r>
          </w:p>
        </w:tc>
      </w:tr>
    </w:tbl>
    <w:p/>
    <w:p>
      <w:pPr>
        <w:pStyle w:val="Heading1"/>
        <w:keepNext/>
      </w:pPr>
      <w:r>
        <w:t>Table of Contents</w:t>
      </w:r>
    </w:p>
    <w:p>
      <w:pPr>
        <w:pStyle w:val="ListBullet"/>
        <w:spacing w:after="40"/>
      </w:pPr>
      <w:r>
        <w:rPr>
          <w:rFonts w:ascii="Aptos" w:hAnsi="Aptos"/>
          <w:sz w:val="18"/>
        </w:rPr>
        <w:t>1. Executive Summary</w:t>
      </w:r>
    </w:p>
    <w:p>
      <w:pPr>
        <w:pStyle w:val="ListBullet"/>
        <w:spacing w:after="40"/>
      </w:pPr>
      <w:r>
        <w:rPr>
          <w:rFonts w:ascii="Aptos" w:hAnsi="Aptos"/>
          <w:sz w:val="18"/>
        </w:rPr>
        <w:t>2. Scope, Authority, and Document Hierarchy</w:t>
      </w:r>
    </w:p>
    <w:p>
      <w:pPr>
        <w:pStyle w:val="ListBullet"/>
        <w:spacing w:after="40"/>
      </w:pPr>
      <w:r>
        <w:rPr>
          <w:rFonts w:ascii="Aptos" w:hAnsi="Aptos"/>
          <w:sz w:val="18"/>
        </w:rPr>
        <w:t>3. The AVCI Standard</w:t>
      </w:r>
    </w:p>
    <w:p>
      <w:pPr>
        <w:pStyle w:val="ListBullet"/>
        <w:spacing w:after="40"/>
      </w:pPr>
      <w:r>
        <w:rPr>
          <w:rFonts w:ascii="Aptos" w:hAnsi="Aptos"/>
          <w:sz w:val="18"/>
        </w:rPr>
        <w:t>4. Universal AVCI Application Model</w:t>
      </w:r>
    </w:p>
    <w:p>
      <w:pPr>
        <w:pStyle w:val="ListBullet"/>
        <w:spacing w:after="40"/>
      </w:pPr>
      <w:r>
        <w:rPr>
          <w:rFonts w:ascii="Aptos" w:hAnsi="Aptos"/>
          <w:sz w:val="18"/>
        </w:rPr>
        <w:t>5. Enterprise Design Principles &amp; SOLID Enforcement Layer</w:t>
      </w:r>
    </w:p>
    <w:p>
      <w:pPr>
        <w:pStyle w:val="ListBullet"/>
        <w:spacing w:after="40"/>
      </w:pPr>
      <w:r>
        <w:rPr>
          <w:rFonts w:ascii="Aptos" w:hAnsi="Aptos"/>
          <w:sz w:val="18"/>
        </w:rPr>
        <w:t>6. SOLID Enforcement Model</w:t>
      </w:r>
    </w:p>
    <w:p>
      <w:pPr>
        <w:pStyle w:val="ListBullet"/>
        <w:spacing w:after="40"/>
      </w:pPr>
      <w:r>
        <w:rPr>
          <w:rFonts w:ascii="Aptos" w:hAnsi="Aptos"/>
          <w:sz w:val="18"/>
        </w:rPr>
        <w:t>7. Clean Architecture, DDD, and Ports-and-Adapters Enforcement</w:t>
      </w:r>
    </w:p>
    <w:p>
      <w:pPr>
        <w:pStyle w:val="ListBullet"/>
        <w:spacing w:after="40"/>
      </w:pPr>
      <w:r>
        <w:rPr>
          <w:rFonts w:ascii="Aptos" w:hAnsi="Aptos"/>
          <w:sz w:val="18"/>
        </w:rPr>
        <w:t>8. Auto-Heal, Auto-Learn, and Auto-Improve Governance</w:t>
      </w:r>
    </w:p>
    <w:p>
      <w:pPr>
        <w:pStyle w:val="ListBullet"/>
        <w:spacing w:after="40"/>
      </w:pPr>
      <w:r>
        <w:rPr>
          <w:rFonts w:ascii="Aptos" w:hAnsi="Aptos"/>
          <w:sz w:val="18"/>
        </w:rPr>
        <w:t>9. AVCI Evidence Record Schema v3.0</w:t>
      </w:r>
    </w:p>
    <w:p>
      <w:pPr>
        <w:pStyle w:val="ListBullet"/>
        <w:spacing w:after="40"/>
      </w:pPr>
      <w:r>
        <w:rPr>
          <w:rFonts w:ascii="Aptos" w:hAnsi="Aptos"/>
          <w:sz w:val="18"/>
        </w:rPr>
        <w:t>10. Classification and Handling Model</w:t>
      </w:r>
    </w:p>
    <w:p>
      <w:pPr>
        <w:pStyle w:val="ListBullet"/>
        <w:spacing w:after="40"/>
      </w:pPr>
      <w:r>
        <w:rPr>
          <w:rFonts w:ascii="Aptos" w:hAnsi="Aptos"/>
          <w:sz w:val="18"/>
        </w:rPr>
        <w:t>11. Lifecycle Enforcement Model</w:t>
      </w:r>
    </w:p>
    <w:p>
      <w:pPr>
        <w:pStyle w:val="ListBullet"/>
        <w:spacing w:after="40"/>
      </w:pPr>
      <w:r>
        <w:rPr>
          <w:rFonts w:ascii="Aptos" w:hAnsi="Aptos"/>
          <w:sz w:val="18"/>
        </w:rPr>
        <w:t>12. AI-Native Governance Requirements</w:t>
      </w:r>
    </w:p>
    <w:p>
      <w:pPr>
        <w:pStyle w:val="ListBullet"/>
        <w:spacing w:after="40"/>
      </w:pPr>
      <w:r>
        <w:rPr>
          <w:rFonts w:ascii="Aptos" w:hAnsi="Aptos"/>
          <w:sz w:val="18"/>
        </w:rPr>
        <w:t>13. Engineering Quality Gates and Architecture Fitness Functions</w:t>
      </w:r>
    </w:p>
    <w:p>
      <w:pPr>
        <w:pStyle w:val="ListBullet"/>
        <w:spacing w:after="40"/>
      </w:pPr>
      <w:r>
        <w:rPr>
          <w:rFonts w:ascii="Aptos" w:hAnsi="Aptos"/>
          <w:sz w:val="18"/>
        </w:rPr>
        <w:t>14. Retrieval, Knowledge, and AI Quality Gates</w:t>
      </w:r>
    </w:p>
    <w:p>
      <w:pPr>
        <w:pStyle w:val="ListBullet"/>
        <w:spacing w:after="40"/>
      </w:pPr>
      <w:r>
        <w:rPr>
          <w:rFonts w:ascii="Aptos" w:hAnsi="Aptos"/>
          <w:sz w:val="18"/>
        </w:rPr>
        <w:t>15. Roles, Responsibilities, and RACI</w:t>
      </w:r>
    </w:p>
    <w:p>
      <w:pPr>
        <w:pStyle w:val="ListBullet"/>
        <w:spacing w:after="40"/>
      </w:pPr>
      <w:r>
        <w:rPr>
          <w:rFonts w:ascii="Aptos" w:hAnsi="Aptos"/>
          <w:sz w:val="18"/>
        </w:rPr>
        <w:t>16. Pull Request / Merge Request Compliance Summary</w:t>
      </w:r>
    </w:p>
    <w:p>
      <w:pPr>
        <w:pStyle w:val="ListBullet"/>
        <w:spacing w:after="40"/>
      </w:pPr>
      <w:r>
        <w:rPr>
          <w:rFonts w:ascii="Aptos" w:hAnsi="Aptos"/>
          <w:sz w:val="18"/>
        </w:rPr>
        <w:t>17. Waivers, Exceptions, and Non-Conformance</w:t>
      </w:r>
    </w:p>
    <w:p>
      <w:pPr>
        <w:pStyle w:val="ListBullet"/>
        <w:spacing w:after="40"/>
      </w:pPr>
      <w:r>
        <w:rPr>
          <w:rFonts w:ascii="Aptos" w:hAnsi="Aptos"/>
          <w:sz w:val="18"/>
        </w:rPr>
        <w:t>18. Compliance and Control Mapping</w:t>
      </w:r>
    </w:p>
    <w:p>
      <w:pPr>
        <w:pStyle w:val="ListBullet"/>
        <w:spacing w:after="40"/>
      </w:pPr>
      <w:r>
        <w:rPr>
          <w:rFonts w:ascii="Aptos" w:hAnsi="Aptos"/>
          <w:sz w:val="18"/>
        </w:rPr>
        <w:t>19. Implementation Roadmap and Acceptance Criteria</w:t>
      </w:r>
    </w:p>
    <w:p>
      <w:pPr>
        <w:pStyle w:val="ListBullet"/>
        <w:spacing w:after="40"/>
      </w:pPr>
      <w:r>
        <w:rPr>
          <w:rFonts w:ascii="Aptos" w:hAnsi="Aptos"/>
          <w:sz w:val="18"/>
        </w:rPr>
        <w:t>20. Appendices</w:t>
      </w:r>
    </w:p>
    <w:p>
      <w:r>
        <w:br w:type="page"/>
      </w:r>
    </w:p>
    <w:p>
      <w:pPr>
        <w:pStyle w:val="Heading1"/>
        <w:keepNext/>
      </w:pPr>
      <w:r>
        <w:t>1. Executive Summary</w:t>
      </w:r>
    </w:p>
    <w:p>
      <w:pPr>
        <w:spacing w:after="80"/>
      </w:pPr>
      <w:r>
        <w:rPr>
          <w:rFonts w:ascii="Aptos" w:hAnsi="Aptos"/>
          <w:sz w:val="18"/>
        </w:rPr>
        <w:t>AIRA is a mission-critical, AI-native enterprise platform initiative. Its engineering environment must be reproducible, secure, explainable, auditable, maintainable, and capable of safe AI augmentation. In such an environment, quality cannot depend on individual memory, informal review, or optimistic assumptions. Quality must be designed into the artifact lifecycle itself.</w:t>
      </w:r>
    </w:p>
    <w:p>
      <w:pPr>
        <w:spacing w:after="80"/>
      </w:pPr>
      <w:r>
        <w:rPr>
          <w:rFonts w:ascii="Aptos" w:hAnsi="Aptos"/>
          <w:sz w:val="18"/>
        </w:rPr>
        <w:t>This standard defines AVCI - Attributable, Verifiable, Classifiable, and Improvable - as the universal discipline for every AIRA artifact. Version 3.0 extends AVCI with the Enterprise Design Principles &amp; SOLID Enforcement Layer so that every artifact is not only traceable and evidenced, but also architecturally sound, testable, secure, observable, reversible, and fit for governed improvement.</w:t>
      </w:r>
    </w:p>
    <w:tbl>
      <w:tblPr>
        <w:tblStyle w:val="TableGrid"/>
        <w:tblW w:type="auto" w:w="0"/>
        <w:jc w:val="center"/>
        <w:tblLook w:firstColumn="1" w:firstRow="1" w:lastColumn="0" w:lastRow="0" w:noHBand="0" w:noVBand="1" w:val="04A0"/>
      </w:tblPr>
      <w:tblGrid>
        <w:gridCol w:w="10368"/>
      </w:tblGrid>
      <w:tr>
        <w:tc>
          <w:tcPr>
            <w:tcW w:type="dxa" w:w="10368"/>
            <w:shd w:fill="EAF2F8"/>
            <w:tcMar>
              <w:top w:w="145" w:type="dxa"/>
              <w:start w:w="160" w:type="dxa"/>
              <w:bottom w:w="145" w:type="dxa"/>
              <w:end w:w="160" w:type="dxa"/>
            </w:tcMar>
          </w:tcPr>
          <w:p>
            <w:pPr>
              <w:spacing w:after="60"/>
            </w:pPr>
            <w:r>
              <w:rPr>
                <w:rFonts w:ascii="Aptos" w:hAnsi="Aptos"/>
                <w:b/>
                <w:color w:val="1F4E79"/>
                <w:sz w:val="19"/>
              </w:rPr>
              <w:t>Operating Philosophy</w:t>
            </w:r>
          </w:p>
          <w:p>
            <w:pPr>
              <w:spacing w:after="0"/>
            </w:pPr>
            <w:r>
              <w:rPr>
                <w:rFonts w:ascii="Aptos" w:hAnsi="Aptos"/>
                <w:sz w:val="17"/>
              </w:rPr>
              <w:t>Discipline first, automation second, intelligence third - and AVCI always. Discipline establishes the rules. Automation makes the rules repeatable. Intelligence accelerates analysis and recommendation. AVCI and the Enterprise Design Principles keep all three trustworthy.</w:t>
            </w:r>
          </w:p>
        </w:tc>
      </w:tr>
    </w:tbl>
    <w:p/>
    <w:p>
      <w:pPr>
        <w:pStyle w:val="Heading2"/>
        <w:keepNext/>
      </w:pPr>
      <w:r>
        <w:t>1.1 Non-Negotiable Outcome</w:t>
      </w:r>
    </w:p>
    <w:p>
      <w:pPr>
        <w:pStyle w:val="ListBullet"/>
        <w:spacing w:after="40"/>
      </w:pPr>
      <w:r>
        <w:rPr>
          <w:rFonts w:ascii="Aptos" w:hAnsi="Aptos"/>
          <w:sz w:val="18"/>
        </w:rPr>
        <w:t>Who owns the artifact, why does it exist, and which intent authorized it?</w:t>
      </w:r>
    </w:p>
    <w:p>
      <w:pPr>
        <w:pStyle w:val="ListBullet"/>
        <w:spacing w:after="40"/>
      </w:pPr>
      <w:r>
        <w:rPr>
          <w:rFonts w:ascii="Aptos" w:hAnsi="Aptos"/>
          <w:sz w:val="18"/>
        </w:rPr>
        <w:t>What evidence proves it is correct, safe, secure, current, and architecturally compliant?</w:t>
      </w:r>
    </w:p>
    <w:p>
      <w:pPr>
        <w:pStyle w:val="ListBullet"/>
        <w:spacing w:after="40"/>
      </w:pPr>
      <w:r>
        <w:rPr>
          <w:rFonts w:ascii="Aptos" w:hAnsi="Aptos"/>
          <w:sz w:val="18"/>
        </w:rPr>
        <w:t>What classification, domain, tier, and handling rules apply?</w:t>
      </w:r>
    </w:p>
    <w:p>
      <w:pPr>
        <w:pStyle w:val="ListBullet"/>
        <w:spacing w:after="40"/>
      </w:pPr>
      <w:r>
        <w:rPr>
          <w:rFonts w:ascii="Aptos" w:hAnsi="Aptos"/>
          <w:sz w:val="18"/>
        </w:rPr>
        <w:t>Which Enterprise Design Principles are affected and how were they preserved or improved?</w:t>
      </w:r>
    </w:p>
    <w:p>
      <w:pPr>
        <w:pStyle w:val="ListBullet"/>
        <w:spacing w:after="40"/>
      </w:pPr>
      <w:r>
        <w:rPr>
          <w:rFonts w:ascii="Aptos" w:hAnsi="Aptos"/>
          <w:sz w:val="18"/>
        </w:rPr>
        <w:t>How will the artifact be improved without uncontrolled self-modification, architecture drift, or audit gaps?</w:t>
      </w:r>
    </w:p>
    <w:p>
      <w:pPr>
        <w:pStyle w:val="Heading2"/>
        <w:keepNext/>
      </w:pPr>
      <w:r>
        <w:t>1.2 Relationship to 01A</w:t>
      </w:r>
    </w:p>
    <w:p>
      <w:pPr>
        <w:spacing w:after="80"/>
      </w:pPr>
      <w:r>
        <w:rPr>
          <w:rFonts w:ascii="Aptos" w:hAnsi="Aptos"/>
          <w:sz w:val="18"/>
        </w:rPr>
        <w:t>01A-AIRA Enterprise Design Principles and SOLID Enforcement Layer v1.0 is the canonical companion standard for the 20 design principles, SOLID enforcement criteria, architecture boundary rules, fitness-function expectations, and Auto-Heal / Auto-Learn / Auto-Improve constraints. This AVCI standard incorporates 01A by reference and makes its controls part of production readiness.</w:t>
      </w:r>
    </w:p>
    <w:p>
      <w:pPr>
        <w:pStyle w:val="Heading1"/>
        <w:keepNext/>
      </w:pPr>
      <w:r>
        <w:t>2. Scope, Authority, and Document Hierarchy</w:t>
      </w:r>
    </w:p>
    <w:p>
      <w:pPr>
        <w:pStyle w:val="Heading2"/>
        <w:keepNext/>
      </w:pPr>
      <w:r>
        <w:t>2.1 In Scope</w:t>
      </w:r>
    </w:p>
    <w:p>
      <w:pPr>
        <w:pStyle w:val="ListBullet"/>
        <w:spacing w:after="40"/>
      </w:pPr>
      <w:r>
        <w:rPr>
          <w:rFonts w:ascii="Aptos" w:hAnsi="Aptos"/>
          <w:sz w:val="18"/>
        </w:rPr>
        <w:t>All source code, configuration, infrastructure-as-code, database migrations, build scripts, container images, Helm charts, GitOps manifests, policy-as-code, secrets metadata, runtime parameters, and deployment artifacts.</w:t>
      </w:r>
    </w:p>
    <w:p>
      <w:pPr>
        <w:pStyle w:val="ListBullet"/>
        <w:spacing w:after="40"/>
      </w:pPr>
      <w:r>
        <w:rPr>
          <w:rFonts w:ascii="Aptos" w:hAnsi="Aptos"/>
          <w:sz w:val="18"/>
        </w:rPr>
        <w:t>All tests and quality evidence: unit, component, integration, contract, E2E, performance, chaos, security, AI evaluation, golden datasets, adversarial tests, and architecture fitness functions.</w:t>
      </w:r>
    </w:p>
    <w:p>
      <w:pPr>
        <w:pStyle w:val="ListBullet"/>
        <w:spacing w:after="40"/>
      </w:pPr>
      <w:r>
        <w:rPr>
          <w:rFonts w:ascii="Aptos" w:hAnsi="Aptos"/>
          <w:sz w:val="18"/>
        </w:rPr>
        <w:t>All AI artifacts: prompts, system instructions, model aliases, guardrail policies, agent definitions, skills, tool registries, retrieval configurations, embeddings, indexes, curated knowledge, model evaluation datasets, and agent action records.</w:t>
      </w:r>
    </w:p>
    <w:p>
      <w:pPr>
        <w:pStyle w:val="ListBullet"/>
        <w:spacing w:after="40"/>
      </w:pPr>
      <w:r>
        <w:rPr>
          <w:rFonts w:ascii="Aptos" w:hAnsi="Aptos"/>
          <w:sz w:val="18"/>
        </w:rPr>
        <w:t>All process and operational artifacts: runbooks, incident records, change records, approval workflows, audit trails, DR procedures, onboarding records, decommissioning evidence, and improvement backlog entries.</w:t>
      </w:r>
    </w:p>
    <w:p>
      <w:pPr>
        <w:pStyle w:val="Heading2"/>
        <w:keepNext/>
      </w:pPr>
      <w:r>
        <w:t>2.2 Authority and Precedence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864"/>
            <w:shd w:fill="1F4E79"/>
            <w:tcMar>
              <w:top w:w="60" w:type="dxa"/>
              <w:start w:w="60" w:type="dxa"/>
              <w:bottom w:w="60" w:type="dxa"/>
              <w:end w:w="60" w:type="dxa"/>
            </w:tcMar>
          </w:tcPr>
          <w:p>
            <w:pPr>
              <w:spacing w:after="0"/>
              <w:jc w:val="center"/>
            </w:pPr>
            <w:r>
              <w:rPr>
                <w:rFonts w:ascii="Aptos" w:hAnsi="Aptos"/>
                <w:b/>
                <w:color w:val="FFFFFF"/>
                <w:sz w:val="15"/>
              </w:rPr>
              <w:t>Level</w:t>
            </w:r>
          </w:p>
        </w:tc>
        <w:tc>
          <w:tcPr>
            <w:tcW w:type="dxa" w:w="3888"/>
            <w:shd w:fill="1F4E79"/>
            <w:tcMar>
              <w:top w:w="60" w:type="dxa"/>
              <w:start w:w="60" w:type="dxa"/>
              <w:bottom w:w="60" w:type="dxa"/>
              <w:end w:w="60" w:type="dxa"/>
            </w:tcMar>
          </w:tcPr>
          <w:p>
            <w:pPr>
              <w:spacing w:after="0"/>
              <w:jc w:val="center"/>
            </w:pPr>
            <w:r>
              <w:rPr>
                <w:rFonts w:ascii="Aptos" w:hAnsi="Aptos"/>
                <w:b/>
                <w:color w:val="FFFFFF"/>
                <w:sz w:val="15"/>
              </w:rPr>
              <w:t>Document / Control</w:t>
            </w:r>
          </w:p>
        </w:tc>
        <w:tc>
          <w:tcPr>
            <w:tcW w:type="dxa" w:w="5760"/>
            <w:shd w:fill="1F4E79"/>
            <w:tcMar>
              <w:top w:w="60" w:type="dxa"/>
              <w:start w:w="60" w:type="dxa"/>
              <w:bottom w:w="60" w:type="dxa"/>
              <w:end w:w="60" w:type="dxa"/>
            </w:tcMar>
          </w:tcPr>
          <w:p>
            <w:pPr>
              <w:spacing w:after="0"/>
              <w:jc w:val="center"/>
            </w:pPr>
            <w:r>
              <w:rPr>
                <w:rFonts w:ascii="Aptos" w:hAnsi="Aptos"/>
                <w:b/>
                <w:color w:val="FFFFFF"/>
                <w:sz w:val="15"/>
              </w:rPr>
              <w:t>Authority Scope</w:t>
            </w:r>
          </w:p>
        </w:tc>
      </w:tr>
      <w:tr>
        <w:trPr>
          <w:cantSplit/>
        </w:trPr>
        <w:tc>
          <w:tcPr>
            <w:tcW w:type="dxa" w:w="864"/>
            <w:vAlign w:val="top"/>
            <w:tcMar>
              <w:top w:w="50" w:type="dxa"/>
              <w:start w:w="60" w:type="dxa"/>
              <w:bottom w:w="50" w:type="dxa"/>
              <w:end w:w="60" w:type="dxa"/>
            </w:tcMar>
          </w:tcPr>
          <w:p>
            <w:pPr>
              <w:spacing w:after="0"/>
            </w:pPr>
            <w:r>
              <w:rPr>
                <w:rFonts w:ascii="Aptos" w:hAnsi="Aptos"/>
                <w:sz w:val="15"/>
              </w:rPr>
              <w:t>L0</w:t>
            </w:r>
          </w:p>
        </w:tc>
        <w:tc>
          <w:tcPr>
            <w:tcW w:type="dxa" w:w="3888"/>
            <w:vAlign w:val="top"/>
            <w:tcMar>
              <w:top w:w="50" w:type="dxa"/>
              <w:start w:w="60" w:type="dxa"/>
              <w:bottom w:w="50" w:type="dxa"/>
              <w:end w:w="60" w:type="dxa"/>
            </w:tcMar>
          </w:tcPr>
          <w:p>
            <w:pPr>
              <w:spacing w:after="0"/>
            </w:pPr>
            <w:r>
              <w:rPr>
                <w:rFonts w:ascii="Aptos" w:hAnsi="Aptos"/>
                <w:sz w:val="15"/>
              </w:rPr>
              <w:t>AIRA Consolidated Architecture Blueprint / Architecture Board</w:t>
            </w:r>
          </w:p>
        </w:tc>
        <w:tc>
          <w:tcPr>
            <w:tcW w:type="dxa" w:w="5760"/>
            <w:vAlign w:val="top"/>
            <w:tcMar>
              <w:top w:w="50" w:type="dxa"/>
              <w:start w:w="60" w:type="dxa"/>
              <w:bottom w:w="50" w:type="dxa"/>
              <w:end w:w="60" w:type="dxa"/>
            </w:tcMar>
          </w:tcPr>
          <w:p>
            <w:pPr>
              <w:spacing w:after="0"/>
            </w:pPr>
            <w:r>
              <w:rPr>
                <w:rFonts w:ascii="Aptos" w:hAnsi="Aptos"/>
                <w:sz w:val="15"/>
              </w:rPr>
              <w:t>End-to-end canonical architecture and major platform boundaries.</w:t>
            </w:r>
          </w:p>
        </w:tc>
      </w:tr>
      <w:tr>
        <w:trPr>
          <w:cantSplit/>
        </w:trPr>
        <w:tc>
          <w:tcPr>
            <w:tcW w:type="dxa" w:w="864"/>
            <w:vAlign w:val="top"/>
            <w:tcMar>
              <w:top w:w="50" w:type="dxa"/>
              <w:start w:w="60" w:type="dxa"/>
              <w:bottom w:w="50" w:type="dxa"/>
              <w:end w:w="60" w:type="dxa"/>
            </w:tcMar>
          </w:tcPr>
          <w:p>
            <w:pPr>
              <w:spacing w:after="0"/>
            </w:pPr>
            <w:r>
              <w:rPr>
                <w:rFonts w:ascii="Aptos" w:hAnsi="Aptos"/>
                <w:sz w:val="15"/>
              </w:rPr>
              <w:t>L1</w:t>
            </w:r>
          </w:p>
        </w:tc>
        <w:tc>
          <w:tcPr>
            <w:tcW w:type="dxa" w:w="3888"/>
            <w:vAlign w:val="top"/>
            <w:tcMar>
              <w:top w:w="50" w:type="dxa"/>
              <w:start w:w="60" w:type="dxa"/>
              <w:bottom w:w="50" w:type="dxa"/>
              <w:end w:w="60" w:type="dxa"/>
            </w:tcMar>
          </w:tcPr>
          <w:p>
            <w:pPr>
              <w:spacing w:after="0"/>
            </w:pPr>
            <w:r>
              <w:rPr>
                <w:rFonts w:ascii="Aptos" w:hAnsi="Aptos"/>
                <w:sz w:val="15"/>
              </w:rPr>
              <w:t>AIRA Engineering Blueprint</w:t>
            </w:r>
          </w:p>
        </w:tc>
        <w:tc>
          <w:tcPr>
            <w:tcW w:type="dxa" w:w="5760"/>
            <w:vAlign w:val="top"/>
            <w:tcMar>
              <w:top w:w="50" w:type="dxa"/>
              <w:start w:w="60" w:type="dxa"/>
              <w:bottom w:w="50" w:type="dxa"/>
              <w:end w:w="60" w:type="dxa"/>
            </w:tcMar>
          </w:tcPr>
          <w:p>
            <w:pPr>
              <w:spacing w:after="0"/>
            </w:pPr>
            <w:r>
              <w:rPr>
                <w:rFonts w:ascii="Aptos" w:hAnsi="Aptos"/>
                <w:sz w:val="15"/>
              </w:rPr>
              <w:t>Build-ready architecture, service boundaries, flows, contracts, controls, and evidence model.</w:t>
            </w:r>
          </w:p>
        </w:tc>
      </w:tr>
      <w:tr>
        <w:trPr>
          <w:cantSplit/>
        </w:trPr>
        <w:tc>
          <w:tcPr>
            <w:tcW w:type="dxa" w:w="864"/>
            <w:vAlign w:val="top"/>
            <w:tcMar>
              <w:top w:w="50" w:type="dxa"/>
              <w:start w:w="60" w:type="dxa"/>
              <w:bottom w:w="50" w:type="dxa"/>
              <w:end w:w="60" w:type="dxa"/>
            </w:tcMar>
          </w:tcPr>
          <w:p>
            <w:pPr>
              <w:spacing w:after="0"/>
            </w:pPr>
            <w:r>
              <w:rPr>
                <w:rFonts w:ascii="Aptos" w:hAnsi="Aptos"/>
                <w:sz w:val="15"/>
              </w:rPr>
              <w:t>L1</w:t>
            </w:r>
          </w:p>
        </w:tc>
        <w:tc>
          <w:tcPr>
            <w:tcW w:type="dxa" w:w="3888"/>
            <w:vAlign w:val="top"/>
            <w:tcMar>
              <w:top w:w="50" w:type="dxa"/>
              <w:start w:w="60" w:type="dxa"/>
              <w:bottom w:w="50" w:type="dxa"/>
              <w:end w:w="60" w:type="dxa"/>
            </w:tcMar>
          </w:tcPr>
          <w:p>
            <w:pPr>
              <w:spacing w:after="0"/>
            </w:pPr>
            <w:r>
              <w:rPr>
                <w:rFonts w:ascii="Aptos" w:hAnsi="Aptos"/>
                <w:sz w:val="15"/>
              </w:rPr>
              <w:t>AIRA AI-Native DevSecOps Engineering Standard</w:t>
            </w:r>
          </w:p>
        </w:tc>
        <w:tc>
          <w:tcPr>
            <w:tcW w:type="dxa" w:w="5760"/>
            <w:vAlign w:val="top"/>
            <w:tcMar>
              <w:top w:w="50" w:type="dxa"/>
              <w:start w:w="60" w:type="dxa"/>
              <w:bottom w:w="50" w:type="dxa"/>
              <w:end w:w="60" w:type="dxa"/>
            </w:tcMar>
          </w:tcPr>
          <w:p>
            <w:pPr>
              <w:spacing w:after="0"/>
            </w:pPr>
            <w:r>
              <w:rPr>
                <w:rFonts w:ascii="Aptos" w:hAnsi="Aptos"/>
                <w:sz w:val="15"/>
              </w:rPr>
              <w:t>Day-to-day engineering lifecycle, CI/CD gates, AI operating model, evidence regime, and promotion discipline.</w:t>
            </w:r>
          </w:p>
        </w:tc>
      </w:tr>
      <w:tr>
        <w:trPr>
          <w:cantSplit/>
        </w:trPr>
        <w:tc>
          <w:tcPr>
            <w:tcW w:type="dxa" w:w="864"/>
            <w:vAlign w:val="top"/>
            <w:tcMar>
              <w:top w:w="50" w:type="dxa"/>
              <w:start w:w="60" w:type="dxa"/>
              <w:bottom w:w="50" w:type="dxa"/>
              <w:end w:w="60" w:type="dxa"/>
            </w:tcMar>
          </w:tcPr>
          <w:p>
            <w:pPr>
              <w:spacing w:after="0"/>
            </w:pPr>
            <w:r>
              <w:rPr>
                <w:rFonts w:ascii="Aptos" w:hAnsi="Aptos"/>
                <w:sz w:val="15"/>
              </w:rPr>
              <w:t>L2</w:t>
            </w:r>
          </w:p>
        </w:tc>
        <w:tc>
          <w:tcPr>
            <w:tcW w:type="dxa" w:w="3888"/>
            <w:vAlign w:val="top"/>
            <w:tcMar>
              <w:top w:w="50" w:type="dxa"/>
              <w:start w:w="60" w:type="dxa"/>
              <w:bottom w:w="50" w:type="dxa"/>
              <w:end w:w="60" w:type="dxa"/>
            </w:tcMar>
          </w:tcPr>
          <w:p>
            <w:pPr>
              <w:spacing w:after="0"/>
            </w:pPr>
            <w:r>
              <w:rPr>
                <w:rFonts w:ascii="Aptos" w:hAnsi="Aptos"/>
                <w:sz w:val="15"/>
              </w:rPr>
              <w:t>This AVCI Engineering Standard</w:t>
            </w:r>
          </w:p>
        </w:tc>
        <w:tc>
          <w:tcPr>
            <w:tcW w:type="dxa" w:w="5760"/>
            <w:vAlign w:val="top"/>
            <w:tcMar>
              <w:top w:w="50" w:type="dxa"/>
              <w:start w:w="60" w:type="dxa"/>
              <w:bottom w:w="50" w:type="dxa"/>
              <w:end w:w="60" w:type="dxa"/>
            </w:tcMar>
          </w:tcPr>
          <w:p>
            <w:pPr>
              <w:spacing w:after="0"/>
            </w:pPr>
            <w:r>
              <w:rPr>
                <w:rFonts w:ascii="Aptos" w:hAnsi="Aptos"/>
                <w:sz w:val="15"/>
              </w:rPr>
              <w:t>Universal quality gate and evidence discipline for every input, process, artifact, and output.</w:t>
            </w:r>
          </w:p>
        </w:tc>
      </w:tr>
      <w:tr>
        <w:trPr>
          <w:cantSplit/>
        </w:trPr>
        <w:tc>
          <w:tcPr>
            <w:tcW w:type="dxa" w:w="864"/>
            <w:vAlign w:val="top"/>
            <w:tcMar>
              <w:top w:w="50" w:type="dxa"/>
              <w:start w:w="60" w:type="dxa"/>
              <w:bottom w:w="50" w:type="dxa"/>
              <w:end w:w="60" w:type="dxa"/>
            </w:tcMar>
          </w:tcPr>
          <w:p>
            <w:pPr>
              <w:spacing w:after="0"/>
            </w:pPr>
            <w:r>
              <w:rPr>
                <w:rFonts w:ascii="Aptos" w:hAnsi="Aptos"/>
                <w:sz w:val="15"/>
              </w:rPr>
              <w:t>L2</w:t>
            </w:r>
          </w:p>
        </w:tc>
        <w:tc>
          <w:tcPr>
            <w:tcW w:type="dxa" w:w="3888"/>
            <w:vAlign w:val="top"/>
            <w:tcMar>
              <w:top w:w="50" w:type="dxa"/>
              <w:start w:w="60" w:type="dxa"/>
              <w:bottom w:w="50" w:type="dxa"/>
              <w:end w:w="60" w:type="dxa"/>
            </w:tcMar>
          </w:tcPr>
          <w:p>
            <w:pPr>
              <w:spacing w:after="0"/>
            </w:pPr>
            <w:r>
              <w:rPr>
                <w:rFonts w:ascii="Aptos" w:hAnsi="Aptos"/>
                <w:sz w:val="15"/>
              </w:rPr>
              <w:t>01A Enterprise Design Principles &amp; SOLID Enforcement Layer</w:t>
            </w:r>
          </w:p>
        </w:tc>
        <w:tc>
          <w:tcPr>
            <w:tcW w:type="dxa" w:w="5760"/>
            <w:vAlign w:val="top"/>
            <w:tcMar>
              <w:top w:w="50" w:type="dxa"/>
              <w:start w:w="60" w:type="dxa"/>
              <w:bottom w:w="50" w:type="dxa"/>
              <w:end w:w="60" w:type="dxa"/>
            </w:tcMar>
          </w:tcPr>
          <w:p>
            <w:pPr>
              <w:spacing w:after="0"/>
            </w:pPr>
            <w:r>
              <w:rPr>
                <w:rFonts w:ascii="Aptos" w:hAnsi="Aptos"/>
                <w:sz w:val="15"/>
              </w:rPr>
              <w:t>Canonical principles and enforcement model that extends AVCI production readiness.</w:t>
            </w:r>
          </w:p>
        </w:tc>
      </w:tr>
      <w:tr>
        <w:trPr>
          <w:cantSplit/>
        </w:trPr>
        <w:tc>
          <w:tcPr>
            <w:tcW w:type="dxa" w:w="864"/>
            <w:vAlign w:val="top"/>
            <w:tcMar>
              <w:top w:w="50" w:type="dxa"/>
              <w:start w:w="60" w:type="dxa"/>
              <w:bottom w:w="50" w:type="dxa"/>
              <w:end w:w="60" w:type="dxa"/>
            </w:tcMar>
          </w:tcPr>
          <w:p>
            <w:pPr>
              <w:spacing w:after="0"/>
            </w:pPr>
            <w:r>
              <w:rPr>
                <w:rFonts w:ascii="Aptos" w:hAnsi="Aptos"/>
                <w:sz w:val="15"/>
              </w:rPr>
              <w:t>L3</w:t>
            </w:r>
          </w:p>
        </w:tc>
        <w:tc>
          <w:tcPr>
            <w:tcW w:type="dxa" w:w="3888"/>
            <w:vAlign w:val="top"/>
            <w:tcMar>
              <w:top w:w="50" w:type="dxa"/>
              <w:start w:w="60" w:type="dxa"/>
              <w:bottom w:w="50" w:type="dxa"/>
              <w:end w:w="60" w:type="dxa"/>
            </w:tcMar>
          </w:tcPr>
          <w:p>
            <w:pPr>
              <w:spacing w:after="0"/>
            </w:pPr>
            <w:r>
              <w:rPr>
                <w:rFonts w:ascii="Aptos" w:hAnsi="Aptos"/>
                <w:sz w:val="15"/>
              </w:rPr>
              <w:t>Specialist Standards</w:t>
            </w:r>
          </w:p>
        </w:tc>
        <w:tc>
          <w:tcPr>
            <w:tcW w:type="dxa" w:w="5760"/>
            <w:vAlign w:val="top"/>
            <w:tcMar>
              <w:top w:w="50" w:type="dxa"/>
              <w:start w:w="60" w:type="dxa"/>
              <w:bottom w:w="50" w:type="dxa"/>
              <w:end w:w="60" w:type="dxa"/>
            </w:tcMar>
          </w:tcPr>
          <w:p>
            <w:pPr>
              <w:spacing w:after="0"/>
            </w:pPr>
            <w:r>
              <w:rPr>
                <w:rFonts w:ascii="Aptos" w:hAnsi="Aptos"/>
                <w:sz w:val="15"/>
              </w:rPr>
              <w:t>Developer Guide, Technology Stack, Unit Testing, CLAUDE.md, MicroFunction, API, Database, Security, Knowledge Governance, Skills, and Greenfield Environment standards.</w:t>
            </w:r>
          </w:p>
        </w:tc>
      </w:tr>
      <w:tr>
        <w:trPr>
          <w:cantSplit/>
        </w:trPr>
        <w:tc>
          <w:tcPr>
            <w:tcW w:type="dxa" w:w="864"/>
            <w:vAlign w:val="top"/>
            <w:tcMar>
              <w:top w:w="50" w:type="dxa"/>
              <w:start w:w="60" w:type="dxa"/>
              <w:bottom w:w="50" w:type="dxa"/>
              <w:end w:w="60" w:type="dxa"/>
            </w:tcMar>
          </w:tcPr>
          <w:p>
            <w:pPr>
              <w:spacing w:after="0"/>
            </w:pPr>
            <w:r>
              <w:rPr>
                <w:rFonts w:ascii="Aptos" w:hAnsi="Aptos"/>
                <w:sz w:val="15"/>
              </w:rPr>
              <w:t>L4</w:t>
            </w:r>
          </w:p>
        </w:tc>
        <w:tc>
          <w:tcPr>
            <w:tcW w:type="dxa" w:w="3888"/>
            <w:vAlign w:val="top"/>
            <w:tcMar>
              <w:top w:w="50" w:type="dxa"/>
              <w:start w:w="60" w:type="dxa"/>
              <w:bottom w:w="50" w:type="dxa"/>
              <w:end w:w="60" w:type="dxa"/>
            </w:tcMar>
          </w:tcPr>
          <w:p>
            <w:pPr>
              <w:spacing w:after="0"/>
            </w:pPr>
            <w:r>
              <w:rPr>
                <w:rFonts w:ascii="Aptos" w:hAnsi="Aptos"/>
                <w:sz w:val="15"/>
              </w:rPr>
              <w:t>Tickets, ADRs, TDLs, PRs/MRs, runbooks</w:t>
            </w:r>
          </w:p>
        </w:tc>
        <w:tc>
          <w:tcPr>
            <w:tcW w:type="dxa" w:w="5760"/>
            <w:vAlign w:val="top"/>
            <w:tcMar>
              <w:top w:w="50" w:type="dxa"/>
              <w:start w:w="60" w:type="dxa"/>
              <w:bottom w:w="50" w:type="dxa"/>
              <w:end w:w="60" w:type="dxa"/>
            </w:tcMar>
          </w:tcPr>
          <w:p>
            <w:pPr>
              <w:spacing w:after="0"/>
            </w:pPr>
            <w:r>
              <w:rPr>
                <w:rFonts w:ascii="Aptos" w:hAnsi="Aptos"/>
                <w:sz w:val="15"/>
              </w:rPr>
              <w:t>Implementation-specific evidence and local procedures.</w:t>
            </w:r>
          </w:p>
        </w:tc>
      </w:tr>
    </w:tbl>
    <w:p/>
    <w:tbl>
      <w:tblPr>
        <w:tblStyle w:val="TableGrid"/>
        <w:tblW w:type="auto" w:w="0"/>
        <w:jc w:val="center"/>
        <w:tblLook w:firstColumn="1" w:firstRow="1" w:lastColumn="0" w:lastRow="0" w:noHBand="0" w:noVBand="1" w:val="04A0"/>
      </w:tblPr>
      <w:tblGrid>
        <w:gridCol w:w="10368"/>
      </w:tblGrid>
      <w:tr>
        <w:tc>
          <w:tcPr>
            <w:tcW w:type="dxa" w:w="10368"/>
            <w:shd w:fill="FFF2CC"/>
            <w:tcMar>
              <w:top w:w="145" w:type="dxa"/>
              <w:start w:w="160" w:type="dxa"/>
              <w:bottom w:w="145" w:type="dxa"/>
              <w:end w:w="160" w:type="dxa"/>
            </w:tcMar>
          </w:tcPr>
          <w:p>
            <w:pPr>
              <w:spacing w:after="60"/>
            </w:pPr>
            <w:r>
              <w:rPr>
                <w:rFonts w:ascii="Aptos" w:hAnsi="Aptos"/>
                <w:b/>
                <w:color w:val="1F4E79"/>
                <w:sz w:val="19"/>
              </w:rPr>
              <w:t>Interpretation Rule</w:t>
            </w:r>
          </w:p>
          <w:p>
            <w:pPr>
              <w:spacing w:after="0"/>
            </w:pPr>
            <w:r>
              <w:rPr>
                <w:rFonts w:ascii="Aptos" w:hAnsi="Aptos"/>
                <w:sz w:val="17"/>
              </w:rPr>
              <w:t>Where two documents appear inconsistent, the reviewer must not silently choose the convenient interpretation. The issue must be logged as an AVCI reconciliation item, assigned an owner, classified by severity, and resolved through the governed change-control process.</w:t>
            </w:r>
          </w:p>
        </w:tc>
      </w:tr>
    </w:tbl>
    <w:p/>
    <w:p>
      <w:pPr>
        <w:pStyle w:val="Heading1"/>
        <w:keepNext/>
      </w:pPr>
      <w:r>
        <w:t>3. The AVCI Standard</w:t>
      </w:r>
    </w:p>
    <w:p>
      <w:pPr>
        <w:spacing w:after="80"/>
      </w:pPr>
      <w:r>
        <w:rPr>
          <w:rFonts w:ascii="Aptos" w:hAnsi="Aptos"/>
          <w:sz w:val="18"/>
        </w:rPr>
        <w:t>AVCI is the minimum trust profile for every AIRA artifact. It ensures that artifacts can be traced, proven, handled correctly, and improved safely. AVCI applies equally to human work, automated work, and AI-assisted work.</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1728"/>
            <w:shd w:fill="1F4E79"/>
            <w:tcMar>
              <w:top w:w="60" w:type="dxa"/>
              <w:start w:w="60" w:type="dxa"/>
              <w:bottom w:w="60" w:type="dxa"/>
              <w:end w:w="60" w:type="dxa"/>
            </w:tcMar>
          </w:tcPr>
          <w:p>
            <w:pPr>
              <w:spacing w:after="0"/>
              <w:jc w:val="center"/>
            </w:pPr>
            <w:r>
              <w:rPr>
                <w:rFonts w:ascii="Aptos" w:hAnsi="Aptos"/>
                <w:b/>
                <w:color w:val="FFFFFF"/>
                <w:sz w:val="15"/>
              </w:rPr>
              <w:t>Property</w:t>
            </w:r>
          </w:p>
        </w:tc>
        <w:tc>
          <w:tcPr>
            <w:tcW w:type="dxa" w:w="4464"/>
            <w:shd w:fill="1F4E79"/>
            <w:tcMar>
              <w:top w:w="60" w:type="dxa"/>
              <w:start w:w="60" w:type="dxa"/>
              <w:bottom w:w="60" w:type="dxa"/>
              <w:end w:w="60" w:type="dxa"/>
            </w:tcMar>
          </w:tcPr>
          <w:p>
            <w:pPr>
              <w:spacing w:after="0"/>
              <w:jc w:val="center"/>
            </w:pPr>
            <w:r>
              <w:rPr>
                <w:rFonts w:ascii="Aptos" w:hAnsi="Aptos"/>
                <w:b/>
                <w:color w:val="FFFFFF"/>
                <w:sz w:val="15"/>
              </w:rPr>
              <w:t>Definition</w:t>
            </w:r>
          </w:p>
        </w:tc>
        <w:tc>
          <w:tcPr>
            <w:tcW w:type="dxa" w:w="4320"/>
            <w:shd w:fill="1F4E79"/>
            <w:tcMar>
              <w:top w:w="60" w:type="dxa"/>
              <w:start w:w="60" w:type="dxa"/>
              <w:bottom w:w="60" w:type="dxa"/>
              <w:end w:w="60" w:type="dxa"/>
            </w:tcMar>
          </w:tcPr>
          <w:p>
            <w:pPr>
              <w:spacing w:after="0"/>
              <w:jc w:val="center"/>
            </w:pPr>
            <w:r>
              <w:rPr>
                <w:rFonts w:ascii="Aptos" w:hAnsi="Aptos"/>
                <w:b/>
                <w:color w:val="FFFFFF"/>
                <w:sz w:val="15"/>
              </w:rPr>
              <w:t>Minimum Evidence</w:t>
            </w:r>
          </w:p>
        </w:tc>
      </w:tr>
      <w:tr>
        <w:trPr>
          <w:cantSplit/>
        </w:trPr>
        <w:tc>
          <w:tcPr>
            <w:tcW w:type="dxa" w:w="1728"/>
            <w:vAlign w:val="top"/>
            <w:tcMar>
              <w:top w:w="50" w:type="dxa"/>
              <w:start w:w="60" w:type="dxa"/>
              <w:bottom w:w="50" w:type="dxa"/>
              <w:end w:w="60" w:type="dxa"/>
            </w:tcMar>
          </w:tcPr>
          <w:p>
            <w:pPr>
              <w:spacing w:after="0"/>
            </w:pPr>
            <w:r>
              <w:rPr>
                <w:rFonts w:ascii="Aptos" w:hAnsi="Aptos"/>
                <w:sz w:val="15"/>
              </w:rPr>
              <w:t>Attributable</w:t>
            </w:r>
          </w:p>
        </w:tc>
        <w:tc>
          <w:tcPr>
            <w:tcW w:type="dxa" w:w="4464"/>
            <w:vAlign w:val="top"/>
            <w:tcMar>
              <w:top w:w="50" w:type="dxa"/>
              <w:start w:w="60" w:type="dxa"/>
              <w:bottom w:w="50" w:type="dxa"/>
              <w:end w:w="60" w:type="dxa"/>
            </w:tcMar>
          </w:tcPr>
          <w:p>
            <w:pPr>
              <w:spacing w:after="0"/>
            </w:pPr>
            <w:r>
              <w:rPr>
                <w:rFonts w:ascii="Aptos" w:hAnsi="Aptos"/>
                <w:sz w:val="15"/>
              </w:rPr>
              <w:t>Known owner, origin, version, source, approval, and reason for existence.</w:t>
            </w:r>
          </w:p>
        </w:tc>
        <w:tc>
          <w:tcPr>
            <w:tcW w:type="dxa" w:w="4320"/>
            <w:vAlign w:val="top"/>
            <w:tcMar>
              <w:top w:w="50" w:type="dxa"/>
              <w:start w:w="60" w:type="dxa"/>
              <w:bottom w:w="50" w:type="dxa"/>
              <w:end w:w="60" w:type="dxa"/>
            </w:tcMar>
          </w:tcPr>
          <w:p>
            <w:pPr>
              <w:spacing w:after="0"/>
            </w:pPr>
            <w:r>
              <w:rPr>
                <w:rFonts w:ascii="Aptos" w:hAnsi="Aptos"/>
                <w:sz w:val="15"/>
              </w:rPr>
              <w:t>Owner, source reference, ticket/ADR, version, commit, approver, timestamp.</w:t>
            </w:r>
          </w:p>
        </w:tc>
      </w:tr>
      <w:tr>
        <w:trPr>
          <w:cantSplit/>
        </w:trPr>
        <w:tc>
          <w:tcPr>
            <w:tcW w:type="dxa" w:w="1728"/>
            <w:vAlign w:val="top"/>
            <w:tcMar>
              <w:top w:w="50" w:type="dxa"/>
              <w:start w:w="60" w:type="dxa"/>
              <w:bottom w:w="50" w:type="dxa"/>
              <w:end w:w="60" w:type="dxa"/>
            </w:tcMar>
          </w:tcPr>
          <w:p>
            <w:pPr>
              <w:spacing w:after="0"/>
            </w:pPr>
            <w:r>
              <w:rPr>
                <w:rFonts w:ascii="Aptos" w:hAnsi="Aptos"/>
                <w:sz w:val="15"/>
              </w:rPr>
              <w:t>Verifiable</w:t>
            </w:r>
          </w:p>
        </w:tc>
        <w:tc>
          <w:tcPr>
            <w:tcW w:type="dxa" w:w="4464"/>
            <w:vAlign w:val="top"/>
            <w:tcMar>
              <w:top w:w="50" w:type="dxa"/>
              <w:start w:w="60" w:type="dxa"/>
              <w:bottom w:w="50" w:type="dxa"/>
              <w:end w:w="60" w:type="dxa"/>
            </w:tcMar>
          </w:tcPr>
          <w:p>
            <w:pPr>
              <w:spacing w:after="0"/>
            </w:pPr>
            <w:r>
              <w:rPr>
                <w:rFonts w:ascii="Aptos" w:hAnsi="Aptos"/>
                <w:sz w:val="15"/>
              </w:rPr>
              <w:t>Evidence proves the artifact works, is current, and meets its specification and design constraints.</w:t>
            </w:r>
          </w:p>
        </w:tc>
        <w:tc>
          <w:tcPr>
            <w:tcW w:type="dxa" w:w="4320"/>
            <w:vAlign w:val="top"/>
            <w:tcMar>
              <w:top w:w="50" w:type="dxa"/>
              <w:start w:w="60" w:type="dxa"/>
              <w:bottom w:w="50" w:type="dxa"/>
              <w:end w:w="60" w:type="dxa"/>
            </w:tcMar>
          </w:tcPr>
          <w:p>
            <w:pPr>
              <w:spacing w:after="0"/>
            </w:pPr>
            <w:r>
              <w:rPr>
                <w:rFonts w:ascii="Aptos" w:hAnsi="Aptos"/>
                <w:sz w:val="15"/>
              </w:rPr>
              <w:t>Tests, scans, reviews, policy checks, fitness functions, evidence refs, confidence score.</w:t>
            </w:r>
          </w:p>
        </w:tc>
      </w:tr>
      <w:tr>
        <w:trPr>
          <w:cantSplit/>
        </w:trPr>
        <w:tc>
          <w:tcPr>
            <w:tcW w:type="dxa" w:w="1728"/>
            <w:vAlign w:val="top"/>
            <w:tcMar>
              <w:top w:w="50" w:type="dxa"/>
              <w:start w:w="60" w:type="dxa"/>
              <w:bottom w:w="50" w:type="dxa"/>
              <w:end w:w="60" w:type="dxa"/>
            </w:tcMar>
          </w:tcPr>
          <w:p>
            <w:pPr>
              <w:spacing w:after="0"/>
            </w:pPr>
            <w:r>
              <w:rPr>
                <w:rFonts w:ascii="Aptos" w:hAnsi="Aptos"/>
                <w:sz w:val="15"/>
              </w:rPr>
              <w:t>Classifiable</w:t>
            </w:r>
          </w:p>
        </w:tc>
        <w:tc>
          <w:tcPr>
            <w:tcW w:type="dxa" w:w="4464"/>
            <w:vAlign w:val="top"/>
            <w:tcMar>
              <w:top w:w="50" w:type="dxa"/>
              <w:start w:w="60" w:type="dxa"/>
              <w:bottom w:w="50" w:type="dxa"/>
              <w:end w:w="60" w:type="dxa"/>
            </w:tcMar>
          </w:tcPr>
          <w:p>
            <w:pPr>
              <w:spacing w:after="0"/>
            </w:pPr>
            <w:r>
              <w:rPr>
                <w:rFonts w:ascii="Aptos" w:hAnsi="Aptos"/>
                <w:sz w:val="15"/>
              </w:rPr>
              <w:t>Labelled by sensitivity, domain, tier, risk, and handling rules.</w:t>
            </w:r>
          </w:p>
        </w:tc>
        <w:tc>
          <w:tcPr>
            <w:tcW w:type="dxa" w:w="4320"/>
            <w:vAlign w:val="top"/>
            <w:tcMar>
              <w:top w:w="50" w:type="dxa"/>
              <w:start w:w="60" w:type="dxa"/>
              <w:bottom w:w="50" w:type="dxa"/>
              <w:end w:w="60" w:type="dxa"/>
            </w:tcMar>
          </w:tcPr>
          <w:p>
            <w:pPr>
              <w:spacing w:after="0"/>
            </w:pPr>
            <w:r>
              <w:rPr>
                <w:rFonts w:ascii="Aptos" w:hAnsi="Aptos"/>
                <w:sz w:val="15"/>
              </w:rPr>
              <w:t>Classification label, domain D1-D12, tier, ACL, retention, model-route rule.</w:t>
            </w:r>
          </w:p>
        </w:tc>
      </w:tr>
      <w:tr>
        <w:trPr>
          <w:cantSplit/>
        </w:trPr>
        <w:tc>
          <w:tcPr>
            <w:tcW w:type="dxa" w:w="1728"/>
            <w:vAlign w:val="top"/>
            <w:tcMar>
              <w:top w:w="50" w:type="dxa"/>
              <w:start w:w="60" w:type="dxa"/>
              <w:bottom w:w="50" w:type="dxa"/>
              <w:end w:w="60" w:type="dxa"/>
            </w:tcMar>
          </w:tcPr>
          <w:p>
            <w:pPr>
              <w:spacing w:after="0"/>
            </w:pPr>
            <w:r>
              <w:rPr>
                <w:rFonts w:ascii="Aptos" w:hAnsi="Aptos"/>
                <w:sz w:val="15"/>
              </w:rPr>
              <w:t>Improvable</w:t>
            </w:r>
          </w:p>
        </w:tc>
        <w:tc>
          <w:tcPr>
            <w:tcW w:type="dxa" w:w="4464"/>
            <w:vAlign w:val="top"/>
            <w:tcMar>
              <w:top w:w="50" w:type="dxa"/>
              <w:start w:w="60" w:type="dxa"/>
              <w:bottom w:w="50" w:type="dxa"/>
              <w:end w:w="60" w:type="dxa"/>
            </w:tcMar>
          </w:tcPr>
          <w:p>
            <w:pPr>
              <w:spacing w:after="0"/>
            </w:pPr>
            <w:r>
              <w:rPr>
                <w:rFonts w:ascii="Aptos" w:hAnsi="Aptos"/>
                <w:sz w:val="15"/>
              </w:rPr>
              <w:t>Governed feedback path and measurable improvement mechanism exist.</w:t>
            </w:r>
          </w:p>
        </w:tc>
        <w:tc>
          <w:tcPr>
            <w:tcW w:type="dxa" w:w="4320"/>
            <w:vAlign w:val="top"/>
            <w:tcMar>
              <w:top w:w="50" w:type="dxa"/>
              <w:start w:w="60" w:type="dxa"/>
              <w:bottom w:w="50" w:type="dxa"/>
              <w:end w:w="60" w:type="dxa"/>
            </w:tcMar>
          </w:tcPr>
          <w:p>
            <w:pPr>
              <w:spacing w:after="0"/>
            </w:pPr>
            <w:r>
              <w:rPr>
                <w:rFonts w:ascii="Aptos" w:hAnsi="Aptos"/>
                <w:sz w:val="15"/>
              </w:rPr>
              <w:t>Feedback channel, owner review, metrics, regression checks, approval gate.</w:t>
            </w:r>
          </w:p>
        </w:tc>
      </w:tr>
    </w:tbl>
    <w:p/>
    <w:tbl>
      <w:tblPr>
        <w:tblStyle w:val="TableGrid"/>
        <w:tblW w:type="auto" w:w="0"/>
        <w:jc w:val="center"/>
        <w:tblLook w:firstColumn="1" w:firstRow="1" w:lastColumn="0" w:lastRow="0" w:noHBand="0" w:noVBand="1" w:val="04A0"/>
      </w:tblPr>
      <w:tblGrid>
        <w:gridCol w:w="10368"/>
      </w:tblGrid>
      <w:tr>
        <w:tc>
          <w:tcPr>
            <w:tcW w:type="dxa" w:w="10368"/>
            <w:shd w:fill="FCE4D6"/>
            <w:tcMar>
              <w:top w:w="145" w:type="dxa"/>
              <w:start w:w="160" w:type="dxa"/>
              <w:bottom w:w="145" w:type="dxa"/>
              <w:end w:w="160" w:type="dxa"/>
            </w:tcMar>
          </w:tcPr>
          <w:p>
            <w:pPr>
              <w:spacing w:after="60"/>
            </w:pPr>
            <w:r>
              <w:rPr>
                <w:rFonts w:ascii="Aptos" w:hAnsi="Aptos"/>
                <w:b/>
                <w:color w:val="1F4E79"/>
                <w:sz w:val="19"/>
              </w:rPr>
              <w:t>Production-Readiness Rule</w:t>
            </w:r>
          </w:p>
          <w:p>
            <w:pPr>
              <w:spacing w:after="0"/>
            </w:pPr>
            <w:r>
              <w:rPr>
                <w:rFonts w:ascii="Aptos" w:hAnsi="Aptos"/>
                <w:sz w:val="17"/>
              </w:rPr>
              <w:t>If any AVCI property is absent, stale, unverifiable, or contradicted by the Enterprise Design Principles &amp; SOLID Enforcement Layer, the artifact is not production-ready. Delivery pressure does not lower the gate; it only changes escalation priority.</w:t>
            </w:r>
          </w:p>
        </w:tc>
      </w:tr>
    </w:tbl>
    <w:p/>
    <w:p>
      <w:pPr>
        <w:pStyle w:val="Heading2"/>
        <w:keepNext/>
      </w:pPr>
      <w:r>
        <w:t>3.1 AVCI and AI Accountability</w:t>
      </w:r>
    </w:p>
    <w:p>
      <w:pPr>
        <w:spacing w:after="80"/>
      </w:pPr>
      <w:r>
        <w:rPr>
          <w:rFonts w:ascii="Aptos" w:hAnsi="Aptos"/>
          <w:sz w:val="18"/>
        </w:rPr>
        <w:t>AI may generate drafts, suggestions, code, analyses, summaries, tests, remediation options, and improvement proposals. AI does not own accountability. The accountable owner is always a named human role or approved service owner. All AI-assisted outputs must record model route, prompt version, guardrail policy, retrieval evidence, design-principle impact, and human approval state where applicable.</w:t>
      </w:r>
    </w:p>
    <w:p>
      <w:pPr>
        <w:pStyle w:val="Heading1"/>
        <w:keepNext/>
      </w:pPr>
      <w:r>
        <w:t>4. Universal AVCI Application Model</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1872"/>
            <w:shd w:fill="1F4E79"/>
            <w:tcMar>
              <w:top w:w="60" w:type="dxa"/>
              <w:start w:w="60" w:type="dxa"/>
              <w:bottom w:w="60" w:type="dxa"/>
              <w:end w:w="60" w:type="dxa"/>
            </w:tcMar>
          </w:tcPr>
          <w:p>
            <w:pPr>
              <w:spacing w:after="0"/>
              <w:jc w:val="center"/>
            </w:pPr>
            <w:r>
              <w:rPr>
                <w:rFonts w:ascii="Aptos" w:hAnsi="Aptos"/>
                <w:b/>
                <w:color w:val="FFFFFF"/>
                <w:sz w:val="14"/>
              </w:rPr>
              <w:t>Category</w:t>
            </w:r>
          </w:p>
        </w:tc>
        <w:tc>
          <w:tcPr>
            <w:tcW w:type="dxa" w:w="3600"/>
            <w:shd w:fill="1F4E79"/>
            <w:tcMar>
              <w:top w:w="60" w:type="dxa"/>
              <w:start w:w="60" w:type="dxa"/>
              <w:bottom w:w="60" w:type="dxa"/>
              <w:end w:w="60" w:type="dxa"/>
            </w:tcMar>
          </w:tcPr>
          <w:p>
            <w:pPr>
              <w:spacing w:after="0"/>
              <w:jc w:val="center"/>
            </w:pPr>
            <w:r>
              <w:rPr>
                <w:rFonts w:ascii="Aptos" w:hAnsi="Aptos"/>
                <w:b/>
                <w:color w:val="FFFFFF"/>
                <w:sz w:val="14"/>
              </w:rPr>
              <w:t>Examples</w:t>
            </w:r>
          </w:p>
        </w:tc>
        <w:tc>
          <w:tcPr>
            <w:tcW w:type="dxa" w:w="5040"/>
            <w:shd w:fill="1F4E79"/>
            <w:tcMar>
              <w:top w:w="60" w:type="dxa"/>
              <w:start w:w="60" w:type="dxa"/>
              <w:bottom w:w="60" w:type="dxa"/>
              <w:end w:w="60" w:type="dxa"/>
            </w:tcMar>
          </w:tcPr>
          <w:p>
            <w:pPr>
              <w:spacing w:after="0"/>
              <w:jc w:val="center"/>
            </w:pPr>
            <w:r>
              <w:rPr>
                <w:rFonts w:ascii="Aptos" w:hAnsi="Aptos"/>
                <w:b/>
                <w:color w:val="FFFFFF"/>
                <w:sz w:val="14"/>
              </w:rPr>
              <w:t>AVCI + Design Control Requirement</w:t>
            </w:r>
          </w:p>
        </w:tc>
      </w:tr>
      <w:tr>
        <w:trPr>
          <w:cantSplit/>
        </w:trPr>
        <w:tc>
          <w:tcPr>
            <w:tcW w:type="dxa" w:w="1872"/>
            <w:vAlign w:val="top"/>
            <w:tcMar>
              <w:top w:w="50" w:type="dxa"/>
              <w:start w:w="60" w:type="dxa"/>
              <w:bottom w:w="50" w:type="dxa"/>
              <w:end w:w="60" w:type="dxa"/>
            </w:tcMar>
          </w:tcPr>
          <w:p>
            <w:pPr>
              <w:spacing w:after="0"/>
            </w:pPr>
            <w:r>
              <w:rPr>
                <w:rFonts w:ascii="Aptos" w:hAnsi="Aptos"/>
                <w:sz w:val="14"/>
              </w:rPr>
              <w:t>Source Code</w:t>
            </w:r>
          </w:p>
        </w:tc>
        <w:tc>
          <w:tcPr>
            <w:tcW w:type="dxa" w:w="3600"/>
            <w:vAlign w:val="top"/>
            <w:tcMar>
              <w:top w:w="50" w:type="dxa"/>
              <w:start w:w="60" w:type="dxa"/>
              <w:bottom w:w="50" w:type="dxa"/>
              <w:end w:w="60" w:type="dxa"/>
            </w:tcMar>
          </w:tcPr>
          <w:p>
            <w:pPr>
              <w:spacing w:after="0"/>
            </w:pPr>
            <w:r>
              <w:rPr>
                <w:rFonts w:ascii="Aptos" w:hAnsi="Aptos"/>
                <w:sz w:val="14"/>
              </w:rPr>
              <w:t>Java, TypeScript, Python, infrastructure scripts, adapters, MicroFunctions</w:t>
            </w:r>
          </w:p>
        </w:tc>
        <w:tc>
          <w:tcPr>
            <w:tcW w:type="dxa" w:w="5040"/>
            <w:vAlign w:val="top"/>
            <w:tcMar>
              <w:top w:w="50" w:type="dxa"/>
              <w:start w:w="60" w:type="dxa"/>
              <w:bottom w:w="50" w:type="dxa"/>
              <w:end w:w="60" w:type="dxa"/>
            </w:tcMar>
          </w:tcPr>
          <w:p>
            <w:pPr>
              <w:spacing w:after="0"/>
            </w:pPr>
            <w:r>
              <w:rPr>
                <w:rFonts w:ascii="Aptos" w:hAnsi="Aptos"/>
                <w:sz w:val="14"/>
              </w:rPr>
              <w:t>Trace to ticket/ADR; reviewed; tested; scanned; architecture-boundary checked; fitness functions pass.</w:t>
            </w:r>
          </w:p>
        </w:tc>
      </w:tr>
      <w:tr>
        <w:trPr>
          <w:cantSplit/>
        </w:trPr>
        <w:tc>
          <w:tcPr>
            <w:tcW w:type="dxa" w:w="1872"/>
            <w:vAlign w:val="top"/>
            <w:tcMar>
              <w:top w:w="50" w:type="dxa"/>
              <w:start w:w="60" w:type="dxa"/>
              <w:bottom w:w="50" w:type="dxa"/>
              <w:end w:w="60" w:type="dxa"/>
            </w:tcMar>
          </w:tcPr>
          <w:p>
            <w:pPr>
              <w:spacing w:after="0"/>
            </w:pPr>
            <w:r>
              <w:rPr>
                <w:rFonts w:ascii="Aptos" w:hAnsi="Aptos"/>
                <w:sz w:val="14"/>
              </w:rPr>
              <w:t>Configuration</w:t>
            </w:r>
          </w:p>
        </w:tc>
        <w:tc>
          <w:tcPr>
            <w:tcW w:type="dxa" w:w="3600"/>
            <w:vAlign w:val="top"/>
            <w:tcMar>
              <w:top w:w="50" w:type="dxa"/>
              <w:start w:w="60" w:type="dxa"/>
              <w:bottom w:w="50" w:type="dxa"/>
              <w:end w:w="60" w:type="dxa"/>
            </w:tcMar>
          </w:tcPr>
          <w:p>
            <w:pPr>
              <w:spacing w:after="0"/>
            </w:pPr>
            <w:r>
              <w:rPr>
                <w:rFonts w:ascii="Aptos" w:hAnsi="Aptos"/>
                <w:sz w:val="14"/>
              </w:rPr>
              <w:t>Helm values, feature flags, runtime parameters, model aliases, guardrails</w:t>
            </w:r>
          </w:p>
        </w:tc>
        <w:tc>
          <w:tcPr>
            <w:tcW w:type="dxa" w:w="5040"/>
            <w:vAlign w:val="top"/>
            <w:tcMar>
              <w:top w:w="50" w:type="dxa"/>
              <w:start w:w="60" w:type="dxa"/>
              <w:bottom w:w="50" w:type="dxa"/>
              <w:end w:w="60" w:type="dxa"/>
            </w:tcMar>
          </w:tcPr>
          <w:p>
            <w:pPr>
              <w:spacing w:after="0"/>
            </w:pPr>
            <w:r>
              <w:rPr>
                <w:rFonts w:ascii="Aptos" w:hAnsi="Aptos"/>
                <w:sz w:val="14"/>
              </w:rPr>
              <w:t>Git-tracked; policy-validated; no secrets; drift-detected; reversible activation path.</w:t>
            </w:r>
          </w:p>
        </w:tc>
      </w:tr>
      <w:tr>
        <w:trPr>
          <w:cantSplit/>
        </w:trPr>
        <w:tc>
          <w:tcPr>
            <w:tcW w:type="dxa" w:w="1872"/>
            <w:vAlign w:val="top"/>
            <w:tcMar>
              <w:top w:w="50" w:type="dxa"/>
              <w:start w:w="60" w:type="dxa"/>
              <w:bottom w:w="50" w:type="dxa"/>
              <w:end w:w="60" w:type="dxa"/>
            </w:tcMar>
          </w:tcPr>
          <w:p>
            <w:pPr>
              <w:spacing w:after="0"/>
            </w:pPr>
            <w:r>
              <w:rPr>
                <w:rFonts w:ascii="Aptos" w:hAnsi="Aptos"/>
                <w:sz w:val="14"/>
              </w:rPr>
              <w:t>Infrastructure</w:t>
            </w:r>
          </w:p>
        </w:tc>
        <w:tc>
          <w:tcPr>
            <w:tcW w:type="dxa" w:w="3600"/>
            <w:vAlign w:val="top"/>
            <w:tcMar>
              <w:top w:w="50" w:type="dxa"/>
              <w:start w:w="60" w:type="dxa"/>
              <w:bottom w:w="50" w:type="dxa"/>
              <w:end w:w="60" w:type="dxa"/>
            </w:tcMar>
          </w:tcPr>
          <w:p>
            <w:pPr>
              <w:spacing w:after="0"/>
            </w:pPr>
            <w:r>
              <w:rPr>
                <w:rFonts w:ascii="Aptos" w:hAnsi="Aptos"/>
                <w:sz w:val="14"/>
              </w:rPr>
              <w:t>Kubernetes manifests, network policies, storage, VMs, DR procedures</w:t>
            </w:r>
          </w:p>
        </w:tc>
        <w:tc>
          <w:tcPr>
            <w:tcW w:type="dxa" w:w="5040"/>
            <w:vAlign w:val="top"/>
            <w:tcMar>
              <w:top w:w="50" w:type="dxa"/>
              <w:start w:w="60" w:type="dxa"/>
              <w:bottom w:w="50" w:type="dxa"/>
              <w:end w:w="60" w:type="dxa"/>
            </w:tcMar>
          </w:tcPr>
          <w:p>
            <w:pPr>
              <w:spacing w:after="0"/>
            </w:pPr>
            <w:r>
              <w:rPr>
                <w:rFonts w:ascii="Aptos" w:hAnsi="Aptos"/>
                <w:sz w:val="14"/>
              </w:rPr>
              <w:t>Provisioned from approved source; signed; scanned; reproducible; monitored; change-controlled.</w:t>
            </w:r>
          </w:p>
        </w:tc>
      </w:tr>
      <w:tr>
        <w:trPr>
          <w:cantSplit/>
        </w:trPr>
        <w:tc>
          <w:tcPr>
            <w:tcW w:type="dxa" w:w="1872"/>
            <w:vAlign w:val="top"/>
            <w:tcMar>
              <w:top w:w="50" w:type="dxa"/>
              <w:start w:w="60" w:type="dxa"/>
              <w:bottom w:w="50" w:type="dxa"/>
              <w:end w:w="60" w:type="dxa"/>
            </w:tcMar>
          </w:tcPr>
          <w:p>
            <w:pPr>
              <w:spacing w:after="0"/>
            </w:pPr>
            <w:r>
              <w:rPr>
                <w:rFonts w:ascii="Aptos" w:hAnsi="Aptos"/>
                <w:sz w:val="14"/>
              </w:rPr>
              <w:t>Data and Schemas</w:t>
            </w:r>
          </w:p>
        </w:tc>
        <w:tc>
          <w:tcPr>
            <w:tcW w:type="dxa" w:w="3600"/>
            <w:vAlign w:val="top"/>
            <w:tcMar>
              <w:top w:w="50" w:type="dxa"/>
              <w:start w:w="60" w:type="dxa"/>
              <w:bottom w:w="50" w:type="dxa"/>
              <w:end w:w="60" w:type="dxa"/>
            </w:tcMar>
          </w:tcPr>
          <w:p>
            <w:pPr>
              <w:spacing w:after="0"/>
            </w:pPr>
            <w:r>
              <w:rPr>
                <w:rFonts w:ascii="Aptos" w:hAnsi="Aptos"/>
                <w:sz w:val="14"/>
              </w:rPr>
              <w:t>PostgreSQL migrations, RLS, JSON/Avro schemas, embeddings</w:t>
            </w:r>
          </w:p>
        </w:tc>
        <w:tc>
          <w:tcPr>
            <w:tcW w:type="dxa" w:w="5040"/>
            <w:vAlign w:val="top"/>
            <w:tcMar>
              <w:top w:w="50" w:type="dxa"/>
              <w:start w:w="60" w:type="dxa"/>
              <w:bottom w:w="50" w:type="dxa"/>
              <w:end w:w="60" w:type="dxa"/>
            </w:tcMar>
          </w:tcPr>
          <w:p>
            <w:pPr>
              <w:spacing w:after="0"/>
            </w:pPr>
            <w:r>
              <w:rPr>
                <w:rFonts w:ascii="Aptos" w:hAnsi="Aptos"/>
                <w:sz w:val="14"/>
              </w:rPr>
              <w:t>Versioned; migration-tested; classified; lineage-preserving; contract-compatible.</w:t>
            </w:r>
          </w:p>
        </w:tc>
      </w:tr>
      <w:tr>
        <w:trPr>
          <w:cantSplit/>
        </w:trPr>
        <w:tc>
          <w:tcPr>
            <w:tcW w:type="dxa" w:w="1872"/>
            <w:vAlign w:val="top"/>
            <w:tcMar>
              <w:top w:w="50" w:type="dxa"/>
              <w:start w:w="60" w:type="dxa"/>
              <w:bottom w:w="50" w:type="dxa"/>
              <w:end w:w="60" w:type="dxa"/>
            </w:tcMar>
          </w:tcPr>
          <w:p>
            <w:pPr>
              <w:spacing w:after="0"/>
            </w:pPr>
            <w:r>
              <w:rPr>
                <w:rFonts w:ascii="Aptos" w:hAnsi="Aptos"/>
                <w:sz w:val="14"/>
              </w:rPr>
              <w:t>Tests and Evidence</w:t>
            </w:r>
          </w:p>
        </w:tc>
        <w:tc>
          <w:tcPr>
            <w:tcW w:type="dxa" w:w="3600"/>
            <w:vAlign w:val="top"/>
            <w:tcMar>
              <w:top w:w="50" w:type="dxa"/>
              <w:start w:w="60" w:type="dxa"/>
              <w:bottom w:w="50" w:type="dxa"/>
              <w:end w:w="60" w:type="dxa"/>
            </w:tcMar>
          </w:tcPr>
          <w:p>
            <w:pPr>
              <w:spacing w:after="0"/>
            </w:pPr>
            <w:r>
              <w:rPr>
                <w:rFonts w:ascii="Aptos" w:hAnsi="Aptos"/>
                <w:sz w:val="14"/>
              </w:rPr>
              <w:t>Unit, contract, scan, SBOM, RAG evaluation, fitness-function reports</w:t>
            </w:r>
          </w:p>
        </w:tc>
        <w:tc>
          <w:tcPr>
            <w:tcW w:type="dxa" w:w="5040"/>
            <w:vAlign w:val="top"/>
            <w:tcMar>
              <w:top w:w="50" w:type="dxa"/>
              <w:start w:w="60" w:type="dxa"/>
              <w:bottom w:w="50" w:type="dxa"/>
              <w:end w:w="60" w:type="dxa"/>
            </w:tcMar>
          </w:tcPr>
          <w:p>
            <w:pPr>
              <w:spacing w:after="0"/>
            </w:pPr>
            <w:r>
              <w:rPr>
                <w:rFonts w:ascii="Aptos" w:hAnsi="Aptos"/>
                <w:sz w:val="14"/>
              </w:rPr>
              <w:t>Deterministic; linked to requirements; retained; improved through defects and coverage gaps.</w:t>
            </w:r>
          </w:p>
        </w:tc>
      </w:tr>
      <w:tr>
        <w:trPr>
          <w:cantSplit/>
        </w:trPr>
        <w:tc>
          <w:tcPr>
            <w:tcW w:type="dxa" w:w="1872"/>
            <w:vAlign w:val="top"/>
            <w:tcMar>
              <w:top w:w="50" w:type="dxa"/>
              <w:start w:w="60" w:type="dxa"/>
              <w:bottom w:w="50" w:type="dxa"/>
              <w:end w:w="60" w:type="dxa"/>
            </w:tcMar>
          </w:tcPr>
          <w:p>
            <w:pPr>
              <w:spacing w:after="0"/>
            </w:pPr>
            <w:r>
              <w:rPr>
                <w:rFonts w:ascii="Aptos" w:hAnsi="Aptos"/>
                <w:sz w:val="14"/>
              </w:rPr>
              <w:t>AI Artifacts</w:t>
            </w:r>
          </w:p>
        </w:tc>
        <w:tc>
          <w:tcPr>
            <w:tcW w:type="dxa" w:w="3600"/>
            <w:vAlign w:val="top"/>
            <w:tcMar>
              <w:top w:w="50" w:type="dxa"/>
              <w:start w:w="60" w:type="dxa"/>
              <w:bottom w:w="50" w:type="dxa"/>
              <w:end w:w="60" w:type="dxa"/>
            </w:tcMar>
          </w:tcPr>
          <w:p>
            <w:pPr>
              <w:spacing w:after="0"/>
            </w:pPr>
            <w:r>
              <w:rPr>
                <w:rFonts w:ascii="Aptos" w:hAnsi="Aptos"/>
                <w:sz w:val="14"/>
              </w:rPr>
              <w:t>Prompts, model aliases, guardrails, agent skills, retrieval configs</w:t>
            </w:r>
          </w:p>
        </w:tc>
        <w:tc>
          <w:tcPr>
            <w:tcW w:type="dxa" w:w="5040"/>
            <w:vAlign w:val="top"/>
            <w:tcMar>
              <w:top w:w="50" w:type="dxa"/>
              <w:start w:w="60" w:type="dxa"/>
              <w:bottom w:w="50" w:type="dxa"/>
              <w:end w:w="60" w:type="dxa"/>
            </w:tcMar>
          </w:tcPr>
          <w:p>
            <w:pPr>
              <w:spacing w:after="0"/>
            </w:pPr>
            <w:r>
              <w:rPr>
                <w:rFonts w:ascii="Aptos" w:hAnsi="Aptos"/>
                <w:sz w:val="14"/>
              </w:rPr>
              <w:t>No anonymous prompts; no bypass routes; evaluation-gated; classification-aware; human-reviewed for high impact.</w:t>
            </w:r>
          </w:p>
        </w:tc>
      </w:tr>
      <w:tr>
        <w:trPr>
          <w:cantSplit/>
        </w:trPr>
        <w:tc>
          <w:tcPr>
            <w:tcW w:type="dxa" w:w="1872"/>
            <w:vAlign w:val="top"/>
            <w:tcMar>
              <w:top w:w="50" w:type="dxa"/>
              <w:start w:w="60" w:type="dxa"/>
              <w:bottom w:w="50" w:type="dxa"/>
              <w:end w:w="60" w:type="dxa"/>
            </w:tcMar>
          </w:tcPr>
          <w:p>
            <w:pPr>
              <w:spacing w:after="0"/>
            </w:pPr>
            <w:r>
              <w:rPr>
                <w:rFonts w:ascii="Aptos" w:hAnsi="Aptos"/>
                <w:sz w:val="14"/>
              </w:rPr>
              <w:t>Knowledge</w:t>
            </w:r>
          </w:p>
        </w:tc>
        <w:tc>
          <w:tcPr>
            <w:tcW w:type="dxa" w:w="3600"/>
            <w:vAlign w:val="top"/>
            <w:tcMar>
              <w:top w:w="50" w:type="dxa"/>
              <w:start w:w="60" w:type="dxa"/>
              <w:bottom w:w="50" w:type="dxa"/>
              <w:end w:w="60" w:type="dxa"/>
            </w:tcMar>
          </w:tcPr>
          <w:p>
            <w:pPr>
              <w:spacing w:after="0"/>
            </w:pPr>
            <w:r>
              <w:rPr>
                <w:rFonts w:ascii="Aptos" w:hAnsi="Aptos"/>
                <w:sz w:val="14"/>
              </w:rPr>
              <w:t>LLM Wiki, Obsidian notes, OpenKM source packs, ADRs</w:t>
            </w:r>
          </w:p>
        </w:tc>
        <w:tc>
          <w:tcPr>
            <w:tcW w:type="dxa" w:w="5040"/>
            <w:vAlign w:val="top"/>
            <w:tcMar>
              <w:top w:w="50" w:type="dxa"/>
              <w:start w:w="60" w:type="dxa"/>
              <w:bottom w:w="50" w:type="dxa"/>
              <w:end w:w="60" w:type="dxa"/>
            </w:tcMar>
          </w:tcPr>
          <w:p>
            <w:pPr>
              <w:spacing w:after="0"/>
            </w:pPr>
            <w:r>
              <w:rPr>
                <w:rFonts w:ascii="Aptos" w:hAnsi="Aptos"/>
                <w:sz w:val="14"/>
              </w:rPr>
              <w:t>Cited; versioned; current; conflict-resolved; stale items quarantined.</w:t>
            </w:r>
          </w:p>
        </w:tc>
      </w:tr>
      <w:tr>
        <w:trPr>
          <w:cantSplit/>
        </w:trPr>
        <w:tc>
          <w:tcPr>
            <w:tcW w:type="dxa" w:w="1872"/>
            <w:vAlign w:val="top"/>
            <w:tcMar>
              <w:top w:w="50" w:type="dxa"/>
              <w:start w:w="60" w:type="dxa"/>
              <w:bottom w:w="50" w:type="dxa"/>
              <w:end w:w="60" w:type="dxa"/>
            </w:tcMar>
          </w:tcPr>
          <w:p>
            <w:pPr>
              <w:spacing w:after="0"/>
            </w:pPr>
            <w:r>
              <w:rPr>
                <w:rFonts w:ascii="Aptos" w:hAnsi="Aptos"/>
                <w:sz w:val="14"/>
              </w:rPr>
              <w:t>Operations</w:t>
            </w:r>
          </w:p>
        </w:tc>
        <w:tc>
          <w:tcPr>
            <w:tcW w:type="dxa" w:w="3600"/>
            <w:vAlign w:val="top"/>
            <w:tcMar>
              <w:top w:w="50" w:type="dxa"/>
              <w:start w:w="60" w:type="dxa"/>
              <w:bottom w:w="50" w:type="dxa"/>
              <w:end w:w="60" w:type="dxa"/>
            </w:tcMar>
          </w:tcPr>
          <w:p>
            <w:pPr>
              <w:spacing w:after="0"/>
            </w:pPr>
            <w:r>
              <w:rPr>
                <w:rFonts w:ascii="Aptos" w:hAnsi="Aptos"/>
                <w:sz w:val="14"/>
              </w:rPr>
              <w:t>Runbooks, incident records, change tickets, Auto-Heal proposals</w:t>
            </w:r>
          </w:p>
        </w:tc>
        <w:tc>
          <w:tcPr>
            <w:tcW w:type="dxa" w:w="5040"/>
            <w:vAlign w:val="top"/>
            <w:tcMar>
              <w:top w:w="50" w:type="dxa"/>
              <w:start w:w="60" w:type="dxa"/>
              <w:bottom w:w="50" w:type="dxa"/>
              <w:end w:w="60" w:type="dxa"/>
            </w:tcMar>
          </w:tcPr>
          <w:p>
            <w:pPr>
              <w:spacing w:after="0"/>
            </w:pPr>
            <w:r>
              <w:rPr>
                <w:rFonts w:ascii="Aptos" w:hAnsi="Aptos"/>
                <w:sz w:val="14"/>
              </w:rPr>
              <w:t>Evidence-based; reversible; human-approved for high impact; lessons promoted through governed Auto-Learn.</w:t>
            </w:r>
          </w:p>
        </w:tc>
      </w:tr>
    </w:tbl>
    <w:p/>
    <w:p>
      <w:pPr>
        <w:pStyle w:val="Heading1"/>
        <w:keepNext/>
      </w:pPr>
      <w:r>
        <w:t>5. Enterprise Design Principles &amp; SOLID Enforcement Layer</w:t>
      </w:r>
    </w:p>
    <w:p>
      <w:pPr>
        <w:spacing w:after="80"/>
      </w:pPr>
      <w:r>
        <w:rPr>
          <w:rFonts w:ascii="Aptos" w:hAnsi="Aptos"/>
          <w:sz w:val="18"/>
        </w:rPr>
        <w:t>The following 20 principles are mandatory production-readiness controls. They extend AVCI from artifact trust into architecture discipline, maintainability, secure operation, and safe continuous improvement.</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1152"/>
            <w:shd w:fill="1F4E79"/>
            <w:tcMar>
              <w:top w:w="60" w:type="dxa"/>
              <w:start w:w="60" w:type="dxa"/>
              <w:bottom w:w="60" w:type="dxa"/>
              <w:end w:w="60" w:type="dxa"/>
            </w:tcMar>
          </w:tcPr>
          <w:p>
            <w:pPr>
              <w:spacing w:after="0"/>
              <w:jc w:val="center"/>
            </w:pPr>
            <w:r>
              <w:rPr>
                <w:rFonts w:ascii="Aptos" w:hAnsi="Aptos"/>
                <w:b/>
                <w:color w:val="FFFFFF"/>
                <w:sz w:val="14"/>
              </w:rPr>
              <w:t>ID</w:t>
            </w:r>
          </w:p>
        </w:tc>
        <w:tc>
          <w:tcPr>
            <w:tcW w:type="dxa" w:w="2592"/>
            <w:shd w:fill="1F4E79"/>
            <w:tcMar>
              <w:top w:w="60" w:type="dxa"/>
              <w:start w:w="60" w:type="dxa"/>
              <w:bottom w:w="60" w:type="dxa"/>
              <w:end w:w="60" w:type="dxa"/>
            </w:tcMar>
          </w:tcPr>
          <w:p>
            <w:pPr>
              <w:spacing w:after="0"/>
              <w:jc w:val="center"/>
            </w:pPr>
            <w:r>
              <w:rPr>
                <w:rFonts w:ascii="Aptos" w:hAnsi="Aptos"/>
                <w:b/>
                <w:color w:val="FFFFFF"/>
                <w:sz w:val="14"/>
              </w:rPr>
              <w:t>Principle</w:t>
            </w:r>
          </w:p>
        </w:tc>
        <w:tc>
          <w:tcPr>
            <w:tcW w:type="dxa" w:w="6768"/>
            <w:shd w:fill="1F4E79"/>
            <w:tcMar>
              <w:top w:w="60" w:type="dxa"/>
              <w:start w:w="60" w:type="dxa"/>
              <w:bottom w:w="60" w:type="dxa"/>
              <w:end w:w="60" w:type="dxa"/>
            </w:tcMar>
          </w:tcPr>
          <w:p>
            <w:pPr>
              <w:spacing w:after="0"/>
              <w:jc w:val="center"/>
            </w:pPr>
            <w:r>
              <w:rPr>
                <w:rFonts w:ascii="Aptos" w:hAnsi="Aptos"/>
                <w:b/>
                <w:color w:val="FFFFFF"/>
                <w:sz w:val="14"/>
              </w:rPr>
              <w:t>Mandatory Meaning</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EDP-01</w:t>
            </w:r>
          </w:p>
        </w:tc>
        <w:tc>
          <w:tcPr>
            <w:tcW w:type="dxa" w:w="2592"/>
            <w:vAlign w:val="top"/>
            <w:tcMar>
              <w:top w:w="50" w:type="dxa"/>
              <w:start w:w="60" w:type="dxa"/>
              <w:bottom w:w="50" w:type="dxa"/>
              <w:end w:w="60" w:type="dxa"/>
            </w:tcMar>
          </w:tcPr>
          <w:p>
            <w:pPr>
              <w:spacing w:after="0"/>
            </w:pPr>
            <w:r>
              <w:rPr>
                <w:rFonts w:ascii="Aptos" w:hAnsi="Aptos"/>
                <w:sz w:val="14"/>
              </w:rPr>
              <w:t>SOLID</w:t>
            </w:r>
          </w:p>
        </w:tc>
        <w:tc>
          <w:tcPr>
            <w:tcW w:type="dxa" w:w="6768"/>
            <w:vAlign w:val="top"/>
            <w:tcMar>
              <w:top w:w="50" w:type="dxa"/>
              <w:start w:w="60" w:type="dxa"/>
              <w:bottom w:w="50" w:type="dxa"/>
              <w:end w:w="60" w:type="dxa"/>
            </w:tcMar>
          </w:tcPr>
          <w:p>
            <w:pPr>
              <w:spacing w:after="0"/>
            </w:pPr>
            <w:r>
              <w:rPr>
                <w:rFonts w:ascii="Aptos" w:hAnsi="Aptos"/>
                <w:sz w:val="14"/>
              </w:rPr>
              <w:t>Components must preserve single responsibility, extensibility, substitutability, interface focus, and dependency inversion.</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EDP-02</w:t>
            </w:r>
          </w:p>
        </w:tc>
        <w:tc>
          <w:tcPr>
            <w:tcW w:type="dxa" w:w="2592"/>
            <w:vAlign w:val="top"/>
            <w:tcMar>
              <w:top w:w="50" w:type="dxa"/>
              <w:start w:w="60" w:type="dxa"/>
              <w:bottom w:w="50" w:type="dxa"/>
              <w:end w:w="60" w:type="dxa"/>
            </w:tcMar>
          </w:tcPr>
          <w:p>
            <w:pPr>
              <w:spacing w:after="0"/>
            </w:pPr>
            <w:r>
              <w:rPr>
                <w:rFonts w:ascii="Aptos" w:hAnsi="Aptos"/>
                <w:sz w:val="14"/>
              </w:rPr>
              <w:t>Clean Architecture</w:t>
            </w:r>
          </w:p>
        </w:tc>
        <w:tc>
          <w:tcPr>
            <w:tcW w:type="dxa" w:w="6768"/>
            <w:vAlign w:val="top"/>
            <w:tcMar>
              <w:top w:w="50" w:type="dxa"/>
              <w:start w:w="60" w:type="dxa"/>
              <w:bottom w:w="50" w:type="dxa"/>
              <w:end w:w="60" w:type="dxa"/>
            </w:tcMar>
          </w:tcPr>
          <w:p>
            <w:pPr>
              <w:spacing w:after="0"/>
            </w:pPr>
            <w:r>
              <w:rPr>
                <w:rFonts w:ascii="Aptos" w:hAnsi="Aptos"/>
                <w:sz w:val="14"/>
              </w:rPr>
              <w:t>Domain and use-case logic must not depend on frameworks, UI, database, or provider implementation details.</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EDP-03</w:t>
            </w:r>
          </w:p>
        </w:tc>
        <w:tc>
          <w:tcPr>
            <w:tcW w:type="dxa" w:w="2592"/>
            <w:vAlign w:val="top"/>
            <w:tcMar>
              <w:top w:w="50" w:type="dxa"/>
              <w:start w:w="60" w:type="dxa"/>
              <w:bottom w:w="50" w:type="dxa"/>
              <w:end w:w="60" w:type="dxa"/>
            </w:tcMar>
          </w:tcPr>
          <w:p>
            <w:pPr>
              <w:spacing w:after="0"/>
            </w:pPr>
            <w:r>
              <w:rPr>
                <w:rFonts w:ascii="Aptos" w:hAnsi="Aptos"/>
                <w:sz w:val="14"/>
              </w:rPr>
              <w:t>DDD / Bounded Contexts</w:t>
            </w:r>
          </w:p>
        </w:tc>
        <w:tc>
          <w:tcPr>
            <w:tcW w:type="dxa" w:w="6768"/>
            <w:vAlign w:val="top"/>
            <w:tcMar>
              <w:top w:w="50" w:type="dxa"/>
              <w:start w:w="60" w:type="dxa"/>
              <w:bottom w:w="50" w:type="dxa"/>
              <w:end w:w="60" w:type="dxa"/>
            </w:tcMar>
          </w:tcPr>
          <w:p>
            <w:pPr>
              <w:spacing w:after="0"/>
            </w:pPr>
            <w:r>
              <w:rPr>
                <w:rFonts w:ascii="Aptos" w:hAnsi="Aptos"/>
                <w:sz w:val="14"/>
              </w:rPr>
              <w:t>Business domains must own clear language, invariants, schema boundaries, and integration contracts.</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EDP-04</w:t>
            </w:r>
          </w:p>
        </w:tc>
        <w:tc>
          <w:tcPr>
            <w:tcW w:type="dxa" w:w="2592"/>
            <w:vAlign w:val="top"/>
            <w:tcMar>
              <w:top w:w="50" w:type="dxa"/>
              <w:start w:w="60" w:type="dxa"/>
              <w:bottom w:w="50" w:type="dxa"/>
              <w:end w:w="60" w:type="dxa"/>
            </w:tcMar>
          </w:tcPr>
          <w:p>
            <w:pPr>
              <w:spacing w:after="0"/>
            </w:pPr>
            <w:r>
              <w:rPr>
                <w:rFonts w:ascii="Aptos" w:hAnsi="Aptos"/>
                <w:sz w:val="14"/>
              </w:rPr>
              <w:t>Ports and Adapters</w:t>
            </w:r>
          </w:p>
        </w:tc>
        <w:tc>
          <w:tcPr>
            <w:tcW w:type="dxa" w:w="6768"/>
            <w:vAlign w:val="top"/>
            <w:tcMar>
              <w:top w:w="50" w:type="dxa"/>
              <w:start w:w="60" w:type="dxa"/>
              <w:bottom w:w="50" w:type="dxa"/>
              <w:end w:w="60" w:type="dxa"/>
            </w:tcMar>
          </w:tcPr>
          <w:p>
            <w:pPr>
              <w:spacing w:after="0"/>
            </w:pPr>
            <w:r>
              <w:rPr>
                <w:rFonts w:ascii="Aptos" w:hAnsi="Aptos"/>
                <w:sz w:val="14"/>
              </w:rPr>
              <w:t>External systems, databases, models, queues, and tools are accessed through explicit ports and adapters.</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EDP-05</w:t>
            </w:r>
          </w:p>
        </w:tc>
        <w:tc>
          <w:tcPr>
            <w:tcW w:type="dxa" w:w="2592"/>
            <w:vAlign w:val="top"/>
            <w:tcMar>
              <w:top w:w="50" w:type="dxa"/>
              <w:start w:w="60" w:type="dxa"/>
              <w:bottom w:w="50" w:type="dxa"/>
              <w:end w:w="60" w:type="dxa"/>
            </w:tcMar>
          </w:tcPr>
          <w:p>
            <w:pPr>
              <w:spacing w:after="0"/>
            </w:pPr>
            <w:r>
              <w:rPr>
                <w:rFonts w:ascii="Aptos" w:hAnsi="Aptos"/>
                <w:sz w:val="14"/>
              </w:rPr>
              <w:t>DRY, KISS, YAGNI</w:t>
            </w:r>
          </w:p>
        </w:tc>
        <w:tc>
          <w:tcPr>
            <w:tcW w:type="dxa" w:w="6768"/>
            <w:vAlign w:val="top"/>
            <w:tcMar>
              <w:top w:w="50" w:type="dxa"/>
              <w:start w:w="60" w:type="dxa"/>
              <w:bottom w:w="50" w:type="dxa"/>
              <w:end w:w="60" w:type="dxa"/>
            </w:tcMar>
          </w:tcPr>
          <w:p>
            <w:pPr>
              <w:spacing w:after="0"/>
            </w:pPr>
            <w:r>
              <w:rPr>
                <w:rFonts w:ascii="Aptos" w:hAnsi="Aptos"/>
                <w:sz w:val="14"/>
              </w:rPr>
              <w:t>Avoid duplicated logic, accidental complexity, speculative abstractions, and over-engineering.</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EDP-06</w:t>
            </w:r>
          </w:p>
        </w:tc>
        <w:tc>
          <w:tcPr>
            <w:tcW w:type="dxa" w:w="2592"/>
            <w:vAlign w:val="top"/>
            <w:tcMar>
              <w:top w:w="50" w:type="dxa"/>
              <w:start w:w="60" w:type="dxa"/>
              <w:bottom w:w="50" w:type="dxa"/>
              <w:end w:w="60" w:type="dxa"/>
            </w:tcMar>
          </w:tcPr>
          <w:p>
            <w:pPr>
              <w:spacing w:after="0"/>
            </w:pPr>
            <w:r>
              <w:rPr>
                <w:rFonts w:ascii="Aptos" w:hAnsi="Aptos"/>
                <w:sz w:val="14"/>
              </w:rPr>
              <w:t>Idempotency by Design</w:t>
            </w:r>
          </w:p>
        </w:tc>
        <w:tc>
          <w:tcPr>
            <w:tcW w:type="dxa" w:w="6768"/>
            <w:vAlign w:val="top"/>
            <w:tcMar>
              <w:top w:w="50" w:type="dxa"/>
              <w:start w:w="60" w:type="dxa"/>
              <w:bottom w:w="50" w:type="dxa"/>
              <w:end w:w="60" w:type="dxa"/>
            </w:tcMar>
          </w:tcPr>
          <w:p>
            <w:pPr>
              <w:spacing w:after="0"/>
            </w:pPr>
            <w:r>
              <w:rPr>
                <w:rFonts w:ascii="Aptos" w:hAnsi="Aptos"/>
                <w:sz w:val="14"/>
              </w:rPr>
              <w:t>Retries must not duplicate business effects; mutation paths require keys, hashes, or deduplication.</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EDP-07</w:t>
            </w:r>
          </w:p>
        </w:tc>
        <w:tc>
          <w:tcPr>
            <w:tcW w:type="dxa" w:w="2592"/>
            <w:vAlign w:val="top"/>
            <w:tcMar>
              <w:top w:w="50" w:type="dxa"/>
              <w:start w:w="60" w:type="dxa"/>
              <w:bottom w:w="50" w:type="dxa"/>
              <w:end w:w="60" w:type="dxa"/>
            </w:tcMar>
          </w:tcPr>
          <w:p>
            <w:pPr>
              <w:spacing w:after="0"/>
            </w:pPr>
            <w:r>
              <w:rPr>
                <w:rFonts w:ascii="Aptos" w:hAnsi="Aptos"/>
                <w:sz w:val="14"/>
              </w:rPr>
              <w:t>Determinism and Reproducibility</w:t>
            </w:r>
          </w:p>
        </w:tc>
        <w:tc>
          <w:tcPr>
            <w:tcW w:type="dxa" w:w="6768"/>
            <w:vAlign w:val="top"/>
            <w:tcMar>
              <w:top w:w="50" w:type="dxa"/>
              <w:start w:w="60" w:type="dxa"/>
              <w:bottom w:w="50" w:type="dxa"/>
              <w:end w:w="60" w:type="dxa"/>
            </w:tcMar>
          </w:tcPr>
          <w:p>
            <w:pPr>
              <w:spacing w:after="0"/>
            </w:pPr>
            <w:r>
              <w:rPr>
                <w:rFonts w:ascii="Aptos" w:hAnsi="Aptos"/>
                <w:sz w:val="14"/>
              </w:rPr>
              <w:t>Builds, tests, migrations, prompts, workflows, and evidence must be repeatable from approved sources.</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EDP-08</w:t>
            </w:r>
          </w:p>
        </w:tc>
        <w:tc>
          <w:tcPr>
            <w:tcW w:type="dxa" w:w="2592"/>
            <w:vAlign w:val="top"/>
            <w:tcMar>
              <w:top w:w="50" w:type="dxa"/>
              <w:start w:w="60" w:type="dxa"/>
              <w:bottom w:w="50" w:type="dxa"/>
              <w:end w:w="60" w:type="dxa"/>
            </w:tcMar>
          </w:tcPr>
          <w:p>
            <w:pPr>
              <w:spacing w:after="0"/>
            </w:pPr>
            <w:r>
              <w:rPr>
                <w:rFonts w:ascii="Aptos" w:hAnsi="Aptos"/>
                <w:sz w:val="14"/>
              </w:rPr>
              <w:t>Fail-Safe, Not Fail-Open</w:t>
            </w:r>
          </w:p>
        </w:tc>
        <w:tc>
          <w:tcPr>
            <w:tcW w:type="dxa" w:w="6768"/>
            <w:vAlign w:val="top"/>
            <w:tcMar>
              <w:top w:w="50" w:type="dxa"/>
              <w:start w:w="60" w:type="dxa"/>
              <w:bottom w:w="50" w:type="dxa"/>
              <w:end w:w="60" w:type="dxa"/>
            </w:tcMar>
          </w:tcPr>
          <w:p>
            <w:pPr>
              <w:spacing w:after="0"/>
            </w:pPr>
            <w:r>
              <w:rPr>
                <w:rFonts w:ascii="Aptos" w:hAnsi="Aptos"/>
                <w:sz w:val="14"/>
              </w:rPr>
              <w:t>If identity, policy, guardrail, audit, model gateway, or evidence dependencies fail, protected actions stop.</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EDP-09</w:t>
            </w:r>
          </w:p>
        </w:tc>
        <w:tc>
          <w:tcPr>
            <w:tcW w:type="dxa" w:w="2592"/>
            <w:vAlign w:val="top"/>
            <w:tcMar>
              <w:top w:w="50" w:type="dxa"/>
              <w:start w:w="60" w:type="dxa"/>
              <w:bottom w:w="50" w:type="dxa"/>
              <w:end w:w="60" w:type="dxa"/>
            </w:tcMar>
          </w:tcPr>
          <w:p>
            <w:pPr>
              <w:spacing w:after="0"/>
            </w:pPr>
            <w:r>
              <w:rPr>
                <w:rFonts w:ascii="Aptos" w:hAnsi="Aptos"/>
                <w:sz w:val="14"/>
              </w:rPr>
              <w:t>Human-in-the-Loop</w:t>
            </w:r>
          </w:p>
        </w:tc>
        <w:tc>
          <w:tcPr>
            <w:tcW w:type="dxa" w:w="6768"/>
            <w:vAlign w:val="top"/>
            <w:tcMar>
              <w:top w:w="50" w:type="dxa"/>
              <w:start w:w="60" w:type="dxa"/>
              <w:bottom w:w="50" w:type="dxa"/>
              <w:end w:w="60" w:type="dxa"/>
            </w:tcMar>
          </w:tcPr>
          <w:p>
            <w:pPr>
              <w:spacing w:after="0"/>
            </w:pPr>
            <w:r>
              <w:rPr>
                <w:rFonts w:ascii="Aptos" w:hAnsi="Aptos"/>
                <w:sz w:val="14"/>
              </w:rPr>
              <w:t>High-impact, low-confidence, policy-exception, or production-impacting actions require named human approval.</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EDP-10</w:t>
            </w:r>
          </w:p>
        </w:tc>
        <w:tc>
          <w:tcPr>
            <w:tcW w:type="dxa" w:w="2592"/>
            <w:vAlign w:val="top"/>
            <w:tcMar>
              <w:top w:w="50" w:type="dxa"/>
              <w:start w:w="60" w:type="dxa"/>
              <w:bottom w:w="50" w:type="dxa"/>
              <w:end w:w="60" w:type="dxa"/>
            </w:tcMar>
          </w:tcPr>
          <w:p>
            <w:pPr>
              <w:spacing w:after="0"/>
            </w:pPr>
            <w:r>
              <w:rPr>
                <w:rFonts w:ascii="Aptos" w:hAnsi="Aptos"/>
                <w:sz w:val="14"/>
              </w:rPr>
              <w:t>Least Privilege / SBAC</w:t>
            </w:r>
          </w:p>
        </w:tc>
        <w:tc>
          <w:tcPr>
            <w:tcW w:type="dxa" w:w="6768"/>
            <w:vAlign w:val="top"/>
            <w:tcMar>
              <w:top w:w="50" w:type="dxa"/>
              <w:start w:w="60" w:type="dxa"/>
              <w:bottom w:w="50" w:type="dxa"/>
              <w:end w:w="60" w:type="dxa"/>
            </w:tcMar>
          </w:tcPr>
          <w:p>
            <w:pPr>
              <w:spacing w:after="0"/>
            </w:pPr>
            <w:r>
              <w:rPr>
                <w:rFonts w:ascii="Aptos" w:hAnsi="Aptos"/>
                <w:sz w:val="14"/>
              </w:rPr>
              <w:t>Humans, services, and agents receive only the skills, permissions, data, and tools required for their role.</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EDP-11</w:t>
            </w:r>
          </w:p>
        </w:tc>
        <w:tc>
          <w:tcPr>
            <w:tcW w:type="dxa" w:w="2592"/>
            <w:vAlign w:val="top"/>
            <w:tcMar>
              <w:top w:w="50" w:type="dxa"/>
              <w:start w:w="60" w:type="dxa"/>
              <w:bottom w:w="50" w:type="dxa"/>
              <w:end w:w="60" w:type="dxa"/>
            </w:tcMar>
          </w:tcPr>
          <w:p>
            <w:pPr>
              <w:spacing w:after="0"/>
            </w:pPr>
            <w:r>
              <w:rPr>
                <w:rFonts w:ascii="Aptos" w:hAnsi="Aptos"/>
                <w:sz w:val="14"/>
              </w:rPr>
              <w:t>Separation of Duties</w:t>
            </w:r>
          </w:p>
        </w:tc>
        <w:tc>
          <w:tcPr>
            <w:tcW w:type="dxa" w:w="6768"/>
            <w:vAlign w:val="top"/>
            <w:tcMar>
              <w:top w:w="50" w:type="dxa"/>
              <w:start w:w="60" w:type="dxa"/>
              <w:bottom w:w="50" w:type="dxa"/>
              <w:end w:w="60" w:type="dxa"/>
            </w:tcMar>
          </w:tcPr>
          <w:p>
            <w:pPr>
              <w:spacing w:after="0"/>
            </w:pPr>
            <w:r>
              <w:rPr>
                <w:rFonts w:ascii="Aptos" w:hAnsi="Aptos"/>
                <w:sz w:val="14"/>
              </w:rPr>
              <w:t>Maker, checker, approver, deployer, and auditor roles must not collapse in high-risk workflows.</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EDP-12</w:t>
            </w:r>
          </w:p>
        </w:tc>
        <w:tc>
          <w:tcPr>
            <w:tcW w:type="dxa" w:w="2592"/>
            <w:vAlign w:val="top"/>
            <w:tcMar>
              <w:top w:w="50" w:type="dxa"/>
              <w:start w:w="60" w:type="dxa"/>
              <w:bottom w:w="50" w:type="dxa"/>
              <w:end w:w="60" w:type="dxa"/>
            </w:tcMar>
          </w:tcPr>
          <w:p>
            <w:pPr>
              <w:spacing w:after="0"/>
            </w:pPr>
            <w:r>
              <w:rPr>
                <w:rFonts w:ascii="Aptos" w:hAnsi="Aptos"/>
                <w:sz w:val="14"/>
              </w:rPr>
              <w:t>Observability by Design</w:t>
            </w:r>
          </w:p>
        </w:tc>
        <w:tc>
          <w:tcPr>
            <w:tcW w:type="dxa" w:w="6768"/>
            <w:vAlign w:val="top"/>
            <w:tcMar>
              <w:top w:w="50" w:type="dxa"/>
              <w:start w:w="60" w:type="dxa"/>
              <w:bottom w:w="50" w:type="dxa"/>
              <w:end w:w="60" w:type="dxa"/>
            </w:tcMar>
          </w:tcPr>
          <w:p>
            <w:pPr>
              <w:spacing w:after="0"/>
            </w:pPr>
            <w:r>
              <w:rPr>
                <w:rFonts w:ascii="Aptos" w:hAnsi="Aptos"/>
                <w:sz w:val="14"/>
              </w:rPr>
              <w:t>Logs, metrics, traces, audit events, and evidence references are designed into each capability.</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EDP-13</w:t>
            </w:r>
          </w:p>
        </w:tc>
        <w:tc>
          <w:tcPr>
            <w:tcW w:type="dxa" w:w="2592"/>
            <w:vAlign w:val="top"/>
            <w:tcMar>
              <w:top w:w="50" w:type="dxa"/>
              <w:start w:w="60" w:type="dxa"/>
              <w:bottom w:w="50" w:type="dxa"/>
              <w:end w:w="60" w:type="dxa"/>
            </w:tcMar>
          </w:tcPr>
          <w:p>
            <w:pPr>
              <w:spacing w:after="0"/>
            </w:pPr>
            <w:r>
              <w:rPr>
                <w:rFonts w:ascii="Aptos" w:hAnsi="Aptos"/>
                <w:sz w:val="14"/>
              </w:rPr>
              <w:t>Policy as Code</w:t>
            </w:r>
          </w:p>
        </w:tc>
        <w:tc>
          <w:tcPr>
            <w:tcW w:type="dxa" w:w="6768"/>
            <w:vAlign w:val="top"/>
            <w:tcMar>
              <w:top w:w="50" w:type="dxa"/>
              <w:start w:w="60" w:type="dxa"/>
              <w:bottom w:w="50" w:type="dxa"/>
              <w:end w:w="60" w:type="dxa"/>
            </w:tcMar>
          </w:tcPr>
          <w:p>
            <w:pPr>
              <w:spacing w:after="0"/>
            </w:pPr>
            <w:r>
              <w:rPr>
                <w:rFonts w:ascii="Aptos" w:hAnsi="Aptos"/>
                <w:sz w:val="14"/>
              </w:rPr>
              <w:t>Authorization, admission, routing, guardrail, deployment, and data-handling rules are versioned policy artifacts.</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EDP-14</w:t>
            </w:r>
          </w:p>
        </w:tc>
        <w:tc>
          <w:tcPr>
            <w:tcW w:type="dxa" w:w="2592"/>
            <w:vAlign w:val="top"/>
            <w:tcMar>
              <w:top w:w="50" w:type="dxa"/>
              <w:start w:w="60" w:type="dxa"/>
              <w:bottom w:w="50" w:type="dxa"/>
              <w:end w:w="60" w:type="dxa"/>
            </w:tcMar>
          </w:tcPr>
          <w:p>
            <w:pPr>
              <w:spacing w:after="0"/>
            </w:pPr>
            <w:r>
              <w:rPr>
                <w:rFonts w:ascii="Aptos" w:hAnsi="Aptos"/>
                <w:sz w:val="14"/>
              </w:rPr>
              <w:t>Testability by Design</w:t>
            </w:r>
          </w:p>
        </w:tc>
        <w:tc>
          <w:tcPr>
            <w:tcW w:type="dxa" w:w="6768"/>
            <w:vAlign w:val="top"/>
            <w:tcMar>
              <w:top w:w="50" w:type="dxa"/>
              <w:start w:w="60" w:type="dxa"/>
              <w:bottom w:w="50" w:type="dxa"/>
              <w:end w:w="60" w:type="dxa"/>
            </w:tcMar>
          </w:tcPr>
          <w:p>
            <w:pPr>
              <w:spacing w:after="0"/>
            </w:pPr>
            <w:r>
              <w:rPr>
                <w:rFonts w:ascii="Aptos" w:hAnsi="Aptos"/>
                <w:sz w:val="14"/>
              </w:rPr>
              <w:t>Code, workflows, prompts, adapters, and policies must be independently testable with deterministic fixtures.</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EDP-15</w:t>
            </w:r>
          </w:p>
        </w:tc>
        <w:tc>
          <w:tcPr>
            <w:tcW w:type="dxa" w:w="2592"/>
            <w:vAlign w:val="top"/>
            <w:tcMar>
              <w:top w:w="50" w:type="dxa"/>
              <w:start w:w="60" w:type="dxa"/>
              <w:bottom w:w="50" w:type="dxa"/>
              <w:end w:w="60" w:type="dxa"/>
            </w:tcMar>
          </w:tcPr>
          <w:p>
            <w:pPr>
              <w:spacing w:after="0"/>
            </w:pPr>
            <w:r>
              <w:rPr>
                <w:rFonts w:ascii="Aptos" w:hAnsi="Aptos"/>
                <w:sz w:val="14"/>
              </w:rPr>
              <w:t>Secure by Design</w:t>
            </w:r>
          </w:p>
        </w:tc>
        <w:tc>
          <w:tcPr>
            <w:tcW w:type="dxa" w:w="6768"/>
            <w:vAlign w:val="top"/>
            <w:tcMar>
              <w:top w:w="50" w:type="dxa"/>
              <w:start w:w="60" w:type="dxa"/>
              <w:bottom w:w="50" w:type="dxa"/>
              <w:end w:w="60" w:type="dxa"/>
            </w:tcMar>
          </w:tcPr>
          <w:p>
            <w:pPr>
              <w:spacing w:after="0"/>
            </w:pPr>
            <w:r>
              <w:rPr>
                <w:rFonts w:ascii="Aptos" w:hAnsi="Aptos"/>
                <w:sz w:val="14"/>
              </w:rPr>
              <w:t>Threat controls, secrets hygiene, classification handling, tenant isolation, and secure defaults are built in.</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EDP-16</w:t>
            </w:r>
          </w:p>
        </w:tc>
        <w:tc>
          <w:tcPr>
            <w:tcW w:type="dxa" w:w="2592"/>
            <w:vAlign w:val="top"/>
            <w:tcMar>
              <w:top w:w="50" w:type="dxa"/>
              <w:start w:w="60" w:type="dxa"/>
              <w:bottom w:w="50" w:type="dxa"/>
              <w:end w:w="60" w:type="dxa"/>
            </w:tcMar>
          </w:tcPr>
          <w:p>
            <w:pPr>
              <w:spacing w:after="0"/>
            </w:pPr>
            <w:r>
              <w:rPr>
                <w:rFonts w:ascii="Aptos" w:hAnsi="Aptos"/>
                <w:sz w:val="14"/>
              </w:rPr>
              <w:t>Resilience Patterns</w:t>
            </w:r>
          </w:p>
        </w:tc>
        <w:tc>
          <w:tcPr>
            <w:tcW w:type="dxa" w:w="6768"/>
            <w:vAlign w:val="top"/>
            <w:tcMar>
              <w:top w:w="50" w:type="dxa"/>
              <w:start w:w="60" w:type="dxa"/>
              <w:bottom w:w="50" w:type="dxa"/>
              <w:end w:w="60" w:type="dxa"/>
            </w:tcMar>
          </w:tcPr>
          <w:p>
            <w:pPr>
              <w:spacing w:after="0"/>
            </w:pPr>
            <w:r>
              <w:rPr>
                <w:rFonts w:ascii="Aptos" w:hAnsi="Aptos"/>
                <w:sz w:val="14"/>
              </w:rPr>
              <w:t>Timeouts, retries, circuit breakers, bulkheads, fallback, DLQ, compensation, and recovery are explicit.</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EDP-17</w:t>
            </w:r>
          </w:p>
        </w:tc>
        <w:tc>
          <w:tcPr>
            <w:tcW w:type="dxa" w:w="2592"/>
            <w:vAlign w:val="top"/>
            <w:tcMar>
              <w:top w:w="50" w:type="dxa"/>
              <w:start w:w="60" w:type="dxa"/>
              <w:bottom w:w="50" w:type="dxa"/>
              <w:end w:w="60" w:type="dxa"/>
            </w:tcMar>
          </w:tcPr>
          <w:p>
            <w:pPr>
              <w:spacing w:after="0"/>
            </w:pPr>
            <w:r>
              <w:rPr>
                <w:rFonts w:ascii="Aptos" w:hAnsi="Aptos"/>
                <w:sz w:val="14"/>
              </w:rPr>
              <w:t>Architectural Fitness Functions</w:t>
            </w:r>
          </w:p>
        </w:tc>
        <w:tc>
          <w:tcPr>
            <w:tcW w:type="dxa" w:w="6768"/>
            <w:vAlign w:val="top"/>
            <w:tcMar>
              <w:top w:w="50" w:type="dxa"/>
              <w:start w:w="60" w:type="dxa"/>
              <w:bottom w:w="50" w:type="dxa"/>
              <w:end w:w="60" w:type="dxa"/>
            </w:tcMar>
          </w:tcPr>
          <w:p>
            <w:pPr>
              <w:spacing w:after="0"/>
            </w:pPr>
            <w:r>
              <w:rPr>
                <w:rFonts w:ascii="Aptos" w:hAnsi="Aptos"/>
                <w:sz w:val="14"/>
              </w:rPr>
              <w:t>Automated checks continuously verify boundaries, dependencies, contracts, security, and evidence rules.</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EDP-18</w:t>
            </w:r>
          </w:p>
        </w:tc>
        <w:tc>
          <w:tcPr>
            <w:tcW w:type="dxa" w:w="2592"/>
            <w:vAlign w:val="top"/>
            <w:tcMar>
              <w:top w:w="50" w:type="dxa"/>
              <w:start w:w="60" w:type="dxa"/>
              <w:bottom w:w="50" w:type="dxa"/>
              <w:end w:w="60" w:type="dxa"/>
            </w:tcMar>
          </w:tcPr>
          <w:p>
            <w:pPr>
              <w:spacing w:after="0"/>
            </w:pPr>
            <w:r>
              <w:rPr>
                <w:rFonts w:ascii="Aptos" w:hAnsi="Aptos"/>
                <w:sz w:val="14"/>
              </w:rPr>
              <w:t>Progressive Autonomy</w:t>
            </w:r>
          </w:p>
        </w:tc>
        <w:tc>
          <w:tcPr>
            <w:tcW w:type="dxa" w:w="6768"/>
            <w:vAlign w:val="top"/>
            <w:tcMar>
              <w:top w:w="50" w:type="dxa"/>
              <w:start w:w="60" w:type="dxa"/>
              <w:bottom w:w="50" w:type="dxa"/>
              <w:end w:w="60" w:type="dxa"/>
            </w:tcMar>
          </w:tcPr>
          <w:p>
            <w:pPr>
              <w:spacing w:after="0"/>
            </w:pPr>
            <w:r>
              <w:rPr>
                <w:rFonts w:ascii="Aptos" w:hAnsi="Aptos"/>
                <w:sz w:val="14"/>
              </w:rPr>
              <w:t>Automation advances only when evidence, trust, skill, risk tier, and rollback controls support it.</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EDP-19</w:t>
            </w:r>
          </w:p>
        </w:tc>
        <w:tc>
          <w:tcPr>
            <w:tcW w:type="dxa" w:w="2592"/>
            <w:vAlign w:val="top"/>
            <w:tcMar>
              <w:top w:w="50" w:type="dxa"/>
              <w:start w:w="60" w:type="dxa"/>
              <w:bottom w:w="50" w:type="dxa"/>
              <w:end w:w="60" w:type="dxa"/>
            </w:tcMar>
          </w:tcPr>
          <w:p>
            <w:pPr>
              <w:spacing w:after="0"/>
            </w:pPr>
            <w:r>
              <w:rPr>
                <w:rFonts w:ascii="Aptos" w:hAnsi="Aptos"/>
                <w:sz w:val="14"/>
              </w:rPr>
              <w:t>Reversibility / Rollbackability</w:t>
            </w:r>
          </w:p>
        </w:tc>
        <w:tc>
          <w:tcPr>
            <w:tcW w:type="dxa" w:w="6768"/>
            <w:vAlign w:val="top"/>
            <w:tcMar>
              <w:top w:w="50" w:type="dxa"/>
              <w:start w:w="60" w:type="dxa"/>
              <w:bottom w:w="50" w:type="dxa"/>
              <w:end w:w="60" w:type="dxa"/>
            </w:tcMar>
          </w:tcPr>
          <w:p>
            <w:pPr>
              <w:spacing w:after="0"/>
            </w:pPr>
            <w:r>
              <w:rPr>
                <w:rFonts w:ascii="Aptos" w:hAnsi="Aptos"/>
                <w:sz w:val="14"/>
              </w:rPr>
              <w:t>Changes must support rollback, forward-fix, compensation, feature disablement, or safe deactivation.</w:t>
            </w:r>
          </w:p>
        </w:tc>
      </w:tr>
      <w:tr>
        <w:trPr>
          <w:cantSplit/>
        </w:trPr>
        <w:tc>
          <w:tcPr>
            <w:tcW w:type="dxa" w:w="1152"/>
            <w:vAlign w:val="top"/>
            <w:tcMar>
              <w:top w:w="50" w:type="dxa"/>
              <w:start w:w="60" w:type="dxa"/>
              <w:bottom w:w="50" w:type="dxa"/>
              <w:end w:w="60" w:type="dxa"/>
            </w:tcMar>
          </w:tcPr>
          <w:p>
            <w:pPr>
              <w:spacing w:after="0"/>
            </w:pPr>
            <w:r>
              <w:rPr>
                <w:rFonts w:ascii="Aptos" w:hAnsi="Aptos"/>
                <w:sz w:val="14"/>
              </w:rPr>
              <w:t>EDP-20</w:t>
            </w:r>
          </w:p>
        </w:tc>
        <w:tc>
          <w:tcPr>
            <w:tcW w:type="dxa" w:w="2592"/>
            <w:vAlign w:val="top"/>
            <w:tcMar>
              <w:top w:w="50" w:type="dxa"/>
              <w:start w:w="60" w:type="dxa"/>
              <w:bottom w:w="50" w:type="dxa"/>
              <w:end w:w="60" w:type="dxa"/>
            </w:tcMar>
          </w:tcPr>
          <w:p>
            <w:pPr>
              <w:spacing w:after="0"/>
            </w:pPr>
            <w:r>
              <w:rPr>
                <w:rFonts w:ascii="Aptos" w:hAnsi="Aptos"/>
                <w:sz w:val="14"/>
              </w:rPr>
              <w:t>AVCI</w:t>
            </w:r>
          </w:p>
        </w:tc>
        <w:tc>
          <w:tcPr>
            <w:tcW w:type="dxa" w:w="6768"/>
            <w:vAlign w:val="top"/>
            <w:tcMar>
              <w:top w:w="50" w:type="dxa"/>
              <w:start w:w="60" w:type="dxa"/>
              <w:bottom w:w="50" w:type="dxa"/>
              <w:end w:w="60" w:type="dxa"/>
            </w:tcMar>
          </w:tcPr>
          <w:p>
            <w:pPr>
              <w:spacing w:after="0"/>
            </w:pPr>
            <w:r>
              <w:rPr>
                <w:rFonts w:ascii="Aptos" w:hAnsi="Aptos"/>
                <w:sz w:val="14"/>
              </w:rPr>
              <w:t>All artifacts remain attributable, verifiable, classifiable, and improvable across their lifecycle.</w:t>
            </w:r>
          </w:p>
        </w:tc>
      </w:tr>
    </w:tbl>
    <w:p/>
    <w:tbl>
      <w:tblPr>
        <w:tblStyle w:val="TableGrid"/>
        <w:tblW w:type="auto" w:w="0"/>
        <w:jc w:val="center"/>
        <w:tblLook w:firstColumn="1" w:firstRow="1" w:lastColumn="0" w:lastRow="0" w:noHBand="0" w:noVBand="1" w:val="04A0"/>
      </w:tblPr>
      <w:tblGrid>
        <w:gridCol w:w="10368"/>
      </w:tblGrid>
      <w:tr>
        <w:tc>
          <w:tcPr>
            <w:tcW w:type="dxa" w:w="10368"/>
            <w:shd w:fill="E2F0D9"/>
            <w:tcMar>
              <w:top w:w="145" w:type="dxa"/>
              <w:start w:w="160" w:type="dxa"/>
              <w:bottom w:w="145" w:type="dxa"/>
              <w:end w:w="160" w:type="dxa"/>
            </w:tcMar>
          </w:tcPr>
          <w:p>
            <w:pPr>
              <w:spacing w:after="60"/>
            </w:pPr>
            <w:r>
              <w:rPr>
                <w:rFonts w:ascii="Aptos" w:hAnsi="Aptos"/>
                <w:b/>
                <w:color w:val="1F4E79"/>
                <w:sz w:val="19"/>
              </w:rPr>
              <w:t>Master Enforcement Rule</w:t>
            </w:r>
          </w:p>
          <w:p>
            <w:pPr>
              <w:spacing w:after="0"/>
            </w:pPr>
            <w:r>
              <w:rPr>
                <w:rFonts w:ascii="Aptos" w:hAnsi="Aptos"/>
                <w:sz w:val="17"/>
              </w:rPr>
              <w:t>Auto-Heal, Auto-Learn, and Auto-Improve must not merely fix, learn, or optimize. Every automated or AI-assisted change must preserve or improve SOLID compliance, architecture boundaries, testability, security posture, observability, reversibility, and AVCI evidence. Any proposal that weakens these principles is rejected, escalated, or converted into an approved exception with risk acceptance, expiry, and remediation plan.</w:t>
            </w:r>
          </w:p>
        </w:tc>
      </w:tr>
    </w:tbl>
    <w:p/>
    <w:p>
      <w:pPr>
        <w:pStyle w:val="Heading1"/>
        <w:keepNext/>
      </w:pPr>
      <w:r>
        <w:t>6. SOLID Enforcement Model</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720"/>
            <w:shd w:fill="1F4E79"/>
            <w:tcMar>
              <w:top w:w="60" w:type="dxa"/>
              <w:start w:w="60" w:type="dxa"/>
              <w:bottom w:w="60" w:type="dxa"/>
              <w:end w:w="60" w:type="dxa"/>
            </w:tcMar>
          </w:tcPr>
          <w:p>
            <w:pPr>
              <w:spacing w:after="0"/>
              <w:jc w:val="center"/>
            </w:pPr>
            <w:r>
              <w:rPr>
                <w:rFonts w:ascii="Aptos" w:hAnsi="Aptos"/>
                <w:b/>
                <w:color w:val="FFFFFF"/>
                <w:sz w:val="14"/>
              </w:rPr>
              <w:t>Code</w:t>
            </w:r>
          </w:p>
        </w:tc>
        <w:tc>
          <w:tcPr>
            <w:tcW w:type="dxa" w:w="2160"/>
            <w:shd w:fill="1F4E79"/>
            <w:tcMar>
              <w:top w:w="60" w:type="dxa"/>
              <w:start w:w="60" w:type="dxa"/>
              <w:bottom w:w="60" w:type="dxa"/>
              <w:end w:w="60" w:type="dxa"/>
            </w:tcMar>
          </w:tcPr>
          <w:p>
            <w:pPr>
              <w:spacing w:after="0"/>
              <w:jc w:val="center"/>
            </w:pPr>
            <w:r>
              <w:rPr>
                <w:rFonts w:ascii="Aptos" w:hAnsi="Aptos"/>
                <w:b/>
                <w:color w:val="FFFFFF"/>
                <w:sz w:val="14"/>
              </w:rPr>
              <w:t>Principle</w:t>
            </w:r>
          </w:p>
        </w:tc>
        <w:tc>
          <w:tcPr>
            <w:tcW w:type="dxa" w:w="4320"/>
            <w:shd w:fill="1F4E79"/>
            <w:tcMar>
              <w:top w:w="60" w:type="dxa"/>
              <w:start w:w="60" w:type="dxa"/>
              <w:bottom w:w="60" w:type="dxa"/>
              <w:end w:w="60" w:type="dxa"/>
            </w:tcMar>
          </w:tcPr>
          <w:p>
            <w:pPr>
              <w:spacing w:after="0"/>
              <w:jc w:val="center"/>
            </w:pPr>
            <w:r>
              <w:rPr>
                <w:rFonts w:ascii="Aptos" w:hAnsi="Aptos"/>
                <w:b/>
                <w:color w:val="FFFFFF"/>
                <w:sz w:val="14"/>
              </w:rPr>
              <w:t>AIRA Interpretation</w:t>
            </w:r>
          </w:p>
        </w:tc>
        <w:tc>
          <w:tcPr>
            <w:tcW w:type="dxa" w:w="3311"/>
            <w:shd w:fill="1F4E79"/>
            <w:tcMar>
              <w:top w:w="60" w:type="dxa"/>
              <w:start w:w="60" w:type="dxa"/>
              <w:bottom w:w="60" w:type="dxa"/>
              <w:end w:w="60" w:type="dxa"/>
            </w:tcMar>
          </w:tcPr>
          <w:p>
            <w:pPr>
              <w:spacing w:after="0"/>
              <w:jc w:val="center"/>
            </w:pPr>
            <w:r>
              <w:rPr>
                <w:rFonts w:ascii="Aptos" w:hAnsi="Aptos"/>
                <w:b/>
                <w:color w:val="FFFFFF"/>
                <w:sz w:val="14"/>
              </w:rPr>
              <w:t>Evidence / Enforcement</w:t>
            </w:r>
          </w:p>
        </w:tc>
      </w:tr>
      <w:tr>
        <w:trPr>
          <w:cantSplit/>
        </w:trPr>
        <w:tc>
          <w:tcPr>
            <w:tcW w:type="dxa" w:w="720"/>
            <w:vAlign w:val="top"/>
            <w:tcMar>
              <w:top w:w="50" w:type="dxa"/>
              <w:start w:w="60" w:type="dxa"/>
              <w:bottom w:w="50" w:type="dxa"/>
              <w:end w:w="60" w:type="dxa"/>
            </w:tcMar>
          </w:tcPr>
          <w:p>
            <w:pPr>
              <w:spacing w:after="0"/>
            </w:pPr>
            <w:r>
              <w:rPr>
                <w:rFonts w:ascii="Aptos" w:hAnsi="Aptos"/>
                <w:sz w:val="14"/>
              </w:rPr>
              <w:t>SRP</w:t>
            </w:r>
          </w:p>
        </w:tc>
        <w:tc>
          <w:tcPr>
            <w:tcW w:type="dxa" w:w="2160"/>
            <w:vAlign w:val="top"/>
            <w:tcMar>
              <w:top w:w="50" w:type="dxa"/>
              <w:start w:w="60" w:type="dxa"/>
              <w:bottom w:w="50" w:type="dxa"/>
              <w:end w:w="60" w:type="dxa"/>
            </w:tcMar>
          </w:tcPr>
          <w:p>
            <w:pPr>
              <w:spacing w:after="0"/>
            </w:pPr>
            <w:r>
              <w:rPr>
                <w:rFonts w:ascii="Aptos" w:hAnsi="Aptos"/>
                <w:sz w:val="14"/>
              </w:rPr>
              <w:t>Single Responsibility Principle</w:t>
            </w:r>
          </w:p>
        </w:tc>
        <w:tc>
          <w:tcPr>
            <w:tcW w:type="dxa" w:w="4320"/>
            <w:vAlign w:val="top"/>
            <w:tcMar>
              <w:top w:w="50" w:type="dxa"/>
              <w:start w:w="60" w:type="dxa"/>
              <w:bottom w:w="50" w:type="dxa"/>
              <w:end w:w="60" w:type="dxa"/>
            </w:tcMar>
          </w:tcPr>
          <w:p>
            <w:pPr>
              <w:spacing w:after="0"/>
            </w:pPr>
            <w:r>
              <w:rPr>
                <w:rFonts w:ascii="Aptos" w:hAnsi="Aptos"/>
                <w:sz w:val="14"/>
              </w:rPr>
              <w:t>One module, class, MicroFunction, prompt, or adapter has one reason to change.</w:t>
            </w:r>
          </w:p>
        </w:tc>
        <w:tc>
          <w:tcPr>
            <w:tcW w:type="dxa" w:w="3311"/>
            <w:vAlign w:val="top"/>
            <w:tcMar>
              <w:top w:w="50" w:type="dxa"/>
              <w:start w:w="60" w:type="dxa"/>
              <w:bottom w:w="50" w:type="dxa"/>
              <w:end w:w="60" w:type="dxa"/>
            </w:tcMar>
          </w:tcPr>
          <w:p>
            <w:pPr>
              <w:spacing w:after="0"/>
            </w:pPr>
            <w:r>
              <w:rPr>
                <w:rFonts w:ascii="Aptos" w:hAnsi="Aptos"/>
                <w:sz w:val="14"/>
              </w:rPr>
              <w:t>Reject mixed controller/domain/persistence logic; require focused MicroFunctions and cohesive packages.</w:t>
            </w:r>
          </w:p>
        </w:tc>
      </w:tr>
      <w:tr>
        <w:trPr>
          <w:cantSplit/>
        </w:trPr>
        <w:tc>
          <w:tcPr>
            <w:tcW w:type="dxa" w:w="720"/>
            <w:vAlign w:val="top"/>
            <w:tcMar>
              <w:top w:w="50" w:type="dxa"/>
              <w:start w:w="60" w:type="dxa"/>
              <w:bottom w:w="50" w:type="dxa"/>
              <w:end w:w="60" w:type="dxa"/>
            </w:tcMar>
          </w:tcPr>
          <w:p>
            <w:pPr>
              <w:spacing w:after="0"/>
            </w:pPr>
            <w:r>
              <w:rPr>
                <w:rFonts w:ascii="Aptos" w:hAnsi="Aptos"/>
                <w:sz w:val="14"/>
              </w:rPr>
              <w:t>OCP</w:t>
            </w:r>
          </w:p>
        </w:tc>
        <w:tc>
          <w:tcPr>
            <w:tcW w:type="dxa" w:w="2160"/>
            <w:vAlign w:val="top"/>
            <w:tcMar>
              <w:top w:w="50" w:type="dxa"/>
              <w:start w:w="60" w:type="dxa"/>
              <w:bottom w:w="50" w:type="dxa"/>
              <w:end w:w="60" w:type="dxa"/>
            </w:tcMar>
          </w:tcPr>
          <w:p>
            <w:pPr>
              <w:spacing w:after="0"/>
            </w:pPr>
            <w:r>
              <w:rPr>
                <w:rFonts w:ascii="Aptos" w:hAnsi="Aptos"/>
                <w:sz w:val="14"/>
              </w:rPr>
              <w:t>Open/Closed Principle</w:t>
            </w:r>
          </w:p>
        </w:tc>
        <w:tc>
          <w:tcPr>
            <w:tcW w:type="dxa" w:w="4320"/>
            <w:vAlign w:val="top"/>
            <w:tcMar>
              <w:top w:w="50" w:type="dxa"/>
              <w:start w:w="60" w:type="dxa"/>
              <w:bottom w:w="50" w:type="dxa"/>
              <w:end w:w="60" w:type="dxa"/>
            </w:tcMar>
          </w:tcPr>
          <w:p>
            <w:pPr>
              <w:spacing w:after="0"/>
            </w:pPr>
            <w:r>
              <w:rPr>
                <w:rFonts w:ascii="Aptos" w:hAnsi="Aptos"/>
                <w:sz w:val="14"/>
              </w:rPr>
              <w:t>Extend behaviour through configuration, polymorphism, catalog registration, adapters, or rules without modifying stable core code.</w:t>
            </w:r>
          </w:p>
        </w:tc>
        <w:tc>
          <w:tcPr>
            <w:tcW w:type="dxa" w:w="3311"/>
            <w:vAlign w:val="top"/>
            <w:tcMar>
              <w:top w:w="50" w:type="dxa"/>
              <w:start w:w="60" w:type="dxa"/>
              <w:bottom w:w="50" w:type="dxa"/>
              <w:end w:w="60" w:type="dxa"/>
            </w:tcMar>
          </w:tcPr>
          <w:p>
            <w:pPr>
              <w:spacing w:after="0"/>
            </w:pPr>
            <w:r>
              <w:rPr>
                <w:rFonts w:ascii="Aptos" w:hAnsi="Aptos"/>
                <w:sz w:val="14"/>
              </w:rPr>
              <w:t>Prefer MicroFunction registration, DMN/rule updates, and ports over repeated core edits.</w:t>
            </w:r>
          </w:p>
        </w:tc>
      </w:tr>
      <w:tr>
        <w:trPr>
          <w:cantSplit/>
        </w:trPr>
        <w:tc>
          <w:tcPr>
            <w:tcW w:type="dxa" w:w="720"/>
            <w:vAlign w:val="top"/>
            <w:tcMar>
              <w:top w:w="50" w:type="dxa"/>
              <w:start w:w="60" w:type="dxa"/>
              <w:bottom w:w="50" w:type="dxa"/>
              <w:end w:w="60" w:type="dxa"/>
            </w:tcMar>
          </w:tcPr>
          <w:p>
            <w:pPr>
              <w:spacing w:after="0"/>
            </w:pPr>
            <w:r>
              <w:rPr>
                <w:rFonts w:ascii="Aptos" w:hAnsi="Aptos"/>
                <w:sz w:val="14"/>
              </w:rPr>
              <w:t>LSP</w:t>
            </w:r>
          </w:p>
        </w:tc>
        <w:tc>
          <w:tcPr>
            <w:tcW w:type="dxa" w:w="2160"/>
            <w:vAlign w:val="top"/>
            <w:tcMar>
              <w:top w:w="50" w:type="dxa"/>
              <w:start w:w="60" w:type="dxa"/>
              <w:bottom w:w="50" w:type="dxa"/>
              <w:end w:w="60" w:type="dxa"/>
            </w:tcMar>
          </w:tcPr>
          <w:p>
            <w:pPr>
              <w:spacing w:after="0"/>
            </w:pPr>
            <w:r>
              <w:rPr>
                <w:rFonts w:ascii="Aptos" w:hAnsi="Aptos"/>
                <w:sz w:val="14"/>
              </w:rPr>
              <w:t>Liskov Substitution Principle</w:t>
            </w:r>
          </w:p>
        </w:tc>
        <w:tc>
          <w:tcPr>
            <w:tcW w:type="dxa" w:w="4320"/>
            <w:vAlign w:val="top"/>
            <w:tcMar>
              <w:top w:w="50" w:type="dxa"/>
              <w:start w:w="60" w:type="dxa"/>
              <w:bottom w:w="50" w:type="dxa"/>
              <w:end w:w="60" w:type="dxa"/>
            </w:tcMar>
          </w:tcPr>
          <w:p>
            <w:pPr>
              <w:spacing w:after="0"/>
            </w:pPr>
            <w:r>
              <w:rPr>
                <w:rFonts w:ascii="Aptos" w:hAnsi="Aptos"/>
                <w:sz w:val="14"/>
              </w:rPr>
              <w:t>Implementations must preserve the contract of their port, interface, base type, or capability.</w:t>
            </w:r>
          </w:p>
        </w:tc>
        <w:tc>
          <w:tcPr>
            <w:tcW w:type="dxa" w:w="3311"/>
            <w:vAlign w:val="top"/>
            <w:tcMar>
              <w:top w:w="50" w:type="dxa"/>
              <w:start w:w="60" w:type="dxa"/>
              <w:bottom w:w="50" w:type="dxa"/>
              <w:end w:w="60" w:type="dxa"/>
            </w:tcMar>
          </w:tcPr>
          <w:p>
            <w:pPr>
              <w:spacing w:after="0"/>
            </w:pPr>
            <w:r>
              <w:rPr>
                <w:rFonts w:ascii="Aptos" w:hAnsi="Aptos"/>
                <w:sz w:val="14"/>
              </w:rPr>
              <w:t>Contract tests for adapters, model routes, repositories, and external integrations.</w:t>
            </w:r>
          </w:p>
        </w:tc>
      </w:tr>
      <w:tr>
        <w:trPr>
          <w:cantSplit/>
        </w:trPr>
        <w:tc>
          <w:tcPr>
            <w:tcW w:type="dxa" w:w="720"/>
            <w:vAlign w:val="top"/>
            <w:tcMar>
              <w:top w:w="50" w:type="dxa"/>
              <w:start w:w="60" w:type="dxa"/>
              <w:bottom w:w="50" w:type="dxa"/>
              <w:end w:w="60" w:type="dxa"/>
            </w:tcMar>
          </w:tcPr>
          <w:p>
            <w:pPr>
              <w:spacing w:after="0"/>
            </w:pPr>
            <w:r>
              <w:rPr>
                <w:rFonts w:ascii="Aptos" w:hAnsi="Aptos"/>
                <w:sz w:val="14"/>
              </w:rPr>
              <w:t>ISP</w:t>
            </w:r>
          </w:p>
        </w:tc>
        <w:tc>
          <w:tcPr>
            <w:tcW w:type="dxa" w:w="2160"/>
            <w:vAlign w:val="top"/>
            <w:tcMar>
              <w:top w:w="50" w:type="dxa"/>
              <w:start w:w="60" w:type="dxa"/>
              <w:bottom w:w="50" w:type="dxa"/>
              <w:end w:w="60" w:type="dxa"/>
            </w:tcMar>
          </w:tcPr>
          <w:p>
            <w:pPr>
              <w:spacing w:after="0"/>
            </w:pPr>
            <w:r>
              <w:rPr>
                <w:rFonts w:ascii="Aptos" w:hAnsi="Aptos"/>
                <w:sz w:val="14"/>
              </w:rPr>
              <w:t>Interface Segregation Principle</w:t>
            </w:r>
          </w:p>
        </w:tc>
        <w:tc>
          <w:tcPr>
            <w:tcW w:type="dxa" w:w="4320"/>
            <w:vAlign w:val="top"/>
            <w:tcMar>
              <w:top w:w="50" w:type="dxa"/>
              <w:start w:w="60" w:type="dxa"/>
              <w:bottom w:w="50" w:type="dxa"/>
              <w:end w:w="60" w:type="dxa"/>
            </w:tcMar>
          </w:tcPr>
          <w:p>
            <w:pPr>
              <w:spacing w:after="0"/>
            </w:pPr>
            <w:r>
              <w:rPr>
                <w:rFonts w:ascii="Aptos" w:hAnsi="Aptos"/>
                <w:sz w:val="14"/>
              </w:rPr>
              <w:t>Consumers should not depend on methods, data, prompts, permissions, or tools they do not use.</w:t>
            </w:r>
          </w:p>
        </w:tc>
        <w:tc>
          <w:tcPr>
            <w:tcW w:type="dxa" w:w="3311"/>
            <w:vAlign w:val="top"/>
            <w:tcMar>
              <w:top w:w="50" w:type="dxa"/>
              <w:start w:w="60" w:type="dxa"/>
              <w:bottom w:w="50" w:type="dxa"/>
              <w:end w:w="60" w:type="dxa"/>
            </w:tcMar>
          </w:tcPr>
          <w:p>
            <w:pPr>
              <w:spacing w:after="0"/>
            </w:pPr>
            <w:r>
              <w:rPr>
                <w:rFonts w:ascii="Aptos" w:hAnsi="Aptos"/>
                <w:sz w:val="14"/>
              </w:rPr>
              <w:t>Role- and capability-specific ports, DTOs, agent skills, and API contracts.</w:t>
            </w:r>
          </w:p>
        </w:tc>
      </w:tr>
      <w:tr>
        <w:trPr>
          <w:cantSplit/>
        </w:trPr>
        <w:tc>
          <w:tcPr>
            <w:tcW w:type="dxa" w:w="720"/>
            <w:vAlign w:val="top"/>
            <w:tcMar>
              <w:top w:w="50" w:type="dxa"/>
              <w:start w:w="60" w:type="dxa"/>
              <w:bottom w:w="50" w:type="dxa"/>
              <w:end w:w="60" w:type="dxa"/>
            </w:tcMar>
          </w:tcPr>
          <w:p>
            <w:pPr>
              <w:spacing w:after="0"/>
            </w:pPr>
            <w:r>
              <w:rPr>
                <w:rFonts w:ascii="Aptos" w:hAnsi="Aptos"/>
                <w:sz w:val="14"/>
              </w:rPr>
              <w:t>DIP</w:t>
            </w:r>
          </w:p>
        </w:tc>
        <w:tc>
          <w:tcPr>
            <w:tcW w:type="dxa" w:w="2160"/>
            <w:vAlign w:val="top"/>
            <w:tcMar>
              <w:top w:w="50" w:type="dxa"/>
              <w:start w:w="60" w:type="dxa"/>
              <w:bottom w:w="50" w:type="dxa"/>
              <w:end w:w="60" w:type="dxa"/>
            </w:tcMar>
          </w:tcPr>
          <w:p>
            <w:pPr>
              <w:spacing w:after="0"/>
            </w:pPr>
            <w:r>
              <w:rPr>
                <w:rFonts w:ascii="Aptos" w:hAnsi="Aptos"/>
                <w:sz w:val="14"/>
              </w:rPr>
              <w:t>Dependency Inversion Principle</w:t>
            </w:r>
          </w:p>
        </w:tc>
        <w:tc>
          <w:tcPr>
            <w:tcW w:type="dxa" w:w="4320"/>
            <w:vAlign w:val="top"/>
            <w:tcMar>
              <w:top w:w="50" w:type="dxa"/>
              <w:start w:w="60" w:type="dxa"/>
              <w:bottom w:w="50" w:type="dxa"/>
              <w:end w:w="60" w:type="dxa"/>
            </w:tcMar>
          </w:tcPr>
          <w:p>
            <w:pPr>
              <w:spacing w:after="0"/>
            </w:pPr>
            <w:r>
              <w:rPr>
                <w:rFonts w:ascii="Aptos" w:hAnsi="Aptos"/>
                <w:sz w:val="14"/>
              </w:rPr>
              <w:t>High-level domain and use-case logic depend on abstractions, not concrete frameworks or providers.</w:t>
            </w:r>
          </w:p>
        </w:tc>
        <w:tc>
          <w:tcPr>
            <w:tcW w:type="dxa" w:w="3311"/>
            <w:vAlign w:val="top"/>
            <w:tcMar>
              <w:top w:w="50" w:type="dxa"/>
              <w:start w:w="60" w:type="dxa"/>
              <w:bottom w:w="50" w:type="dxa"/>
              <w:end w:w="60" w:type="dxa"/>
            </w:tcMar>
          </w:tcPr>
          <w:p>
            <w:pPr>
              <w:spacing w:after="0"/>
            </w:pPr>
            <w:r>
              <w:rPr>
                <w:rFonts w:ascii="Aptos" w:hAnsi="Aptos"/>
                <w:sz w:val="14"/>
              </w:rPr>
              <w:t>Ports for database, messaging, model gateway, document store, workflow, and policy decisions.</w:t>
            </w:r>
          </w:p>
        </w:tc>
      </w:tr>
    </w:tbl>
    <w:p/>
    <w:p>
      <w:pPr>
        <w:pStyle w:val="Heading2"/>
        <w:keepNext/>
      </w:pPr>
      <w:r>
        <w:t>6.1 SOLID Rejection Patterns</w:t>
      </w:r>
    </w:p>
    <w:p>
      <w:pPr>
        <w:pStyle w:val="ListBullet"/>
        <w:spacing w:after="40"/>
      </w:pPr>
      <w:r>
        <w:rPr>
          <w:rFonts w:ascii="Aptos" w:hAnsi="Aptos"/>
          <w:sz w:val="18"/>
        </w:rPr>
        <w:t>Controllers containing business decisions, database writes, model calls, or workflow orchestration.</w:t>
      </w:r>
    </w:p>
    <w:p>
      <w:pPr>
        <w:pStyle w:val="ListBullet"/>
        <w:spacing w:after="40"/>
      </w:pPr>
      <w:r>
        <w:rPr>
          <w:rFonts w:ascii="Aptos" w:hAnsi="Aptos"/>
          <w:sz w:val="18"/>
        </w:rPr>
        <w:t>Domain classes importing Spring, Kafka, OpenKM, LiteLLM provider SDKs, Redis clients, or database infrastructure details.</w:t>
      </w:r>
    </w:p>
    <w:p>
      <w:pPr>
        <w:pStyle w:val="ListBullet"/>
        <w:spacing w:after="40"/>
      </w:pPr>
      <w:r>
        <w:rPr>
          <w:rFonts w:ascii="Aptos" w:hAnsi="Aptos"/>
          <w:sz w:val="18"/>
        </w:rPr>
        <w:t>MicroFunctions that combine security, validation, business logic, persistence, event publication, and response shaping in one unit.</w:t>
      </w:r>
    </w:p>
    <w:p>
      <w:pPr>
        <w:pStyle w:val="ListBullet"/>
        <w:spacing w:after="40"/>
      </w:pPr>
      <w:r>
        <w:rPr>
          <w:rFonts w:ascii="Aptos" w:hAnsi="Aptos"/>
          <w:sz w:val="18"/>
        </w:rPr>
        <w:t>AI-generated code that passes tests but introduces hidden coupling, duplicated logic, or boundary violations.</w:t>
      </w:r>
    </w:p>
    <w:p>
      <w:pPr>
        <w:pStyle w:val="ListBullet"/>
        <w:spacing w:after="40"/>
      </w:pPr>
      <w:r>
        <w:rPr>
          <w:rFonts w:ascii="Aptos" w:hAnsi="Aptos"/>
          <w:sz w:val="18"/>
        </w:rPr>
        <w:t>Adapters that change business semantics instead of translating technical protocols.</w:t>
      </w:r>
    </w:p>
    <w:p>
      <w:pPr>
        <w:pStyle w:val="Heading1"/>
        <w:keepNext/>
      </w:pPr>
      <w:r>
        <w:t>7. Clean Architecture, DDD, and Ports-and-Adapters Enforcement</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160"/>
            <w:shd w:fill="1F4E79"/>
            <w:tcMar>
              <w:top w:w="60" w:type="dxa"/>
              <w:start w:w="60" w:type="dxa"/>
              <w:bottom w:w="60" w:type="dxa"/>
              <w:end w:w="60" w:type="dxa"/>
            </w:tcMar>
          </w:tcPr>
          <w:p>
            <w:pPr>
              <w:spacing w:after="0"/>
              <w:jc w:val="center"/>
            </w:pPr>
            <w:r>
              <w:rPr>
                <w:rFonts w:ascii="Aptos" w:hAnsi="Aptos"/>
                <w:b/>
                <w:color w:val="FFFFFF"/>
                <w:sz w:val="14"/>
              </w:rPr>
              <w:t>Architecture Element</w:t>
            </w:r>
          </w:p>
        </w:tc>
        <w:tc>
          <w:tcPr>
            <w:tcW w:type="dxa" w:w="3888"/>
            <w:shd w:fill="1F4E79"/>
            <w:tcMar>
              <w:top w:w="60" w:type="dxa"/>
              <w:start w:w="60" w:type="dxa"/>
              <w:bottom w:w="60" w:type="dxa"/>
              <w:end w:w="60" w:type="dxa"/>
            </w:tcMar>
          </w:tcPr>
          <w:p>
            <w:pPr>
              <w:spacing w:after="0"/>
              <w:jc w:val="center"/>
            </w:pPr>
            <w:r>
              <w:rPr>
                <w:rFonts w:ascii="Aptos" w:hAnsi="Aptos"/>
                <w:b/>
                <w:color w:val="FFFFFF"/>
                <w:sz w:val="14"/>
              </w:rPr>
              <w:t>Owns</w:t>
            </w:r>
          </w:p>
        </w:tc>
        <w:tc>
          <w:tcPr>
            <w:tcW w:type="dxa" w:w="4464"/>
            <w:shd w:fill="1F4E79"/>
            <w:tcMar>
              <w:top w:w="60" w:type="dxa"/>
              <w:start w:w="60" w:type="dxa"/>
              <w:bottom w:w="60" w:type="dxa"/>
              <w:end w:w="60" w:type="dxa"/>
            </w:tcMar>
          </w:tcPr>
          <w:p>
            <w:pPr>
              <w:spacing w:after="0"/>
              <w:jc w:val="center"/>
            </w:pPr>
            <w:r>
              <w:rPr>
                <w:rFonts w:ascii="Aptos" w:hAnsi="Aptos"/>
                <w:b/>
                <w:color w:val="FFFFFF"/>
                <w:sz w:val="14"/>
              </w:rPr>
              <w:t>Must Not Do</w:t>
            </w:r>
          </w:p>
        </w:tc>
      </w:tr>
      <w:tr>
        <w:trPr>
          <w:cantSplit/>
        </w:trPr>
        <w:tc>
          <w:tcPr>
            <w:tcW w:type="dxa" w:w="2160"/>
            <w:vAlign w:val="top"/>
            <w:tcMar>
              <w:top w:w="50" w:type="dxa"/>
              <w:start w:w="60" w:type="dxa"/>
              <w:bottom w:w="50" w:type="dxa"/>
              <w:end w:w="60" w:type="dxa"/>
            </w:tcMar>
          </w:tcPr>
          <w:p>
            <w:pPr>
              <w:spacing w:after="0"/>
            </w:pPr>
            <w:r>
              <w:rPr>
                <w:rFonts w:ascii="Aptos" w:hAnsi="Aptos"/>
                <w:sz w:val="14"/>
              </w:rPr>
              <w:t>Domain Layer</w:t>
            </w:r>
          </w:p>
        </w:tc>
        <w:tc>
          <w:tcPr>
            <w:tcW w:type="dxa" w:w="3888"/>
            <w:vAlign w:val="top"/>
            <w:tcMar>
              <w:top w:w="50" w:type="dxa"/>
              <w:start w:w="60" w:type="dxa"/>
              <w:bottom w:w="50" w:type="dxa"/>
              <w:end w:w="60" w:type="dxa"/>
            </w:tcMar>
          </w:tcPr>
          <w:p>
            <w:pPr>
              <w:spacing w:after="0"/>
            </w:pPr>
            <w:r>
              <w:rPr>
                <w:rFonts w:ascii="Aptos" w:hAnsi="Aptos"/>
                <w:sz w:val="14"/>
              </w:rPr>
              <w:t>Entities, value objects, domain services, invariants, business rules</w:t>
            </w:r>
          </w:p>
        </w:tc>
        <w:tc>
          <w:tcPr>
            <w:tcW w:type="dxa" w:w="4464"/>
            <w:vAlign w:val="top"/>
            <w:tcMar>
              <w:top w:w="50" w:type="dxa"/>
              <w:start w:w="60" w:type="dxa"/>
              <w:bottom w:w="50" w:type="dxa"/>
              <w:end w:w="60" w:type="dxa"/>
            </w:tcMar>
          </w:tcPr>
          <w:p>
            <w:pPr>
              <w:spacing w:after="0"/>
            </w:pPr>
            <w:r>
              <w:rPr>
                <w:rFonts w:ascii="Aptos" w:hAnsi="Aptos"/>
                <w:sz w:val="14"/>
              </w:rPr>
              <w:t>No framework dependencies; no direct database, Kafka, OpenKM, LiteLLM, HTTP, or UI code.</w:t>
            </w:r>
          </w:p>
        </w:tc>
      </w:tr>
      <w:tr>
        <w:trPr>
          <w:cantSplit/>
        </w:trPr>
        <w:tc>
          <w:tcPr>
            <w:tcW w:type="dxa" w:w="2160"/>
            <w:vAlign w:val="top"/>
            <w:tcMar>
              <w:top w:w="50" w:type="dxa"/>
              <w:start w:w="60" w:type="dxa"/>
              <w:bottom w:w="50" w:type="dxa"/>
              <w:end w:w="60" w:type="dxa"/>
            </w:tcMar>
          </w:tcPr>
          <w:p>
            <w:pPr>
              <w:spacing w:after="0"/>
            </w:pPr>
            <w:r>
              <w:rPr>
                <w:rFonts w:ascii="Aptos" w:hAnsi="Aptos"/>
                <w:sz w:val="14"/>
              </w:rPr>
              <w:t>Application / Use Case Layer</w:t>
            </w:r>
          </w:p>
        </w:tc>
        <w:tc>
          <w:tcPr>
            <w:tcW w:type="dxa" w:w="3888"/>
            <w:vAlign w:val="top"/>
            <w:tcMar>
              <w:top w:w="50" w:type="dxa"/>
              <w:start w:w="60" w:type="dxa"/>
              <w:bottom w:w="50" w:type="dxa"/>
              <w:end w:w="60" w:type="dxa"/>
            </w:tcMar>
          </w:tcPr>
          <w:p>
            <w:pPr>
              <w:spacing w:after="0"/>
            </w:pPr>
            <w:r>
              <w:rPr>
                <w:rFonts w:ascii="Aptos" w:hAnsi="Aptos"/>
                <w:sz w:val="14"/>
              </w:rPr>
              <w:t>Use cases, orchestration of domain operations, transactions, command/query handlers</w:t>
            </w:r>
          </w:p>
        </w:tc>
        <w:tc>
          <w:tcPr>
            <w:tcW w:type="dxa" w:w="4464"/>
            <w:vAlign w:val="top"/>
            <w:tcMar>
              <w:top w:w="50" w:type="dxa"/>
              <w:start w:w="60" w:type="dxa"/>
              <w:bottom w:w="50" w:type="dxa"/>
              <w:end w:w="60" w:type="dxa"/>
            </w:tcMar>
          </w:tcPr>
          <w:p>
            <w:pPr>
              <w:spacing w:after="0"/>
            </w:pPr>
            <w:r>
              <w:rPr>
                <w:rFonts w:ascii="Aptos" w:hAnsi="Aptos"/>
                <w:sz w:val="14"/>
              </w:rPr>
              <w:t>Depends on ports; does not depend on concrete adapters.</w:t>
            </w:r>
          </w:p>
        </w:tc>
      </w:tr>
      <w:tr>
        <w:trPr>
          <w:cantSplit/>
        </w:trPr>
        <w:tc>
          <w:tcPr>
            <w:tcW w:type="dxa" w:w="2160"/>
            <w:vAlign w:val="top"/>
            <w:tcMar>
              <w:top w:w="50" w:type="dxa"/>
              <w:start w:w="60" w:type="dxa"/>
              <w:bottom w:w="50" w:type="dxa"/>
              <w:end w:w="60" w:type="dxa"/>
            </w:tcMar>
          </w:tcPr>
          <w:p>
            <w:pPr>
              <w:spacing w:after="0"/>
            </w:pPr>
            <w:r>
              <w:rPr>
                <w:rFonts w:ascii="Aptos" w:hAnsi="Aptos"/>
                <w:sz w:val="14"/>
              </w:rPr>
              <w:t>Interface Adapters</w:t>
            </w:r>
          </w:p>
        </w:tc>
        <w:tc>
          <w:tcPr>
            <w:tcW w:type="dxa" w:w="3888"/>
            <w:vAlign w:val="top"/>
            <w:tcMar>
              <w:top w:w="50" w:type="dxa"/>
              <w:start w:w="60" w:type="dxa"/>
              <w:bottom w:w="50" w:type="dxa"/>
              <w:end w:w="60" w:type="dxa"/>
            </w:tcMar>
          </w:tcPr>
          <w:p>
            <w:pPr>
              <w:spacing w:after="0"/>
            </w:pPr>
            <w:r>
              <w:rPr>
                <w:rFonts w:ascii="Aptos" w:hAnsi="Aptos"/>
                <w:sz w:val="14"/>
              </w:rPr>
              <w:t>REST controllers, DTO mappers, persistence adapters, event adapters, model-gateway adapters</w:t>
            </w:r>
          </w:p>
        </w:tc>
        <w:tc>
          <w:tcPr>
            <w:tcW w:type="dxa" w:w="4464"/>
            <w:vAlign w:val="top"/>
            <w:tcMar>
              <w:top w:w="50" w:type="dxa"/>
              <w:start w:w="60" w:type="dxa"/>
              <w:bottom w:w="50" w:type="dxa"/>
              <w:end w:w="60" w:type="dxa"/>
            </w:tcMar>
          </w:tcPr>
          <w:p>
            <w:pPr>
              <w:spacing w:after="0"/>
            </w:pPr>
            <w:r>
              <w:rPr>
                <w:rFonts w:ascii="Aptos" w:hAnsi="Aptos"/>
                <w:sz w:val="14"/>
              </w:rPr>
              <w:t>Translate protocols; do not own domain policy.</w:t>
            </w:r>
          </w:p>
        </w:tc>
      </w:tr>
      <w:tr>
        <w:trPr>
          <w:cantSplit/>
        </w:trPr>
        <w:tc>
          <w:tcPr>
            <w:tcW w:type="dxa" w:w="2160"/>
            <w:vAlign w:val="top"/>
            <w:tcMar>
              <w:top w:w="50" w:type="dxa"/>
              <w:start w:w="60" w:type="dxa"/>
              <w:bottom w:w="50" w:type="dxa"/>
              <w:end w:w="60" w:type="dxa"/>
            </w:tcMar>
          </w:tcPr>
          <w:p>
            <w:pPr>
              <w:spacing w:after="0"/>
            </w:pPr>
            <w:r>
              <w:rPr>
                <w:rFonts w:ascii="Aptos" w:hAnsi="Aptos"/>
                <w:sz w:val="14"/>
              </w:rPr>
              <w:t>Infrastructure</w:t>
            </w:r>
          </w:p>
        </w:tc>
        <w:tc>
          <w:tcPr>
            <w:tcW w:type="dxa" w:w="3888"/>
            <w:vAlign w:val="top"/>
            <w:tcMar>
              <w:top w:w="50" w:type="dxa"/>
              <w:start w:w="60" w:type="dxa"/>
              <w:bottom w:w="50" w:type="dxa"/>
              <w:end w:w="60" w:type="dxa"/>
            </w:tcMar>
          </w:tcPr>
          <w:p>
            <w:pPr>
              <w:spacing w:after="0"/>
            </w:pPr>
            <w:r>
              <w:rPr>
                <w:rFonts w:ascii="Aptos" w:hAnsi="Aptos"/>
                <w:sz w:val="14"/>
              </w:rPr>
              <w:t>Spring Boot, PostgreSQL, Kafka, Temporal, Flowable, OpenKM, LiteLLM, Vault, OPA</w:t>
            </w:r>
          </w:p>
        </w:tc>
        <w:tc>
          <w:tcPr>
            <w:tcW w:type="dxa" w:w="4464"/>
            <w:vAlign w:val="top"/>
            <w:tcMar>
              <w:top w:w="50" w:type="dxa"/>
              <w:start w:w="60" w:type="dxa"/>
              <w:bottom w:w="50" w:type="dxa"/>
              <w:end w:w="60" w:type="dxa"/>
            </w:tcMar>
          </w:tcPr>
          <w:p>
            <w:pPr>
              <w:spacing w:after="0"/>
            </w:pPr>
            <w:r>
              <w:rPr>
                <w:rFonts w:ascii="Aptos" w:hAnsi="Aptos"/>
                <w:sz w:val="14"/>
              </w:rPr>
              <w:t>Implementation detail behind ports and governed configuration.</w:t>
            </w:r>
          </w:p>
        </w:tc>
      </w:tr>
      <w:tr>
        <w:trPr>
          <w:cantSplit/>
        </w:trPr>
        <w:tc>
          <w:tcPr>
            <w:tcW w:type="dxa" w:w="2160"/>
            <w:vAlign w:val="top"/>
            <w:tcMar>
              <w:top w:w="50" w:type="dxa"/>
              <w:start w:w="60" w:type="dxa"/>
              <w:bottom w:w="50" w:type="dxa"/>
              <w:end w:w="60" w:type="dxa"/>
            </w:tcMar>
          </w:tcPr>
          <w:p>
            <w:pPr>
              <w:spacing w:after="0"/>
            </w:pPr>
            <w:r>
              <w:rPr>
                <w:rFonts w:ascii="Aptos" w:hAnsi="Aptos"/>
                <w:sz w:val="14"/>
              </w:rPr>
              <w:t>Bounded Context</w:t>
            </w:r>
          </w:p>
        </w:tc>
        <w:tc>
          <w:tcPr>
            <w:tcW w:type="dxa" w:w="3888"/>
            <w:vAlign w:val="top"/>
            <w:tcMar>
              <w:top w:w="50" w:type="dxa"/>
              <w:start w:w="60" w:type="dxa"/>
              <w:bottom w:w="50" w:type="dxa"/>
              <w:end w:w="60" w:type="dxa"/>
            </w:tcMar>
          </w:tcPr>
          <w:p>
            <w:pPr>
              <w:spacing w:after="0"/>
            </w:pPr>
            <w:r>
              <w:rPr>
                <w:rFonts w:ascii="Aptos" w:hAnsi="Aptos"/>
                <w:sz w:val="14"/>
              </w:rPr>
              <w:t>A domain ownership boundary with language, schema, contracts, and events</w:t>
            </w:r>
          </w:p>
        </w:tc>
        <w:tc>
          <w:tcPr>
            <w:tcW w:type="dxa" w:w="4464"/>
            <w:vAlign w:val="top"/>
            <w:tcMar>
              <w:top w:w="50" w:type="dxa"/>
              <w:start w:w="60" w:type="dxa"/>
              <w:bottom w:w="50" w:type="dxa"/>
              <w:end w:w="60" w:type="dxa"/>
            </w:tcMar>
          </w:tcPr>
          <w:p>
            <w:pPr>
              <w:spacing w:after="0"/>
            </w:pPr>
            <w:r>
              <w:rPr>
                <w:rFonts w:ascii="Aptos" w:hAnsi="Aptos"/>
                <w:sz w:val="14"/>
              </w:rPr>
              <w:t>Cross-context changes require API/event contracts or ADR/TDL; no shared mutable database ownership.</w:t>
            </w:r>
          </w:p>
        </w:tc>
      </w:tr>
    </w:tbl>
    <w:p/>
    <w:tbl>
      <w:tblPr>
        <w:tblStyle w:val="TableGrid"/>
        <w:tblW w:type="auto" w:w="0"/>
        <w:jc w:val="center"/>
        <w:tblLook w:firstColumn="1" w:firstRow="1" w:lastColumn="0" w:lastRow="0" w:noHBand="0" w:noVBand="1" w:val="04A0"/>
      </w:tblPr>
      <w:tblGrid>
        <w:gridCol w:w="10368"/>
      </w:tblGrid>
      <w:tr>
        <w:tc>
          <w:tcPr>
            <w:tcW w:type="dxa" w:w="10368"/>
            <w:shd w:fill="FCE4D6"/>
            <w:tcMar>
              <w:top w:w="145" w:type="dxa"/>
              <w:start w:w="160" w:type="dxa"/>
              <w:bottom w:w="145" w:type="dxa"/>
              <w:end w:w="160" w:type="dxa"/>
            </w:tcMar>
          </w:tcPr>
          <w:p>
            <w:pPr>
              <w:spacing w:after="60"/>
            </w:pPr>
            <w:r>
              <w:rPr>
                <w:rFonts w:ascii="Aptos" w:hAnsi="Aptos"/>
                <w:b/>
                <w:color w:val="1F4E79"/>
                <w:sz w:val="19"/>
              </w:rPr>
              <w:t>Boundary Rule</w:t>
            </w:r>
          </w:p>
          <w:p>
            <w:pPr>
              <w:spacing w:after="0"/>
            </w:pPr>
            <w:r>
              <w:rPr>
                <w:rFonts w:ascii="Aptos" w:hAnsi="Aptos"/>
                <w:sz w:val="17"/>
              </w:rPr>
              <w:t>AIRA must prefer explicit boundaries over convenience coupling. Any shortcut that makes the system faster to code but harder to test, secure, observe, replace, or govern is an architecture defect unless formally waived.</w:t>
            </w:r>
          </w:p>
        </w:tc>
      </w:tr>
    </w:tbl>
    <w:p/>
    <w:p>
      <w:pPr>
        <w:pStyle w:val="Heading1"/>
        <w:keepNext/>
      </w:pPr>
      <w:r>
        <w:t>8. Auto-Heal, Auto-Learn, and Auto-Improve Governance</w:t>
      </w:r>
    </w:p>
    <w:p>
      <w:pPr>
        <w:spacing w:after="80"/>
      </w:pPr>
      <w:r>
        <w:rPr>
          <w:rFonts w:ascii="Aptos" w:hAnsi="Aptos"/>
          <w:sz w:val="18"/>
        </w:rPr>
        <w:t>AIRA supports governed continuous improvement loops. These loops are powerful only when they remain bounded by architecture, security, evidence, human accountability, and rollback controls.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1728"/>
            <w:shd w:fill="1F4E79"/>
            <w:tcMar>
              <w:top w:w="60" w:type="dxa"/>
              <w:start w:w="60" w:type="dxa"/>
              <w:bottom w:w="60" w:type="dxa"/>
              <w:end w:w="60" w:type="dxa"/>
            </w:tcMar>
          </w:tcPr>
          <w:p>
            <w:pPr>
              <w:spacing w:after="0"/>
              <w:jc w:val="center"/>
            </w:pPr>
            <w:r>
              <w:rPr>
                <w:rFonts w:ascii="Aptos" w:hAnsi="Aptos"/>
                <w:b/>
                <w:color w:val="FFFFFF"/>
                <w:sz w:val="14"/>
              </w:rPr>
              <w:t>Capability</w:t>
            </w:r>
          </w:p>
        </w:tc>
        <w:tc>
          <w:tcPr>
            <w:tcW w:type="dxa" w:w="3311"/>
            <w:shd w:fill="1F4E79"/>
            <w:tcMar>
              <w:top w:w="60" w:type="dxa"/>
              <w:start w:w="60" w:type="dxa"/>
              <w:bottom w:w="60" w:type="dxa"/>
              <w:end w:w="60" w:type="dxa"/>
            </w:tcMar>
          </w:tcPr>
          <w:p>
            <w:pPr>
              <w:spacing w:after="0"/>
              <w:jc w:val="center"/>
            </w:pPr>
            <w:r>
              <w:rPr>
                <w:rFonts w:ascii="Aptos" w:hAnsi="Aptos"/>
                <w:b/>
                <w:color w:val="FFFFFF"/>
                <w:sz w:val="14"/>
              </w:rPr>
              <w:t>Purpose</w:t>
            </w:r>
          </w:p>
        </w:tc>
        <w:tc>
          <w:tcPr>
            <w:tcW w:type="dxa" w:w="5472"/>
            <w:shd w:fill="1F4E79"/>
            <w:tcMar>
              <w:top w:w="60" w:type="dxa"/>
              <w:start w:w="60" w:type="dxa"/>
              <w:bottom w:w="60" w:type="dxa"/>
              <w:end w:w="60" w:type="dxa"/>
            </w:tcMar>
          </w:tcPr>
          <w:p>
            <w:pPr>
              <w:spacing w:after="0"/>
              <w:jc w:val="center"/>
            </w:pPr>
            <w:r>
              <w:rPr>
                <w:rFonts w:ascii="Aptos" w:hAnsi="Aptos"/>
                <w:b/>
                <w:color w:val="FFFFFF"/>
                <w:sz w:val="14"/>
              </w:rPr>
              <w:t>Acceptance Gate</w:t>
            </w:r>
          </w:p>
        </w:tc>
      </w:tr>
      <w:tr>
        <w:trPr>
          <w:cantSplit/>
        </w:trPr>
        <w:tc>
          <w:tcPr>
            <w:tcW w:type="dxa" w:w="1728"/>
            <w:vAlign w:val="top"/>
            <w:tcMar>
              <w:top w:w="50" w:type="dxa"/>
              <w:start w:w="60" w:type="dxa"/>
              <w:bottom w:w="50" w:type="dxa"/>
              <w:end w:w="60" w:type="dxa"/>
            </w:tcMar>
          </w:tcPr>
          <w:p>
            <w:pPr>
              <w:spacing w:after="0"/>
            </w:pPr>
            <w:r>
              <w:rPr>
                <w:rFonts w:ascii="Aptos" w:hAnsi="Aptos"/>
                <w:sz w:val="14"/>
              </w:rPr>
              <w:t>Auto-Heal</w:t>
            </w:r>
          </w:p>
        </w:tc>
        <w:tc>
          <w:tcPr>
            <w:tcW w:type="dxa" w:w="3311"/>
            <w:vAlign w:val="top"/>
            <w:tcMar>
              <w:top w:w="50" w:type="dxa"/>
              <w:start w:w="60" w:type="dxa"/>
              <w:bottom w:w="50" w:type="dxa"/>
              <w:end w:w="60" w:type="dxa"/>
            </w:tcMar>
          </w:tcPr>
          <w:p>
            <w:pPr>
              <w:spacing w:after="0"/>
            </w:pPr>
            <w:r>
              <w:rPr>
                <w:rFonts w:ascii="Aptos" w:hAnsi="Aptos"/>
                <w:sz w:val="14"/>
              </w:rPr>
              <w:t>Detect, classify, and propose or execute bounded remediation for failures.</w:t>
            </w:r>
          </w:p>
        </w:tc>
        <w:tc>
          <w:tcPr>
            <w:tcW w:type="dxa" w:w="5472"/>
            <w:vAlign w:val="top"/>
            <w:tcMar>
              <w:top w:w="50" w:type="dxa"/>
              <w:start w:w="60" w:type="dxa"/>
              <w:bottom w:w="50" w:type="dxa"/>
              <w:end w:w="60" w:type="dxa"/>
            </w:tcMar>
          </w:tcPr>
          <w:p>
            <w:pPr>
              <w:spacing w:after="0"/>
            </w:pPr>
            <w:r>
              <w:rPr>
                <w:rFonts w:ascii="Aptos" w:hAnsi="Aptos"/>
                <w:sz w:val="14"/>
              </w:rPr>
              <w:t>Fix is evidence-based, minimal, idempotent, tested, secure, observable, reversible, and does not bypass architecture boundaries.</w:t>
            </w:r>
          </w:p>
        </w:tc>
      </w:tr>
      <w:tr>
        <w:trPr>
          <w:cantSplit/>
        </w:trPr>
        <w:tc>
          <w:tcPr>
            <w:tcW w:type="dxa" w:w="1728"/>
            <w:vAlign w:val="top"/>
            <w:tcMar>
              <w:top w:w="50" w:type="dxa"/>
              <w:start w:w="60" w:type="dxa"/>
              <w:bottom w:w="50" w:type="dxa"/>
              <w:end w:w="60" w:type="dxa"/>
            </w:tcMar>
          </w:tcPr>
          <w:p>
            <w:pPr>
              <w:spacing w:after="0"/>
            </w:pPr>
            <w:r>
              <w:rPr>
                <w:rFonts w:ascii="Aptos" w:hAnsi="Aptos"/>
                <w:sz w:val="14"/>
              </w:rPr>
              <w:t>Auto-Learn</w:t>
            </w:r>
          </w:p>
        </w:tc>
        <w:tc>
          <w:tcPr>
            <w:tcW w:type="dxa" w:w="3311"/>
            <w:vAlign w:val="top"/>
            <w:tcMar>
              <w:top w:w="50" w:type="dxa"/>
              <w:start w:w="60" w:type="dxa"/>
              <w:bottom w:w="50" w:type="dxa"/>
              <w:end w:w="60" w:type="dxa"/>
            </w:tcMar>
          </w:tcPr>
          <w:p>
            <w:pPr>
              <w:spacing w:after="0"/>
            </w:pPr>
            <w:r>
              <w:rPr>
                <w:rFonts w:ascii="Aptos" w:hAnsi="Aptos"/>
                <w:sz w:val="14"/>
              </w:rPr>
              <w:t>Convert reviewed outcomes into knowledge, tests, prompts, guardrails, and runbooks.</w:t>
            </w:r>
          </w:p>
        </w:tc>
        <w:tc>
          <w:tcPr>
            <w:tcW w:type="dxa" w:w="5472"/>
            <w:vAlign w:val="top"/>
            <w:tcMar>
              <w:top w:w="50" w:type="dxa"/>
              <w:start w:w="60" w:type="dxa"/>
              <w:bottom w:w="50" w:type="dxa"/>
              <w:end w:w="60" w:type="dxa"/>
            </w:tcMar>
          </w:tcPr>
          <w:p>
            <w:pPr>
              <w:spacing w:after="0"/>
            </w:pPr>
            <w:r>
              <w:rPr>
                <w:rFonts w:ascii="Aptos" w:hAnsi="Aptos"/>
                <w:sz w:val="14"/>
              </w:rPr>
              <w:t>Learning is attributable, cited, human-reviewed, classification-safe, non-conflicting, and not promoted as authoritative until approved.</w:t>
            </w:r>
          </w:p>
        </w:tc>
      </w:tr>
      <w:tr>
        <w:trPr>
          <w:cantSplit/>
        </w:trPr>
        <w:tc>
          <w:tcPr>
            <w:tcW w:type="dxa" w:w="1728"/>
            <w:vAlign w:val="top"/>
            <w:tcMar>
              <w:top w:w="50" w:type="dxa"/>
              <w:start w:w="60" w:type="dxa"/>
              <w:bottom w:w="50" w:type="dxa"/>
              <w:end w:w="60" w:type="dxa"/>
            </w:tcMar>
          </w:tcPr>
          <w:p>
            <w:pPr>
              <w:spacing w:after="0"/>
            </w:pPr>
            <w:r>
              <w:rPr>
                <w:rFonts w:ascii="Aptos" w:hAnsi="Aptos"/>
                <w:sz w:val="14"/>
              </w:rPr>
              <w:t>Auto-Improve</w:t>
            </w:r>
          </w:p>
        </w:tc>
        <w:tc>
          <w:tcPr>
            <w:tcW w:type="dxa" w:w="3311"/>
            <w:vAlign w:val="top"/>
            <w:tcMar>
              <w:top w:w="50" w:type="dxa"/>
              <w:start w:w="60" w:type="dxa"/>
              <w:bottom w:w="50" w:type="dxa"/>
              <w:end w:w="60" w:type="dxa"/>
            </w:tcMar>
          </w:tcPr>
          <w:p>
            <w:pPr>
              <w:spacing w:after="0"/>
            </w:pPr>
            <w:r>
              <w:rPr>
                <w:rFonts w:ascii="Aptos" w:hAnsi="Aptos"/>
                <w:sz w:val="14"/>
              </w:rPr>
              <w:t>Propose measurable improvements to quality, reliability, security, maintainability, or performance.</w:t>
            </w:r>
          </w:p>
        </w:tc>
        <w:tc>
          <w:tcPr>
            <w:tcW w:type="dxa" w:w="5472"/>
            <w:vAlign w:val="top"/>
            <w:tcMar>
              <w:top w:w="50" w:type="dxa"/>
              <w:start w:w="60" w:type="dxa"/>
              <w:bottom w:w="50" w:type="dxa"/>
              <w:end w:w="60" w:type="dxa"/>
            </w:tcMar>
          </w:tcPr>
          <w:p>
            <w:pPr>
              <w:spacing w:after="0"/>
            </w:pPr>
            <w:r>
              <w:rPr>
                <w:rFonts w:ascii="Aptos" w:hAnsi="Aptos"/>
                <w:sz w:val="14"/>
              </w:rPr>
              <w:t>Improvement reduces risk or debt without weakening SOLID, architecture boundaries, tests, security, observability, rollbackability, or AVCI.</w:t>
            </w:r>
          </w:p>
        </w:tc>
      </w:tr>
    </w:tbl>
    <w:p/>
    <w:p>
      <w:pPr>
        <w:pStyle w:val="Heading2"/>
        <w:keepNext/>
      </w:pPr>
      <w:r>
        <w:t>8.1 Prohibited Auto-Loop Outcomes</w:t>
      </w:r>
    </w:p>
    <w:p>
      <w:pPr>
        <w:pStyle w:val="ListBullet"/>
        <w:spacing w:after="40"/>
      </w:pPr>
      <w:r>
        <w:rPr>
          <w:rFonts w:ascii="Aptos" w:hAnsi="Aptos"/>
          <w:sz w:val="18"/>
        </w:rPr>
        <w:t>Autonomous production self-modification without human approval and full audit evidence.</w:t>
      </w:r>
    </w:p>
    <w:p>
      <w:pPr>
        <w:pStyle w:val="ListBullet"/>
        <w:spacing w:after="40"/>
      </w:pPr>
      <w:r>
        <w:rPr>
          <w:rFonts w:ascii="Aptos" w:hAnsi="Aptos"/>
          <w:sz w:val="18"/>
        </w:rPr>
        <w:t>Fixes that disable tests, guardrails, policy checks, audit logging, or observability to make a pipeline pass.</w:t>
      </w:r>
    </w:p>
    <w:p>
      <w:pPr>
        <w:pStyle w:val="ListBullet"/>
        <w:spacing w:after="40"/>
      </w:pPr>
      <w:r>
        <w:rPr>
          <w:rFonts w:ascii="Aptos" w:hAnsi="Aptos"/>
          <w:sz w:val="18"/>
        </w:rPr>
        <w:t>Learning updates that promote stale, conflicting, unclassified, or uncited knowledge into LLM Wiki or Obsidian.</w:t>
      </w:r>
    </w:p>
    <w:p>
      <w:pPr>
        <w:pStyle w:val="ListBullet"/>
        <w:spacing w:after="40"/>
      </w:pPr>
      <w:r>
        <w:rPr>
          <w:rFonts w:ascii="Aptos" w:hAnsi="Aptos"/>
          <w:sz w:val="18"/>
        </w:rPr>
        <w:t>Improvements that reduce immediate toil but increase coupling, hidden state, privilege scope, or rollback risk.</w:t>
      </w:r>
    </w:p>
    <w:p>
      <w:pPr>
        <w:pStyle w:val="Heading1"/>
        <w:keepNext/>
      </w:pPr>
      <w:r>
        <w:t>9. AVCI Evidence Record Schema v3.0</w:t>
      </w:r>
    </w:p>
    <w:p>
      <w:pPr>
        <w:spacing w:after="80"/>
      </w:pPr>
      <w:r>
        <w:rPr>
          <w:rFonts w:ascii="Aptos" w:hAnsi="Aptos"/>
          <w:sz w:val="18"/>
        </w:rPr>
        <w:t>Every material artifact must have evidence sufficient for humans, auditors, and AI agents to reconstruct ownership, correctness, handling rules, and improvement history. Version 3.0 extends the evidence schema to include design-principle impact and architecture-fitness evidence.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3168"/>
            <w:shd w:fill="1F4E79"/>
            <w:tcMar>
              <w:top w:w="60" w:type="dxa"/>
              <w:start w:w="60" w:type="dxa"/>
              <w:bottom w:w="60" w:type="dxa"/>
              <w:end w:w="60" w:type="dxa"/>
            </w:tcMar>
          </w:tcPr>
          <w:p>
            <w:pPr>
              <w:spacing w:after="0"/>
              <w:jc w:val="center"/>
            </w:pPr>
            <w:r>
              <w:rPr>
                <w:rFonts w:ascii="Aptos" w:hAnsi="Aptos"/>
                <w:b/>
                <w:color w:val="FFFFFF"/>
                <w:sz w:val="15"/>
              </w:rPr>
              <w:t>Field</w:t>
            </w:r>
          </w:p>
        </w:tc>
        <w:tc>
          <w:tcPr>
            <w:tcW w:type="dxa" w:w="7343"/>
            <w:shd w:fill="1F4E79"/>
            <w:tcMar>
              <w:top w:w="60" w:type="dxa"/>
              <w:start w:w="60" w:type="dxa"/>
              <w:bottom w:w="60" w:type="dxa"/>
              <w:end w:w="60" w:type="dxa"/>
            </w:tcMar>
          </w:tcPr>
          <w:p>
            <w:pPr>
              <w:spacing w:after="0"/>
              <w:jc w:val="center"/>
            </w:pPr>
            <w:r>
              <w:rPr>
                <w:rFonts w:ascii="Aptos" w:hAnsi="Aptos"/>
                <w:b/>
                <w:color w:val="FFFFFF"/>
                <w:sz w:val="15"/>
              </w:rPr>
              <w:t>Description</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artifact_id</w:t>
            </w:r>
          </w:p>
        </w:tc>
        <w:tc>
          <w:tcPr>
            <w:tcW w:type="dxa" w:w="7343"/>
            <w:vAlign w:val="top"/>
            <w:tcMar>
              <w:top w:w="50" w:type="dxa"/>
              <w:start w:w="60" w:type="dxa"/>
              <w:bottom w:w="50" w:type="dxa"/>
              <w:end w:w="60" w:type="dxa"/>
            </w:tcMar>
          </w:tcPr>
          <w:p>
            <w:pPr>
              <w:spacing w:after="0"/>
            </w:pPr>
            <w:r>
              <w:rPr>
                <w:rFonts w:ascii="Aptos" w:hAnsi="Aptos"/>
                <w:sz w:val="15"/>
              </w:rPr>
              <w:t>Unique identifier for the artifact, change, run, or output.</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artifact_type</w:t>
            </w:r>
          </w:p>
        </w:tc>
        <w:tc>
          <w:tcPr>
            <w:tcW w:type="dxa" w:w="7343"/>
            <w:vAlign w:val="top"/>
            <w:tcMar>
              <w:top w:w="50" w:type="dxa"/>
              <w:start w:w="60" w:type="dxa"/>
              <w:bottom w:w="50" w:type="dxa"/>
              <w:end w:w="60" w:type="dxa"/>
            </w:tcMar>
          </w:tcPr>
          <w:p>
            <w:pPr>
              <w:spacing w:after="0"/>
            </w:pPr>
            <w:r>
              <w:rPr>
                <w:rFonts w:ascii="Aptos" w:hAnsi="Aptos"/>
                <w:sz w:val="15"/>
              </w:rPr>
              <w:t>Code, configuration, migration, prompt, guardrail, model route, test, runbook, knowledge note, incident, ADR, or MicroFunction.</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owner</w:t>
            </w:r>
          </w:p>
        </w:tc>
        <w:tc>
          <w:tcPr>
            <w:tcW w:type="dxa" w:w="7343"/>
            <w:vAlign w:val="top"/>
            <w:tcMar>
              <w:top w:w="50" w:type="dxa"/>
              <w:start w:w="60" w:type="dxa"/>
              <w:bottom w:w="50" w:type="dxa"/>
              <w:end w:w="60" w:type="dxa"/>
            </w:tcMar>
          </w:tcPr>
          <w:p>
            <w:pPr>
              <w:spacing w:after="0"/>
            </w:pPr>
            <w:r>
              <w:rPr>
                <w:rFonts w:ascii="Aptos" w:hAnsi="Aptos"/>
                <w:sz w:val="15"/>
              </w:rPr>
              <w:t>Named accountable human or approved service owner.</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source_ref</w:t>
            </w:r>
          </w:p>
        </w:tc>
        <w:tc>
          <w:tcPr>
            <w:tcW w:type="dxa" w:w="7343"/>
            <w:vAlign w:val="top"/>
            <w:tcMar>
              <w:top w:w="50" w:type="dxa"/>
              <w:start w:w="60" w:type="dxa"/>
              <w:bottom w:w="50" w:type="dxa"/>
              <w:end w:w="60" w:type="dxa"/>
            </w:tcMar>
          </w:tcPr>
          <w:p>
            <w:pPr>
              <w:spacing w:after="0"/>
            </w:pPr>
            <w:r>
              <w:rPr>
                <w:rFonts w:ascii="Aptos" w:hAnsi="Aptos"/>
                <w:sz w:val="15"/>
              </w:rPr>
              <w:t>Git commit, document ID, OpenKM reference, ticket, ADR/TDL, or workflow ID.</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version</w:t>
            </w:r>
          </w:p>
        </w:tc>
        <w:tc>
          <w:tcPr>
            <w:tcW w:type="dxa" w:w="7343"/>
            <w:vAlign w:val="top"/>
            <w:tcMar>
              <w:top w:w="50" w:type="dxa"/>
              <w:start w:w="60" w:type="dxa"/>
              <w:bottom w:w="50" w:type="dxa"/>
              <w:end w:w="60" w:type="dxa"/>
            </w:tcMar>
          </w:tcPr>
          <w:p>
            <w:pPr>
              <w:spacing w:after="0"/>
            </w:pPr>
            <w:r>
              <w:rPr>
                <w:rFonts w:ascii="Aptos" w:hAnsi="Aptos"/>
                <w:sz w:val="15"/>
              </w:rPr>
              <w:t>Semantic version, build version, migration version, prompt version, model alias version, or rule version.</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classification</w:t>
            </w:r>
          </w:p>
        </w:tc>
        <w:tc>
          <w:tcPr>
            <w:tcW w:type="dxa" w:w="7343"/>
            <w:vAlign w:val="top"/>
            <w:tcMar>
              <w:top w:w="50" w:type="dxa"/>
              <w:start w:w="60" w:type="dxa"/>
              <w:bottom w:w="50" w:type="dxa"/>
              <w:end w:w="60" w:type="dxa"/>
            </w:tcMar>
          </w:tcPr>
          <w:p>
            <w:pPr>
              <w:spacing w:after="0"/>
            </w:pPr>
            <w:r>
              <w:rPr>
                <w:rFonts w:ascii="Aptos" w:hAnsi="Aptos"/>
                <w:sz w:val="15"/>
              </w:rPr>
              <w:t>Public, Internal, Confidential, or Restricted plus domain and handling rules.</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verification_evidence</w:t>
            </w:r>
          </w:p>
        </w:tc>
        <w:tc>
          <w:tcPr>
            <w:tcW w:type="dxa" w:w="7343"/>
            <w:vAlign w:val="top"/>
            <w:tcMar>
              <w:top w:w="50" w:type="dxa"/>
              <w:start w:w="60" w:type="dxa"/>
              <w:bottom w:w="50" w:type="dxa"/>
              <w:end w:w="60" w:type="dxa"/>
            </w:tcMar>
          </w:tcPr>
          <w:p>
            <w:pPr>
              <w:spacing w:after="0"/>
            </w:pPr>
            <w:r>
              <w:rPr>
                <w:rFonts w:ascii="Aptos" w:hAnsi="Aptos"/>
                <w:sz w:val="15"/>
              </w:rPr>
              <w:t>Tests, scans, reviews, policy decisions, evaluations, signed artifacts, trace/audit records.</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principle_impact</w:t>
            </w:r>
          </w:p>
        </w:tc>
        <w:tc>
          <w:tcPr>
            <w:tcW w:type="dxa" w:w="7343"/>
            <w:vAlign w:val="top"/>
            <w:tcMar>
              <w:top w:w="50" w:type="dxa"/>
              <w:start w:w="60" w:type="dxa"/>
              <w:bottom w:w="50" w:type="dxa"/>
              <w:end w:w="60" w:type="dxa"/>
            </w:tcMar>
          </w:tcPr>
          <w:p>
            <w:pPr>
              <w:spacing w:after="0"/>
            </w:pPr>
            <w:r>
              <w:rPr>
                <w:rFonts w:ascii="Aptos" w:hAnsi="Aptos"/>
                <w:sz w:val="15"/>
              </w:rPr>
              <w:t>List of affected EDP IDs and statement of preserved/improved/weakened status.</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architecture_boundary_impact</w:t>
            </w:r>
          </w:p>
        </w:tc>
        <w:tc>
          <w:tcPr>
            <w:tcW w:type="dxa" w:w="7343"/>
            <w:vAlign w:val="top"/>
            <w:tcMar>
              <w:top w:w="50" w:type="dxa"/>
              <w:start w:w="60" w:type="dxa"/>
              <w:bottom w:w="50" w:type="dxa"/>
              <w:end w:w="60" w:type="dxa"/>
            </w:tcMar>
          </w:tcPr>
          <w:p>
            <w:pPr>
              <w:spacing w:after="0"/>
            </w:pPr>
            <w:r>
              <w:rPr>
                <w:rFonts w:ascii="Aptos" w:hAnsi="Aptos"/>
                <w:sz w:val="15"/>
              </w:rPr>
              <w:t>Affected bounded context, layer, port, adapter, workflow boundary, or service contract.</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testability_impact</w:t>
            </w:r>
          </w:p>
        </w:tc>
        <w:tc>
          <w:tcPr>
            <w:tcW w:type="dxa" w:w="7343"/>
            <w:vAlign w:val="top"/>
            <w:tcMar>
              <w:top w:w="50" w:type="dxa"/>
              <w:start w:w="60" w:type="dxa"/>
              <w:bottom w:w="50" w:type="dxa"/>
              <w:end w:w="60" w:type="dxa"/>
            </w:tcMar>
          </w:tcPr>
          <w:p>
            <w:pPr>
              <w:spacing w:after="0"/>
            </w:pPr>
            <w:r>
              <w:rPr>
                <w:rFonts w:ascii="Aptos" w:hAnsi="Aptos"/>
                <w:sz w:val="15"/>
              </w:rPr>
              <w:t>New or changed tests, deterministic fixtures, coverage, mutation score, and failure/recovery paths.</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security_posture_impact</w:t>
            </w:r>
          </w:p>
        </w:tc>
        <w:tc>
          <w:tcPr>
            <w:tcW w:type="dxa" w:w="7343"/>
            <w:vAlign w:val="top"/>
            <w:tcMar>
              <w:top w:w="50" w:type="dxa"/>
              <w:start w:w="60" w:type="dxa"/>
              <w:bottom w:w="50" w:type="dxa"/>
              <w:end w:w="60" w:type="dxa"/>
            </w:tcMar>
          </w:tcPr>
          <w:p>
            <w:pPr>
              <w:spacing w:after="0"/>
            </w:pPr>
            <w:r>
              <w:rPr>
                <w:rFonts w:ascii="Aptos" w:hAnsi="Aptos"/>
                <w:sz w:val="15"/>
              </w:rPr>
              <w:t>Access, secrets, classification, threat controls, policy, and data-handling impact.</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observability_impact</w:t>
            </w:r>
          </w:p>
        </w:tc>
        <w:tc>
          <w:tcPr>
            <w:tcW w:type="dxa" w:w="7343"/>
            <w:vAlign w:val="top"/>
            <w:tcMar>
              <w:top w:w="50" w:type="dxa"/>
              <w:start w:w="60" w:type="dxa"/>
              <w:bottom w:w="50" w:type="dxa"/>
              <w:end w:w="60" w:type="dxa"/>
            </w:tcMar>
          </w:tcPr>
          <w:p>
            <w:pPr>
              <w:spacing w:after="0"/>
            </w:pPr>
            <w:r>
              <w:rPr>
                <w:rFonts w:ascii="Aptos" w:hAnsi="Aptos"/>
                <w:sz w:val="15"/>
              </w:rPr>
              <w:t>New or changed logs, metrics, traces, audit events, SLOs, or evidence references.</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reversibility_impact</w:t>
            </w:r>
          </w:p>
        </w:tc>
        <w:tc>
          <w:tcPr>
            <w:tcW w:type="dxa" w:w="7343"/>
            <w:vAlign w:val="top"/>
            <w:tcMar>
              <w:top w:w="50" w:type="dxa"/>
              <w:start w:w="60" w:type="dxa"/>
              <w:bottom w:w="50" w:type="dxa"/>
              <w:end w:w="60" w:type="dxa"/>
            </w:tcMar>
          </w:tcPr>
          <w:p>
            <w:pPr>
              <w:spacing w:after="0"/>
            </w:pPr>
            <w:r>
              <w:rPr>
                <w:rFonts w:ascii="Aptos" w:hAnsi="Aptos"/>
                <w:sz w:val="15"/>
              </w:rPr>
              <w:t>Rollback, forward-fix, compensation, feature flag, or safe deactivation approach.</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fitness_function_result</w:t>
            </w:r>
          </w:p>
        </w:tc>
        <w:tc>
          <w:tcPr>
            <w:tcW w:type="dxa" w:w="7343"/>
            <w:vAlign w:val="top"/>
            <w:tcMar>
              <w:top w:w="50" w:type="dxa"/>
              <w:start w:w="60" w:type="dxa"/>
              <w:bottom w:w="50" w:type="dxa"/>
              <w:end w:w="60" w:type="dxa"/>
            </w:tcMar>
          </w:tcPr>
          <w:p>
            <w:pPr>
              <w:spacing w:after="0"/>
            </w:pPr>
            <w:r>
              <w:rPr>
                <w:rFonts w:ascii="Aptos" w:hAnsi="Aptos"/>
                <w:sz w:val="15"/>
              </w:rPr>
              <w:t>Pass/fail/waived architecture fitness checks with evidence references.</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improvement_path</w:t>
            </w:r>
          </w:p>
        </w:tc>
        <w:tc>
          <w:tcPr>
            <w:tcW w:type="dxa" w:w="7343"/>
            <w:vAlign w:val="top"/>
            <w:tcMar>
              <w:top w:w="50" w:type="dxa"/>
              <w:start w:w="60" w:type="dxa"/>
              <w:bottom w:w="50" w:type="dxa"/>
              <w:end w:w="60" w:type="dxa"/>
            </w:tcMar>
          </w:tcPr>
          <w:p>
            <w:pPr>
              <w:spacing w:after="0"/>
            </w:pPr>
            <w:r>
              <w:rPr>
                <w:rFonts w:ascii="Aptos" w:hAnsi="Aptos"/>
                <w:sz w:val="15"/>
              </w:rPr>
              <w:t>How feedback, incidents, defects, or metrics will improve the artifact.</w:t>
            </w:r>
          </w:p>
        </w:tc>
      </w:tr>
    </w:tbl>
    <w:p/>
    <w:p>
      <w:pPr>
        <w:pStyle w:val="Heading1"/>
        <w:keepNext/>
      </w:pPr>
      <w:r>
        <w:t>10. Classification and Handling Model</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1872"/>
            <w:shd w:fill="1F4E79"/>
            <w:tcMar>
              <w:top w:w="60" w:type="dxa"/>
              <w:start w:w="60" w:type="dxa"/>
              <w:bottom w:w="60" w:type="dxa"/>
              <w:end w:w="60" w:type="dxa"/>
            </w:tcMar>
          </w:tcPr>
          <w:p>
            <w:pPr>
              <w:spacing w:after="0"/>
              <w:jc w:val="center"/>
            </w:pPr>
            <w:r>
              <w:rPr>
                <w:rFonts w:ascii="Aptos" w:hAnsi="Aptos"/>
                <w:b/>
                <w:color w:val="FFFFFF"/>
                <w:sz w:val="15"/>
              </w:rPr>
              <w:t>Classification</w:t>
            </w:r>
          </w:p>
        </w:tc>
        <w:tc>
          <w:tcPr>
            <w:tcW w:type="dxa" w:w="3744"/>
            <w:shd w:fill="1F4E79"/>
            <w:tcMar>
              <w:top w:w="60" w:type="dxa"/>
              <w:start w:w="60" w:type="dxa"/>
              <w:bottom w:w="60" w:type="dxa"/>
              <w:end w:w="60" w:type="dxa"/>
            </w:tcMar>
          </w:tcPr>
          <w:p>
            <w:pPr>
              <w:spacing w:after="0"/>
              <w:jc w:val="center"/>
            </w:pPr>
            <w:r>
              <w:rPr>
                <w:rFonts w:ascii="Aptos" w:hAnsi="Aptos"/>
                <w:b/>
                <w:color w:val="FFFFFF"/>
                <w:sz w:val="15"/>
              </w:rPr>
              <w:t>Meaning</w:t>
            </w:r>
          </w:p>
        </w:tc>
        <w:tc>
          <w:tcPr>
            <w:tcW w:type="dxa" w:w="4896"/>
            <w:shd w:fill="1F4E79"/>
            <w:tcMar>
              <w:top w:w="60" w:type="dxa"/>
              <w:start w:w="60" w:type="dxa"/>
              <w:bottom w:w="60" w:type="dxa"/>
              <w:end w:w="60" w:type="dxa"/>
            </w:tcMar>
          </w:tcPr>
          <w:p>
            <w:pPr>
              <w:spacing w:after="0"/>
              <w:jc w:val="center"/>
            </w:pPr>
            <w:r>
              <w:rPr>
                <w:rFonts w:ascii="Aptos" w:hAnsi="Aptos"/>
                <w:b/>
                <w:color w:val="FFFFFF"/>
                <w:sz w:val="15"/>
              </w:rPr>
              <w:t>AI / Evidence Handling</w:t>
            </w:r>
          </w:p>
        </w:tc>
      </w:tr>
      <w:tr>
        <w:trPr>
          <w:cantSplit/>
        </w:trPr>
        <w:tc>
          <w:tcPr>
            <w:tcW w:type="dxa" w:w="1872"/>
            <w:vAlign w:val="top"/>
            <w:tcMar>
              <w:top w:w="50" w:type="dxa"/>
              <w:start w:w="60" w:type="dxa"/>
              <w:bottom w:w="50" w:type="dxa"/>
              <w:end w:w="60" w:type="dxa"/>
            </w:tcMar>
          </w:tcPr>
          <w:p>
            <w:pPr>
              <w:spacing w:after="0"/>
            </w:pPr>
            <w:r>
              <w:rPr>
                <w:rFonts w:ascii="Aptos" w:hAnsi="Aptos"/>
                <w:sz w:val="15"/>
              </w:rPr>
              <w:t>Public</w:t>
            </w:r>
          </w:p>
        </w:tc>
        <w:tc>
          <w:tcPr>
            <w:tcW w:type="dxa" w:w="3744"/>
            <w:vAlign w:val="top"/>
            <w:tcMar>
              <w:top w:w="50" w:type="dxa"/>
              <w:start w:w="60" w:type="dxa"/>
              <w:bottom w:w="50" w:type="dxa"/>
              <w:end w:w="60" w:type="dxa"/>
            </w:tcMar>
          </w:tcPr>
          <w:p>
            <w:pPr>
              <w:spacing w:after="0"/>
            </w:pPr>
            <w:r>
              <w:rPr>
                <w:rFonts w:ascii="Aptos" w:hAnsi="Aptos"/>
                <w:sz w:val="15"/>
              </w:rPr>
              <w:t>Approved for external release</w:t>
            </w:r>
          </w:p>
        </w:tc>
        <w:tc>
          <w:tcPr>
            <w:tcW w:type="dxa" w:w="4896"/>
            <w:vAlign w:val="top"/>
            <w:tcMar>
              <w:top w:w="50" w:type="dxa"/>
              <w:start w:w="60" w:type="dxa"/>
              <w:bottom w:w="50" w:type="dxa"/>
              <w:end w:w="60" w:type="dxa"/>
            </w:tcMar>
          </w:tcPr>
          <w:p>
            <w:pPr>
              <w:spacing w:after="0"/>
            </w:pPr>
            <w:r>
              <w:rPr>
                <w:rFonts w:ascii="Aptos" w:hAnsi="Aptos"/>
                <w:sz w:val="15"/>
              </w:rPr>
              <w:t>Public model routes permitted after approval; no secrets or customer-specific data.</w:t>
            </w:r>
          </w:p>
        </w:tc>
      </w:tr>
      <w:tr>
        <w:trPr>
          <w:cantSplit/>
        </w:trPr>
        <w:tc>
          <w:tcPr>
            <w:tcW w:type="dxa" w:w="1872"/>
            <w:vAlign w:val="top"/>
            <w:tcMar>
              <w:top w:w="50" w:type="dxa"/>
              <w:start w:w="60" w:type="dxa"/>
              <w:bottom w:w="50" w:type="dxa"/>
              <w:end w:w="60" w:type="dxa"/>
            </w:tcMar>
          </w:tcPr>
          <w:p>
            <w:pPr>
              <w:spacing w:after="0"/>
            </w:pPr>
            <w:r>
              <w:rPr>
                <w:rFonts w:ascii="Aptos" w:hAnsi="Aptos"/>
                <w:sz w:val="15"/>
              </w:rPr>
              <w:t>Internal</w:t>
            </w:r>
          </w:p>
        </w:tc>
        <w:tc>
          <w:tcPr>
            <w:tcW w:type="dxa" w:w="3744"/>
            <w:vAlign w:val="top"/>
            <w:tcMar>
              <w:top w:w="50" w:type="dxa"/>
              <w:start w:w="60" w:type="dxa"/>
              <w:bottom w:w="50" w:type="dxa"/>
              <w:end w:w="60" w:type="dxa"/>
            </w:tcMar>
          </w:tcPr>
          <w:p>
            <w:pPr>
              <w:spacing w:after="0"/>
            </w:pPr>
            <w:r>
              <w:rPr>
                <w:rFonts w:ascii="Aptos" w:hAnsi="Aptos"/>
                <w:sz w:val="15"/>
              </w:rPr>
              <w:t>Internal operational and engineering information</w:t>
            </w:r>
          </w:p>
        </w:tc>
        <w:tc>
          <w:tcPr>
            <w:tcW w:type="dxa" w:w="4896"/>
            <w:vAlign w:val="top"/>
            <w:tcMar>
              <w:top w:w="50" w:type="dxa"/>
              <w:start w:w="60" w:type="dxa"/>
              <w:bottom w:w="50" w:type="dxa"/>
              <w:end w:w="60" w:type="dxa"/>
            </w:tcMar>
          </w:tcPr>
          <w:p>
            <w:pPr>
              <w:spacing w:after="0"/>
            </w:pPr>
            <w:r>
              <w:rPr>
                <w:rFonts w:ascii="Aptos" w:hAnsi="Aptos"/>
                <w:sz w:val="15"/>
              </w:rPr>
              <w:t>Approved workspace and model routes; protect from uncontrolled sharing.</w:t>
            </w:r>
          </w:p>
        </w:tc>
      </w:tr>
      <w:tr>
        <w:trPr>
          <w:cantSplit/>
        </w:trPr>
        <w:tc>
          <w:tcPr>
            <w:tcW w:type="dxa" w:w="1872"/>
            <w:vAlign w:val="top"/>
            <w:tcMar>
              <w:top w:w="50" w:type="dxa"/>
              <w:start w:w="60" w:type="dxa"/>
              <w:bottom w:w="50" w:type="dxa"/>
              <w:end w:w="60" w:type="dxa"/>
            </w:tcMar>
          </w:tcPr>
          <w:p>
            <w:pPr>
              <w:spacing w:after="0"/>
            </w:pPr>
            <w:r>
              <w:rPr>
                <w:rFonts w:ascii="Aptos" w:hAnsi="Aptos"/>
                <w:sz w:val="15"/>
              </w:rPr>
              <w:t>Confidential</w:t>
            </w:r>
          </w:p>
        </w:tc>
        <w:tc>
          <w:tcPr>
            <w:tcW w:type="dxa" w:w="3744"/>
            <w:vAlign w:val="top"/>
            <w:tcMar>
              <w:top w:w="50" w:type="dxa"/>
              <w:start w:w="60" w:type="dxa"/>
              <w:bottom w:w="50" w:type="dxa"/>
              <w:end w:w="60" w:type="dxa"/>
            </w:tcMar>
          </w:tcPr>
          <w:p>
            <w:pPr>
              <w:spacing w:after="0"/>
            </w:pPr>
            <w:r>
              <w:rPr>
                <w:rFonts w:ascii="Aptos" w:hAnsi="Aptos"/>
                <w:sz w:val="15"/>
              </w:rPr>
              <w:t>Sensitive business, architecture, security, customer, or regulated data</w:t>
            </w:r>
          </w:p>
        </w:tc>
        <w:tc>
          <w:tcPr>
            <w:tcW w:type="dxa" w:w="4896"/>
            <w:vAlign w:val="top"/>
            <w:tcMar>
              <w:top w:w="50" w:type="dxa"/>
              <w:start w:w="60" w:type="dxa"/>
              <w:bottom w:w="50" w:type="dxa"/>
              <w:end w:w="60" w:type="dxa"/>
            </w:tcMar>
          </w:tcPr>
          <w:p>
            <w:pPr>
              <w:spacing w:after="0"/>
            </w:pPr>
            <w:r>
              <w:rPr>
                <w:rFonts w:ascii="Aptos" w:hAnsi="Aptos"/>
                <w:sz w:val="15"/>
              </w:rPr>
              <w:t>Private or approved protected routes; strong redaction; human review for AI use.</w:t>
            </w:r>
          </w:p>
        </w:tc>
      </w:tr>
      <w:tr>
        <w:trPr>
          <w:cantSplit/>
        </w:trPr>
        <w:tc>
          <w:tcPr>
            <w:tcW w:type="dxa" w:w="1872"/>
            <w:vAlign w:val="top"/>
            <w:tcMar>
              <w:top w:w="50" w:type="dxa"/>
              <w:start w:w="60" w:type="dxa"/>
              <w:bottom w:w="50" w:type="dxa"/>
              <w:end w:w="60" w:type="dxa"/>
            </w:tcMar>
          </w:tcPr>
          <w:p>
            <w:pPr>
              <w:spacing w:after="0"/>
            </w:pPr>
            <w:r>
              <w:rPr>
                <w:rFonts w:ascii="Aptos" w:hAnsi="Aptos"/>
                <w:sz w:val="15"/>
              </w:rPr>
              <w:t>Restricted</w:t>
            </w:r>
          </w:p>
        </w:tc>
        <w:tc>
          <w:tcPr>
            <w:tcW w:type="dxa" w:w="3744"/>
            <w:vAlign w:val="top"/>
            <w:tcMar>
              <w:top w:w="50" w:type="dxa"/>
              <w:start w:w="60" w:type="dxa"/>
              <w:bottom w:w="50" w:type="dxa"/>
              <w:end w:w="60" w:type="dxa"/>
            </w:tcMar>
          </w:tcPr>
          <w:p>
            <w:pPr>
              <w:spacing w:after="0"/>
            </w:pPr>
            <w:r>
              <w:rPr>
                <w:rFonts w:ascii="Aptos" w:hAnsi="Aptos"/>
                <w:sz w:val="15"/>
              </w:rPr>
              <w:t>Highest sensitivity: secrets, credentials, production PII, regulated records, critical security details</w:t>
            </w:r>
          </w:p>
        </w:tc>
        <w:tc>
          <w:tcPr>
            <w:tcW w:type="dxa" w:w="4896"/>
            <w:vAlign w:val="top"/>
            <w:tcMar>
              <w:top w:w="50" w:type="dxa"/>
              <w:start w:w="60" w:type="dxa"/>
              <w:bottom w:w="50" w:type="dxa"/>
              <w:end w:w="60" w:type="dxa"/>
            </w:tcMar>
          </w:tcPr>
          <w:p>
            <w:pPr>
              <w:spacing w:after="0"/>
            </w:pPr>
            <w:r>
              <w:rPr>
                <w:rFonts w:ascii="Aptos" w:hAnsi="Aptos"/>
                <w:sz w:val="15"/>
              </w:rPr>
              <w:t>No cloud prompts unless explicitly waived; private/on-prem route; strict access and audit.</w:t>
            </w:r>
          </w:p>
        </w:tc>
      </w:tr>
    </w:tbl>
    <w:p/>
    <w:p>
      <w:pPr>
        <w:spacing w:after="80"/>
      </w:pPr>
      <w:r>
        <w:rPr>
          <w:rFonts w:ascii="Aptos" w:hAnsi="Aptos"/>
          <w:sz w:val="18"/>
        </w:rPr>
        <w:t>Classification is not a label applied at the end. It is a routing, storage, logging, testing, retention, and model-eligibility control. If classification is unknown, AIRA treats the artifact as Confidential until verified.</w:t>
      </w:r>
    </w:p>
    <w:p>
      <w:pPr>
        <w:pStyle w:val="Heading1"/>
        <w:keepNext/>
      </w:pPr>
      <w:r>
        <w:t>11. Lifecycle Enforcement Model</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015"/>
            <w:shd w:fill="1F4E79"/>
            <w:tcMar>
              <w:top w:w="60" w:type="dxa"/>
              <w:start w:w="60" w:type="dxa"/>
              <w:bottom w:w="60" w:type="dxa"/>
              <w:end w:w="60" w:type="dxa"/>
            </w:tcMar>
          </w:tcPr>
          <w:p>
            <w:pPr>
              <w:spacing w:after="0"/>
              <w:jc w:val="center"/>
            </w:pPr>
            <w:r>
              <w:rPr>
                <w:rFonts w:ascii="Aptos" w:hAnsi="Aptos"/>
                <w:b/>
                <w:color w:val="FFFFFF"/>
                <w:sz w:val="14"/>
              </w:rPr>
              <w:t>Lifecycle Phase</w:t>
            </w:r>
          </w:p>
        </w:tc>
        <w:tc>
          <w:tcPr>
            <w:tcW w:type="dxa" w:w="8496"/>
            <w:shd w:fill="1F4E79"/>
            <w:tcMar>
              <w:top w:w="60" w:type="dxa"/>
              <w:start w:w="60" w:type="dxa"/>
              <w:bottom w:w="60" w:type="dxa"/>
              <w:end w:w="60" w:type="dxa"/>
            </w:tcMar>
          </w:tcPr>
          <w:p>
            <w:pPr>
              <w:spacing w:after="0"/>
              <w:jc w:val="center"/>
            </w:pPr>
            <w:r>
              <w:rPr>
                <w:rFonts w:ascii="Aptos" w:hAnsi="Aptos"/>
                <w:b/>
                <w:color w:val="FFFFFF"/>
                <w:sz w:val="14"/>
              </w:rPr>
              <w:t>Mandatory AVCI + Principle Gate</w:t>
            </w:r>
          </w:p>
        </w:tc>
      </w:tr>
      <w:tr>
        <w:trPr>
          <w:cantSplit/>
        </w:trPr>
        <w:tc>
          <w:tcPr>
            <w:tcW w:type="dxa" w:w="2015"/>
            <w:vAlign w:val="top"/>
            <w:tcMar>
              <w:top w:w="50" w:type="dxa"/>
              <w:start w:w="60" w:type="dxa"/>
              <w:bottom w:w="50" w:type="dxa"/>
              <w:end w:w="60" w:type="dxa"/>
            </w:tcMar>
          </w:tcPr>
          <w:p>
            <w:pPr>
              <w:spacing w:after="0"/>
            </w:pPr>
            <w:r>
              <w:rPr>
                <w:rFonts w:ascii="Aptos" w:hAnsi="Aptos"/>
                <w:sz w:val="14"/>
              </w:rPr>
              <w:t>Plan</w:t>
            </w:r>
          </w:p>
        </w:tc>
        <w:tc>
          <w:tcPr>
            <w:tcW w:type="dxa" w:w="8496"/>
            <w:vAlign w:val="top"/>
            <w:tcMar>
              <w:top w:w="50" w:type="dxa"/>
              <w:start w:w="60" w:type="dxa"/>
              <w:bottom w:w="50" w:type="dxa"/>
              <w:end w:w="60" w:type="dxa"/>
            </w:tcMar>
          </w:tcPr>
          <w:p>
            <w:pPr>
              <w:spacing w:after="0"/>
            </w:pPr>
            <w:r>
              <w:rPr>
                <w:rFonts w:ascii="Aptos" w:hAnsi="Aptos"/>
                <w:sz w:val="14"/>
              </w:rPr>
              <w:t>Ticket, intent, owner, classification, ADR/TDL need, principle impact, acceptance criteria.</w:t>
            </w:r>
          </w:p>
        </w:tc>
      </w:tr>
      <w:tr>
        <w:trPr>
          <w:cantSplit/>
        </w:trPr>
        <w:tc>
          <w:tcPr>
            <w:tcW w:type="dxa" w:w="2015"/>
            <w:vAlign w:val="top"/>
            <w:tcMar>
              <w:top w:w="50" w:type="dxa"/>
              <w:start w:w="60" w:type="dxa"/>
              <w:bottom w:w="50" w:type="dxa"/>
              <w:end w:w="60" w:type="dxa"/>
            </w:tcMar>
          </w:tcPr>
          <w:p>
            <w:pPr>
              <w:spacing w:after="0"/>
            </w:pPr>
            <w:r>
              <w:rPr>
                <w:rFonts w:ascii="Aptos" w:hAnsi="Aptos"/>
                <w:sz w:val="14"/>
              </w:rPr>
              <w:t>Code</w:t>
            </w:r>
          </w:p>
        </w:tc>
        <w:tc>
          <w:tcPr>
            <w:tcW w:type="dxa" w:w="8496"/>
            <w:vAlign w:val="top"/>
            <w:tcMar>
              <w:top w:w="50" w:type="dxa"/>
              <w:start w:w="60" w:type="dxa"/>
              <w:bottom w:w="50" w:type="dxa"/>
              <w:end w:w="60" w:type="dxa"/>
            </w:tcMar>
          </w:tcPr>
          <w:p>
            <w:pPr>
              <w:spacing w:after="0"/>
            </w:pPr>
            <w:r>
              <w:rPr>
                <w:rFonts w:ascii="Aptos" w:hAnsi="Aptos"/>
                <w:sz w:val="14"/>
              </w:rPr>
              <w:t>CLAUDE.md rules, SOLID checks, boundary checks, no direct provider calls, no secrets, TDD.</w:t>
            </w:r>
          </w:p>
        </w:tc>
      </w:tr>
      <w:tr>
        <w:trPr>
          <w:cantSplit/>
        </w:trPr>
        <w:tc>
          <w:tcPr>
            <w:tcW w:type="dxa" w:w="2015"/>
            <w:vAlign w:val="top"/>
            <w:tcMar>
              <w:top w:w="50" w:type="dxa"/>
              <w:start w:w="60" w:type="dxa"/>
              <w:bottom w:w="50" w:type="dxa"/>
              <w:end w:w="60" w:type="dxa"/>
            </w:tcMar>
          </w:tcPr>
          <w:p>
            <w:pPr>
              <w:spacing w:after="0"/>
            </w:pPr>
            <w:r>
              <w:rPr>
                <w:rFonts w:ascii="Aptos" w:hAnsi="Aptos"/>
                <w:sz w:val="14"/>
              </w:rPr>
              <w:t>Build</w:t>
            </w:r>
          </w:p>
        </w:tc>
        <w:tc>
          <w:tcPr>
            <w:tcW w:type="dxa" w:w="8496"/>
            <w:vAlign w:val="top"/>
            <w:tcMar>
              <w:top w:w="50" w:type="dxa"/>
              <w:start w:w="60" w:type="dxa"/>
              <w:bottom w:w="50" w:type="dxa"/>
              <w:end w:w="60" w:type="dxa"/>
            </w:tcMar>
          </w:tcPr>
          <w:p>
            <w:pPr>
              <w:spacing w:after="0"/>
            </w:pPr>
            <w:r>
              <w:rPr>
                <w:rFonts w:ascii="Aptos" w:hAnsi="Aptos"/>
                <w:sz w:val="14"/>
              </w:rPr>
              <w:t>Pinned dependencies, reproducible builds, SBOM, provenance, signed artifacts, policy checks.</w:t>
            </w:r>
          </w:p>
        </w:tc>
      </w:tr>
      <w:tr>
        <w:trPr>
          <w:cantSplit/>
        </w:trPr>
        <w:tc>
          <w:tcPr>
            <w:tcW w:type="dxa" w:w="2015"/>
            <w:vAlign w:val="top"/>
            <w:tcMar>
              <w:top w:w="50" w:type="dxa"/>
              <w:start w:w="60" w:type="dxa"/>
              <w:bottom w:w="50" w:type="dxa"/>
              <w:end w:w="60" w:type="dxa"/>
            </w:tcMar>
          </w:tcPr>
          <w:p>
            <w:pPr>
              <w:spacing w:after="0"/>
            </w:pPr>
            <w:r>
              <w:rPr>
                <w:rFonts w:ascii="Aptos" w:hAnsi="Aptos"/>
                <w:sz w:val="14"/>
              </w:rPr>
              <w:t>Test</w:t>
            </w:r>
          </w:p>
        </w:tc>
        <w:tc>
          <w:tcPr>
            <w:tcW w:type="dxa" w:w="8496"/>
            <w:vAlign w:val="top"/>
            <w:tcMar>
              <w:top w:w="50" w:type="dxa"/>
              <w:start w:w="60" w:type="dxa"/>
              <w:bottom w:w="50" w:type="dxa"/>
              <w:end w:w="60" w:type="dxa"/>
            </w:tcMar>
          </w:tcPr>
          <w:p>
            <w:pPr>
              <w:spacing w:after="0"/>
            </w:pPr>
            <w:r>
              <w:rPr>
                <w:rFonts w:ascii="Aptos" w:hAnsi="Aptos"/>
                <w:sz w:val="14"/>
              </w:rPr>
              <w:t>Unit, component, contract, security, AI eval, architecture fitness, regression, mutation where required.</w:t>
            </w:r>
          </w:p>
        </w:tc>
      </w:tr>
      <w:tr>
        <w:trPr>
          <w:cantSplit/>
        </w:trPr>
        <w:tc>
          <w:tcPr>
            <w:tcW w:type="dxa" w:w="2015"/>
            <w:vAlign w:val="top"/>
            <w:tcMar>
              <w:top w:w="50" w:type="dxa"/>
              <w:start w:w="60" w:type="dxa"/>
              <w:bottom w:w="50" w:type="dxa"/>
              <w:end w:w="60" w:type="dxa"/>
            </w:tcMar>
          </w:tcPr>
          <w:p>
            <w:pPr>
              <w:spacing w:after="0"/>
            </w:pPr>
            <w:r>
              <w:rPr>
                <w:rFonts w:ascii="Aptos" w:hAnsi="Aptos"/>
                <w:sz w:val="14"/>
              </w:rPr>
              <w:t>Release</w:t>
            </w:r>
          </w:p>
        </w:tc>
        <w:tc>
          <w:tcPr>
            <w:tcW w:type="dxa" w:w="8496"/>
            <w:vAlign w:val="top"/>
            <w:tcMar>
              <w:top w:w="50" w:type="dxa"/>
              <w:start w:w="60" w:type="dxa"/>
              <w:bottom w:w="50" w:type="dxa"/>
              <w:end w:w="60" w:type="dxa"/>
            </w:tcMar>
          </w:tcPr>
          <w:p>
            <w:pPr>
              <w:spacing w:after="0"/>
            </w:pPr>
            <w:r>
              <w:rPr>
                <w:rFonts w:ascii="Aptos" w:hAnsi="Aptos"/>
                <w:sz w:val="14"/>
              </w:rPr>
              <w:t>Evidence pack, risk review, change approval, rollback/forward-fix plan, classification validation.</w:t>
            </w:r>
          </w:p>
        </w:tc>
      </w:tr>
      <w:tr>
        <w:trPr>
          <w:cantSplit/>
        </w:trPr>
        <w:tc>
          <w:tcPr>
            <w:tcW w:type="dxa" w:w="2015"/>
            <w:vAlign w:val="top"/>
            <w:tcMar>
              <w:top w:w="50" w:type="dxa"/>
              <w:start w:w="60" w:type="dxa"/>
              <w:bottom w:w="50" w:type="dxa"/>
              <w:end w:w="60" w:type="dxa"/>
            </w:tcMar>
          </w:tcPr>
          <w:p>
            <w:pPr>
              <w:spacing w:after="0"/>
            </w:pPr>
            <w:r>
              <w:rPr>
                <w:rFonts w:ascii="Aptos" w:hAnsi="Aptos"/>
                <w:sz w:val="14"/>
              </w:rPr>
              <w:t>Deploy</w:t>
            </w:r>
          </w:p>
        </w:tc>
        <w:tc>
          <w:tcPr>
            <w:tcW w:type="dxa" w:w="8496"/>
            <w:vAlign w:val="top"/>
            <w:tcMar>
              <w:top w:w="50" w:type="dxa"/>
              <w:start w:w="60" w:type="dxa"/>
              <w:bottom w:w="50" w:type="dxa"/>
              <w:end w:w="60" w:type="dxa"/>
            </w:tcMar>
          </w:tcPr>
          <w:p>
            <w:pPr>
              <w:spacing w:after="0"/>
            </w:pPr>
            <w:r>
              <w:rPr>
                <w:rFonts w:ascii="Aptos" w:hAnsi="Aptos"/>
                <w:sz w:val="14"/>
              </w:rPr>
              <w:t>GitOps, admission policy, OPA, signed images, secrets from Vault, no manual production mutation.</w:t>
            </w:r>
          </w:p>
        </w:tc>
      </w:tr>
      <w:tr>
        <w:trPr>
          <w:cantSplit/>
        </w:trPr>
        <w:tc>
          <w:tcPr>
            <w:tcW w:type="dxa" w:w="2015"/>
            <w:vAlign w:val="top"/>
            <w:tcMar>
              <w:top w:w="50" w:type="dxa"/>
              <w:start w:w="60" w:type="dxa"/>
              <w:bottom w:w="50" w:type="dxa"/>
              <w:end w:w="60" w:type="dxa"/>
            </w:tcMar>
          </w:tcPr>
          <w:p>
            <w:pPr>
              <w:spacing w:after="0"/>
            </w:pPr>
            <w:r>
              <w:rPr>
                <w:rFonts w:ascii="Aptos" w:hAnsi="Aptos"/>
                <w:sz w:val="14"/>
              </w:rPr>
              <w:t>Operate</w:t>
            </w:r>
          </w:p>
        </w:tc>
        <w:tc>
          <w:tcPr>
            <w:tcW w:type="dxa" w:w="8496"/>
            <w:vAlign w:val="top"/>
            <w:tcMar>
              <w:top w:w="50" w:type="dxa"/>
              <w:start w:w="60" w:type="dxa"/>
              <w:bottom w:w="50" w:type="dxa"/>
              <w:end w:w="60" w:type="dxa"/>
            </w:tcMar>
          </w:tcPr>
          <w:p>
            <w:pPr>
              <w:spacing w:after="0"/>
            </w:pPr>
            <w:r>
              <w:rPr>
                <w:rFonts w:ascii="Aptos" w:hAnsi="Aptos"/>
                <w:sz w:val="14"/>
              </w:rPr>
              <w:t>Telemetry, audit, SLOs, incident records, access reviews, drift detection, backup/restore evidence.</w:t>
            </w:r>
          </w:p>
        </w:tc>
      </w:tr>
      <w:tr>
        <w:trPr>
          <w:cantSplit/>
        </w:trPr>
        <w:tc>
          <w:tcPr>
            <w:tcW w:type="dxa" w:w="2015"/>
            <w:vAlign w:val="top"/>
            <w:tcMar>
              <w:top w:w="50" w:type="dxa"/>
              <w:start w:w="60" w:type="dxa"/>
              <w:bottom w:w="50" w:type="dxa"/>
              <w:end w:w="60" w:type="dxa"/>
            </w:tcMar>
          </w:tcPr>
          <w:p>
            <w:pPr>
              <w:spacing w:after="0"/>
            </w:pPr>
            <w:r>
              <w:rPr>
                <w:rFonts w:ascii="Aptos" w:hAnsi="Aptos"/>
                <w:sz w:val="14"/>
              </w:rPr>
              <w:t>Improve</w:t>
            </w:r>
          </w:p>
        </w:tc>
        <w:tc>
          <w:tcPr>
            <w:tcW w:type="dxa" w:w="8496"/>
            <w:vAlign w:val="top"/>
            <w:tcMar>
              <w:top w:w="50" w:type="dxa"/>
              <w:start w:w="60" w:type="dxa"/>
              <w:bottom w:w="50" w:type="dxa"/>
              <w:end w:w="60" w:type="dxa"/>
            </w:tcMar>
          </w:tcPr>
          <w:p>
            <w:pPr>
              <w:spacing w:after="0"/>
            </w:pPr>
            <w:r>
              <w:rPr>
                <w:rFonts w:ascii="Aptos" w:hAnsi="Aptos"/>
                <w:sz w:val="14"/>
              </w:rPr>
              <w:t>Auto-Learn/Auto-Improve proposals, human review, regression evidence, knowledge update, supersedence.</w:t>
            </w:r>
          </w:p>
        </w:tc>
      </w:tr>
    </w:tbl>
    <w:p/>
    <w:p>
      <w:pPr>
        <w:pStyle w:val="Heading1"/>
        <w:keepNext/>
      </w:pPr>
      <w:r>
        <w:t>12. AI-Native Governance Requirements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3168"/>
            <w:shd w:fill="1F4E79"/>
            <w:tcMar>
              <w:top w:w="60" w:type="dxa"/>
              <w:start w:w="60" w:type="dxa"/>
              <w:bottom w:w="60" w:type="dxa"/>
              <w:end w:w="60" w:type="dxa"/>
            </w:tcMar>
          </w:tcPr>
          <w:p>
            <w:pPr>
              <w:spacing w:after="0"/>
              <w:jc w:val="center"/>
            </w:pPr>
            <w:r>
              <w:rPr>
                <w:rFonts w:ascii="Aptos" w:hAnsi="Aptos"/>
                <w:b/>
                <w:color w:val="FFFFFF"/>
                <w:sz w:val="15"/>
              </w:rPr>
              <w:t>Requirement</w:t>
            </w:r>
          </w:p>
        </w:tc>
        <w:tc>
          <w:tcPr>
            <w:tcW w:type="dxa" w:w="7343"/>
            <w:shd w:fill="1F4E79"/>
            <w:tcMar>
              <w:top w:w="60" w:type="dxa"/>
              <w:start w:w="60" w:type="dxa"/>
              <w:bottom w:w="60" w:type="dxa"/>
              <w:end w:w="60" w:type="dxa"/>
            </w:tcMar>
          </w:tcPr>
          <w:p>
            <w:pPr>
              <w:spacing w:after="0"/>
              <w:jc w:val="center"/>
            </w:pPr>
            <w:r>
              <w:rPr>
                <w:rFonts w:ascii="Aptos" w:hAnsi="Aptos"/>
                <w:b/>
                <w:color w:val="FFFFFF"/>
                <w:sz w:val="15"/>
              </w:rPr>
              <w:t>Control Rule</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LiteLLM-only model routing</w:t>
            </w:r>
          </w:p>
        </w:tc>
        <w:tc>
          <w:tcPr>
            <w:tcW w:type="dxa" w:w="7343"/>
            <w:vAlign w:val="top"/>
            <w:tcMar>
              <w:top w:w="50" w:type="dxa"/>
              <w:start w:w="60" w:type="dxa"/>
              <w:bottom w:w="50" w:type="dxa"/>
              <w:end w:w="60" w:type="dxa"/>
            </w:tcMar>
          </w:tcPr>
          <w:p>
            <w:pPr>
              <w:spacing w:after="0"/>
            </w:pPr>
            <w:r>
              <w:rPr>
                <w:rFonts w:ascii="Aptos" w:hAnsi="Aptos"/>
                <w:sz w:val="15"/>
              </w:rPr>
              <w:t>No direct provider SDK or hardcoded model-provider invocation in services, scripts, notebooks, or agents.</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Four NeMo checkpoints</w:t>
            </w:r>
          </w:p>
        </w:tc>
        <w:tc>
          <w:tcPr>
            <w:tcW w:type="dxa" w:w="7343"/>
            <w:vAlign w:val="top"/>
            <w:tcMar>
              <w:top w:w="50" w:type="dxa"/>
              <w:start w:w="60" w:type="dxa"/>
              <w:bottom w:w="50" w:type="dxa"/>
              <w:end w:w="60" w:type="dxa"/>
            </w:tcMar>
          </w:tcPr>
          <w:p>
            <w:pPr>
              <w:spacing w:after="0"/>
            </w:pPr>
            <w:r>
              <w:rPr>
                <w:rFonts w:ascii="Aptos" w:hAnsi="Aptos"/>
                <w:sz w:val="15"/>
              </w:rPr>
              <w:t>Input, Retrieval, Execution, and Output guardrails are mandatory where AI or tools are involved.</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Harness-mediated execution</w:t>
            </w:r>
          </w:p>
        </w:tc>
        <w:tc>
          <w:tcPr>
            <w:tcW w:type="dxa" w:w="7343"/>
            <w:vAlign w:val="top"/>
            <w:tcMar>
              <w:top w:w="50" w:type="dxa"/>
              <w:start w:w="60" w:type="dxa"/>
              <w:bottom w:w="50" w:type="dxa"/>
              <w:end w:w="60" w:type="dxa"/>
            </w:tcMar>
          </w:tcPr>
          <w:p>
            <w:pPr>
              <w:spacing w:after="0"/>
            </w:pPr>
            <w:r>
              <w:rPr>
                <w:rFonts w:ascii="Aptos" w:hAnsi="Aptos"/>
                <w:sz w:val="15"/>
              </w:rPr>
              <w:t>AI agents may reason and draft, but tool execution passes through Harness, SBAC, OPA, trust scoring, and audit.</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Classification-aware routing</w:t>
            </w:r>
          </w:p>
        </w:tc>
        <w:tc>
          <w:tcPr>
            <w:tcW w:type="dxa" w:w="7343"/>
            <w:vAlign w:val="top"/>
            <w:tcMar>
              <w:top w:w="50" w:type="dxa"/>
              <w:start w:w="60" w:type="dxa"/>
              <w:bottom w:w="50" w:type="dxa"/>
              <w:end w:w="60" w:type="dxa"/>
            </w:tcMar>
          </w:tcPr>
          <w:p>
            <w:pPr>
              <w:spacing w:after="0"/>
            </w:pPr>
            <w:r>
              <w:rPr>
                <w:rFonts w:ascii="Aptos" w:hAnsi="Aptos"/>
                <w:sz w:val="15"/>
              </w:rPr>
              <w:t>Data classification determines model route, prompt eligibility, retrieval inclusion, logging, and retention.</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Human accountability</w:t>
            </w:r>
          </w:p>
        </w:tc>
        <w:tc>
          <w:tcPr>
            <w:tcW w:type="dxa" w:w="7343"/>
            <w:vAlign w:val="top"/>
            <w:tcMar>
              <w:top w:w="50" w:type="dxa"/>
              <w:start w:w="60" w:type="dxa"/>
              <w:bottom w:w="50" w:type="dxa"/>
              <w:end w:w="60" w:type="dxa"/>
            </w:tcMar>
          </w:tcPr>
          <w:p>
            <w:pPr>
              <w:spacing w:after="0"/>
            </w:pPr>
            <w:r>
              <w:rPr>
                <w:rFonts w:ascii="Aptos" w:hAnsi="Aptos"/>
                <w:sz w:val="15"/>
              </w:rPr>
              <w:t>Named humans approve high-impact actions; AI cannot approve, merge, deploy, or override policy.</w:t>
            </w:r>
          </w:p>
        </w:tc>
      </w:tr>
      <w:tr>
        <w:trPr>
          <w:cantSplit/>
        </w:trPr>
        <w:tc>
          <w:tcPr>
            <w:tcW w:type="dxa" w:w="3168"/>
            <w:vAlign w:val="top"/>
            <w:tcMar>
              <w:top w:w="50" w:type="dxa"/>
              <w:start w:w="60" w:type="dxa"/>
              <w:bottom w:w="50" w:type="dxa"/>
              <w:end w:w="60" w:type="dxa"/>
            </w:tcMar>
          </w:tcPr>
          <w:p>
            <w:pPr>
              <w:spacing w:after="0"/>
            </w:pPr>
            <w:r>
              <w:rPr>
                <w:rFonts w:ascii="Aptos" w:hAnsi="Aptos"/>
                <w:sz w:val="15"/>
              </w:rPr>
              <w:t>Evidence before response</w:t>
            </w:r>
          </w:p>
        </w:tc>
        <w:tc>
          <w:tcPr>
            <w:tcW w:type="dxa" w:w="7343"/>
            <w:vAlign w:val="top"/>
            <w:tcMar>
              <w:top w:w="50" w:type="dxa"/>
              <w:start w:w="60" w:type="dxa"/>
              <w:bottom w:w="50" w:type="dxa"/>
              <w:end w:w="60" w:type="dxa"/>
            </w:tcMar>
          </w:tcPr>
          <w:p>
            <w:pPr>
              <w:spacing w:after="0"/>
            </w:pPr>
            <w:r>
              <w:rPr>
                <w:rFonts w:ascii="Aptos" w:hAnsi="Aptos"/>
                <w:sz w:val="15"/>
              </w:rPr>
              <w:t>Critical AI outputs require durable audit intent, retrieval evidence, guardrail result, and model route metadata.</w:t>
            </w:r>
          </w:p>
        </w:tc>
      </w:tr>
    </w:tbl>
    <w:p/>
    <w:p>
      <w:pPr>
        <w:pStyle w:val="Heading1"/>
        <w:keepNext/>
      </w:pPr>
      <w:r>
        <w:t>13. Engineering Quality Gates and Architecture Fitness Functions</w:t>
      </w:r>
    </w:p>
    <w:p>
      <w:pPr>
        <w:spacing w:after="80"/>
      </w:pPr>
      <w:r>
        <w:rPr>
          <w:rFonts w:ascii="Aptos" w:hAnsi="Aptos"/>
          <w:sz w:val="18"/>
        </w:rPr>
        <w:t>Architecture fitness functions are automated or semi-automated tests that continuously check whether implementation remains aligned with the approved architecture and principles. They are not optional decoration; they are evidence for EDP-17 and AVCI Verifiability.</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448"/>
            <w:shd w:fill="1F4E79"/>
            <w:tcMar>
              <w:top w:w="60" w:type="dxa"/>
              <w:start w:w="60" w:type="dxa"/>
              <w:bottom w:w="60" w:type="dxa"/>
              <w:end w:w="60" w:type="dxa"/>
            </w:tcMar>
          </w:tcPr>
          <w:p>
            <w:pPr>
              <w:spacing w:after="0"/>
              <w:jc w:val="center"/>
            </w:pPr>
            <w:r>
              <w:rPr>
                <w:rFonts w:ascii="Aptos" w:hAnsi="Aptos"/>
                <w:b/>
                <w:color w:val="FFFFFF"/>
                <w:sz w:val="14"/>
              </w:rPr>
              <w:t>Fitness Function</w:t>
            </w:r>
          </w:p>
        </w:tc>
        <w:tc>
          <w:tcPr>
            <w:tcW w:type="dxa" w:w="4752"/>
            <w:shd w:fill="1F4E79"/>
            <w:tcMar>
              <w:top w:w="60" w:type="dxa"/>
              <w:start w:w="60" w:type="dxa"/>
              <w:bottom w:w="60" w:type="dxa"/>
              <w:end w:w="60" w:type="dxa"/>
            </w:tcMar>
          </w:tcPr>
          <w:p>
            <w:pPr>
              <w:spacing w:after="0"/>
              <w:jc w:val="center"/>
            </w:pPr>
            <w:r>
              <w:rPr>
                <w:rFonts w:ascii="Aptos" w:hAnsi="Aptos"/>
                <w:b/>
                <w:color w:val="FFFFFF"/>
                <w:sz w:val="14"/>
              </w:rPr>
              <w:t>Purpose</w:t>
            </w:r>
          </w:p>
        </w:tc>
        <w:tc>
          <w:tcPr>
            <w:tcW w:type="dxa" w:w="3311"/>
            <w:shd w:fill="1F4E79"/>
            <w:tcMar>
              <w:top w:w="60" w:type="dxa"/>
              <w:start w:w="60" w:type="dxa"/>
              <w:bottom w:w="60" w:type="dxa"/>
              <w:end w:w="60" w:type="dxa"/>
            </w:tcMar>
          </w:tcPr>
          <w:p>
            <w:pPr>
              <w:spacing w:after="0"/>
              <w:jc w:val="center"/>
            </w:pPr>
            <w:r>
              <w:rPr>
                <w:rFonts w:ascii="Aptos" w:hAnsi="Aptos"/>
                <w:b/>
                <w:color w:val="FFFFFF"/>
                <w:sz w:val="14"/>
              </w:rPr>
              <w:t>Example Enforcement</w:t>
            </w:r>
          </w:p>
        </w:tc>
      </w:tr>
      <w:tr>
        <w:trPr>
          <w:cantSplit/>
        </w:trPr>
        <w:tc>
          <w:tcPr>
            <w:tcW w:type="dxa" w:w="2448"/>
            <w:vAlign w:val="top"/>
            <w:tcMar>
              <w:top w:w="50" w:type="dxa"/>
              <w:start w:w="60" w:type="dxa"/>
              <w:bottom w:w="50" w:type="dxa"/>
              <w:end w:w="60" w:type="dxa"/>
            </w:tcMar>
          </w:tcPr>
          <w:p>
            <w:pPr>
              <w:spacing w:after="0"/>
            </w:pPr>
            <w:r>
              <w:rPr>
                <w:rFonts w:ascii="Aptos" w:hAnsi="Aptos"/>
                <w:sz w:val="14"/>
              </w:rPr>
              <w:t>Layer dependency check</w:t>
            </w:r>
          </w:p>
        </w:tc>
        <w:tc>
          <w:tcPr>
            <w:tcW w:type="dxa" w:w="4752"/>
            <w:vAlign w:val="top"/>
            <w:tcMar>
              <w:top w:w="50" w:type="dxa"/>
              <w:start w:w="60" w:type="dxa"/>
              <w:bottom w:w="50" w:type="dxa"/>
              <w:end w:w="60" w:type="dxa"/>
            </w:tcMar>
          </w:tcPr>
          <w:p>
            <w:pPr>
              <w:spacing w:after="0"/>
            </w:pPr>
            <w:r>
              <w:rPr>
                <w:rFonts w:ascii="Aptos" w:hAnsi="Aptos"/>
                <w:sz w:val="14"/>
              </w:rPr>
              <w:t>Domain must not depend on infrastructure, UI, database, Kafka, or model providers.</w:t>
            </w:r>
          </w:p>
        </w:tc>
        <w:tc>
          <w:tcPr>
            <w:tcW w:type="dxa" w:w="3311"/>
            <w:vAlign w:val="top"/>
            <w:tcMar>
              <w:top w:w="50" w:type="dxa"/>
              <w:start w:w="60" w:type="dxa"/>
              <w:bottom w:w="50" w:type="dxa"/>
              <w:end w:w="60" w:type="dxa"/>
            </w:tcMar>
          </w:tcPr>
          <w:p>
            <w:pPr>
              <w:spacing w:after="0"/>
            </w:pPr>
            <w:r>
              <w:rPr>
                <w:rFonts w:ascii="Aptos" w:hAnsi="Aptos"/>
                <w:sz w:val="14"/>
              </w:rPr>
              <w:t>ArchUnit, build rules, dependency graph checks</w:t>
            </w:r>
          </w:p>
        </w:tc>
      </w:tr>
      <w:tr>
        <w:trPr>
          <w:cantSplit/>
        </w:trPr>
        <w:tc>
          <w:tcPr>
            <w:tcW w:type="dxa" w:w="2448"/>
            <w:vAlign w:val="top"/>
            <w:tcMar>
              <w:top w:w="50" w:type="dxa"/>
              <w:start w:w="60" w:type="dxa"/>
              <w:bottom w:w="50" w:type="dxa"/>
              <w:end w:w="60" w:type="dxa"/>
            </w:tcMar>
          </w:tcPr>
          <w:p>
            <w:pPr>
              <w:spacing w:after="0"/>
            </w:pPr>
            <w:r>
              <w:rPr>
                <w:rFonts w:ascii="Aptos" w:hAnsi="Aptos"/>
                <w:sz w:val="14"/>
              </w:rPr>
              <w:t>Direct model call check</w:t>
            </w:r>
          </w:p>
        </w:tc>
        <w:tc>
          <w:tcPr>
            <w:tcW w:type="dxa" w:w="4752"/>
            <w:vAlign w:val="top"/>
            <w:tcMar>
              <w:top w:w="50" w:type="dxa"/>
              <w:start w:w="60" w:type="dxa"/>
              <w:bottom w:w="50" w:type="dxa"/>
              <w:end w:w="60" w:type="dxa"/>
            </w:tcMar>
          </w:tcPr>
          <w:p>
            <w:pPr>
              <w:spacing w:after="0"/>
            </w:pPr>
            <w:r>
              <w:rPr>
                <w:rFonts w:ascii="Aptos" w:hAnsi="Aptos"/>
                <w:sz w:val="14"/>
              </w:rPr>
              <w:t>Provider SDK imports and direct model endpoint calls are prohibited.</w:t>
            </w:r>
          </w:p>
        </w:tc>
        <w:tc>
          <w:tcPr>
            <w:tcW w:type="dxa" w:w="3311"/>
            <w:vAlign w:val="top"/>
            <w:tcMar>
              <w:top w:w="50" w:type="dxa"/>
              <w:start w:w="60" w:type="dxa"/>
              <w:bottom w:w="50" w:type="dxa"/>
              <w:end w:w="60" w:type="dxa"/>
            </w:tcMar>
          </w:tcPr>
          <w:p>
            <w:pPr>
              <w:spacing w:after="0"/>
            </w:pPr>
            <w:r>
              <w:rPr>
                <w:rFonts w:ascii="Aptos" w:hAnsi="Aptos"/>
                <w:sz w:val="14"/>
              </w:rPr>
              <w:t>Semgrep, grep rules, CI policy</w:t>
            </w:r>
          </w:p>
        </w:tc>
      </w:tr>
      <w:tr>
        <w:trPr>
          <w:cantSplit/>
        </w:trPr>
        <w:tc>
          <w:tcPr>
            <w:tcW w:type="dxa" w:w="2448"/>
            <w:vAlign w:val="top"/>
            <w:tcMar>
              <w:top w:w="50" w:type="dxa"/>
              <w:start w:w="60" w:type="dxa"/>
              <w:bottom w:w="50" w:type="dxa"/>
              <w:end w:w="60" w:type="dxa"/>
            </w:tcMar>
          </w:tcPr>
          <w:p>
            <w:pPr>
              <w:spacing w:after="0"/>
            </w:pPr>
            <w:r>
              <w:rPr>
                <w:rFonts w:ascii="Aptos" w:hAnsi="Aptos"/>
                <w:sz w:val="14"/>
              </w:rPr>
              <w:t>Contract compatibility</w:t>
            </w:r>
          </w:p>
        </w:tc>
        <w:tc>
          <w:tcPr>
            <w:tcW w:type="dxa" w:w="4752"/>
            <w:vAlign w:val="top"/>
            <w:tcMar>
              <w:top w:w="50" w:type="dxa"/>
              <w:start w:w="60" w:type="dxa"/>
              <w:bottom w:w="50" w:type="dxa"/>
              <w:end w:w="60" w:type="dxa"/>
            </w:tcMar>
          </w:tcPr>
          <w:p>
            <w:pPr>
              <w:spacing w:after="0"/>
            </w:pPr>
            <w:r>
              <w:rPr>
                <w:rFonts w:ascii="Aptos" w:hAnsi="Aptos"/>
                <w:sz w:val="14"/>
              </w:rPr>
              <w:t>OpenAPI, AsyncAPI, Avro/JSON schemas remain backward compatible unless versioned.</w:t>
            </w:r>
          </w:p>
        </w:tc>
        <w:tc>
          <w:tcPr>
            <w:tcW w:type="dxa" w:w="3311"/>
            <w:vAlign w:val="top"/>
            <w:tcMar>
              <w:top w:w="50" w:type="dxa"/>
              <w:start w:w="60" w:type="dxa"/>
              <w:bottom w:w="50" w:type="dxa"/>
              <w:end w:w="60" w:type="dxa"/>
            </w:tcMar>
          </w:tcPr>
          <w:p>
            <w:pPr>
              <w:spacing w:after="0"/>
            </w:pPr>
            <w:r>
              <w:rPr>
                <w:rFonts w:ascii="Aptos" w:hAnsi="Aptos"/>
                <w:sz w:val="14"/>
              </w:rPr>
              <w:t>Contract tests, schema registry checks</w:t>
            </w:r>
          </w:p>
        </w:tc>
      </w:tr>
      <w:tr>
        <w:trPr>
          <w:cantSplit/>
        </w:trPr>
        <w:tc>
          <w:tcPr>
            <w:tcW w:type="dxa" w:w="2448"/>
            <w:vAlign w:val="top"/>
            <w:tcMar>
              <w:top w:w="50" w:type="dxa"/>
              <w:start w:w="60" w:type="dxa"/>
              <w:bottom w:w="50" w:type="dxa"/>
              <w:end w:w="60" w:type="dxa"/>
            </w:tcMar>
          </w:tcPr>
          <w:p>
            <w:pPr>
              <w:spacing w:after="0"/>
            </w:pPr>
            <w:r>
              <w:rPr>
                <w:rFonts w:ascii="Aptos" w:hAnsi="Aptos"/>
                <w:sz w:val="14"/>
              </w:rPr>
              <w:t>Idempotency coverage</w:t>
            </w:r>
          </w:p>
        </w:tc>
        <w:tc>
          <w:tcPr>
            <w:tcW w:type="dxa" w:w="4752"/>
            <w:vAlign w:val="top"/>
            <w:tcMar>
              <w:top w:w="50" w:type="dxa"/>
              <w:start w:w="60" w:type="dxa"/>
              <w:bottom w:w="50" w:type="dxa"/>
              <w:end w:w="60" w:type="dxa"/>
            </w:tcMar>
          </w:tcPr>
          <w:p>
            <w:pPr>
              <w:spacing w:after="0"/>
            </w:pPr>
            <w:r>
              <w:rPr>
                <w:rFonts w:ascii="Aptos" w:hAnsi="Aptos"/>
                <w:sz w:val="14"/>
              </w:rPr>
              <w:t>Mutating endpoints, consumers, workflows, and external calls have idempotency evidence.</w:t>
            </w:r>
          </w:p>
        </w:tc>
        <w:tc>
          <w:tcPr>
            <w:tcW w:type="dxa" w:w="3311"/>
            <w:vAlign w:val="top"/>
            <w:tcMar>
              <w:top w:w="50" w:type="dxa"/>
              <w:start w:w="60" w:type="dxa"/>
              <w:bottom w:w="50" w:type="dxa"/>
              <w:end w:w="60" w:type="dxa"/>
            </w:tcMar>
          </w:tcPr>
          <w:p>
            <w:pPr>
              <w:spacing w:after="0"/>
            </w:pPr>
            <w:r>
              <w:rPr>
                <w:rFonts w:ascii="Aptos" w:hAnsi="Aptos"/>
                <w:sz w:val="14"/>
              </w:rPr>
              <w:t>Unit/component tests, DB constraints, workflow tests</w:t>
            </w:r>
          </w:p>
        </w:tc>
      </w:tr>
      <w:tr>
        <w:trPr>
          <w:cantSplit/>
        </w:trPr>
        <w:tc>
          <w:tcPr>
            <w:tcW w:type="dxa" w:w="2448"/>
            <w:vAlign w:val="top"/>
            <w:tcMar>
              <w:top w:w="50" w:type="dxa"/>
              <w:start w:w="60" w:type="dxa"/>
              <w:bottom w:w="50" w:type="dxa"/>
              <w:end w:w="60" w:type="dxa"/>
            </w:tcMar>
          </w:tcPr>
          <w:p>
            <w:pPr>
              <w:spacing w:after="0"/>
            </w:pPr>
            <w:r>
              <w:rPr>
                <w:rFonts w:ascii="Aptos" w:hAnsi="Aptos"/>
                <w:sz w:val="14"/>
              </w:rPr>
              <w:t>Security regression</w:t>
            </w:r>
          </w:p>
        </w:tc>
        <w:tc>
          <w:tcPr>
            <w:tcW w:type="dxa" w:w="4752"/>
            <w:vAlign w:val="top"/>
            <w:tcMar>
              <w:top w:w="50" w:type="dxa"/>
              <w:start w:w="60" w:type="dxa"/>
              <w:bottom w:w="50" w:type="dxa"/>
              <w:end w:w="60" w:type="dxa"/>
            </w:tcMar>
          </w:tcPr>
          <w:p>
            <w:pPr>
              <w:spacing w:after="0"/>
            </w:pPr>
            <w:r>
              <w:rPr>
                <w:rFonts w:ascii="Aptos" w:hAnsi="Aptos"/>
                <w:sz w:val="14"/>
              </w:rPr>
              <w:t>Authorization, tenant isolation, secret hygiene, redaction, and policy decisions remain enforced.</w:t>
            </w:r>
          </w:p>
        </w:tc>
        <w:tc>
          <w:tcPr>
            <w:tcW w:type="dxa" w:w="3311"/>
            <w:vAlign w:val="top"/>
            <w:tcMar>
              <w:top w:w="50" w:type="dxa"/>
              <w:start w:w="60" w:type="dxa"/>
              <w:bottom w:w="50" w:type="dxa"/>
              <w:end w:w="60" w:type="dxa"/>
            </w:tcMar>
          </w:tcPr>
          <w:p>
            <w:pPr>
              <w:spacing w:after="0"/>
            </w:pPr>
            <w:r>
              <w:rPr>
                <w:rFonts w:ascii="Aptos" w:hAnsi="Aptos"/>
                <w:sz w:val="14"/>
              </w:rPr>
              <w:t>Unit/security tests, SAST, OPA tests</w:t>
            </w:r>
          </w:p>
        </w:tc>
      </w:tr>
      <w:tr>
        <w:trPr>
          <w:cantSplit/>
        </w:trPr>
        <w:tc>
          <w:tcPr>
            <w:tcW w:type="dxa" w:w="2448"/>
            <w:vAlign w:val="top"/>
            <w:tcMar>
              <w:top w:w="50" w:type="dxa"/>
              <w:start w:w="60" w:type="dxa"/>
              <w:bottom w:w="50" w:type="dxa"/>
              <w:end w:w="60" w:type="dxa"/>
            </w:tcMar>
          </w:tcPr>
          <w:p>
            <w:pPr>
              <w:spacing w:after="0"/>
            </w:pPr>
            <w:r>
              <w:rPr>
                <w:rFonts w:ascii="Aptos" w:hAnsi="Aptos"/>
                <w:sz w:val="14"/>
              </w:rPr>
              <w:t>Observability coverage</w:t>
            </w:r>
          </w:p>
        </w:tc>
        <w:tc>
          <w:tcPr>
            <w:tcW w:type="dxa" w:w="4752"/>
            <w:vAlign w:val="top"/>
            <w:tcMar>
              <w:top w:w="50" w:type="dxa"/>
              <w:start w:w="60" w:type="dxa"/>
              <w:bottom w:w="50" w:type="dxa"/>
              <w:end w:w="60" w:type="dxa"/>
            </w:tcMar>
          </w:tcPr>
          <w:p>
            <w:pPr>
              <w:spacing w:after="0"/>
            </w:pPr>
            <w:r>
              <w:rPr>
                <w:rFonts w:ascii="Aptos" w:hAnsi="Aptos"/>
                <w:sz w:val="14"/>
              </w:rPr>
              <w:t>Critical paths emit trace_id, metrics, logs, audit evidence, and error taxonomy.</w:t>
            </w:r>
          </w:p>
        </w:tc>
        <w:tc>
          <w:tcPr>
            <w:tcW w:type="dxa" w:w="3311"/>
            <w:vAlign w:val="top"/>
            <w:tcMar>
              <w:top w:w="50" w:type="dxa"/>
              <w:start w:w="60" w:type="dxa"/>
              <w:bottom w:w="50" w:type="dxa"/>
              <w:end w:w="60" w:type="dxa"/>
            </w:tcMar>
          </w:tcPr>
          <w:p>
            <w:pPr>
              <w:spacing w:after="0"/>
            </w:pPr>
            <w:r>
              <w:rPr>
                <w:rFonts w:ascii="Aptos" w:hAnsi="Aptos"/>
                <w:sz w:val="14"/>
              </w:rPr>
              <w:t>OTel checks, log schema tests, audit assertions</w:t>
            </w:r>
          </w:p>
        </w:tc>
      </w:tr>
      <w:tr>
        <w:trPr>
          <w:cantSplit/>
        </w:trPr>
        <w:tc>
          <w:tcPr>
            <w:tcW w:type="dxa" w:w="2448"/>
            <w:vAlign w:val="top"/>
            <w:tcMar>
              <w:top w:w="50" w:type="dxa"/>
              <w:start w:w="60" w:type="dxa"/>
              <w:bottom w:w="50" w:type="dxa"/>
              <w:end w:w="60" w:type="dxa"/>
            </w:tcMar>
          </w:tcPr>
          <w:p>
            <w:pPr>
              <w:spacing w:after="0"/>
            </w:pPr>
            <w:r>
              <w:rPr>
                <w:rFonts w:ascii="Aptos" w:hAnsi="Aptos"/>
                <w:sz w:val="14"/>
              </w:rPr>
              <w:t>Rollback/compensation</w:t>
            </w:r>
          </w:p>
        </w:tc>
        <w:tc>
          <w:tcPr>
            <w:tcW w:type="dxa" w:w="4752"/>
            <w:vAlign w:val="top"/>
            <w:tcMar>
              <w:top w:w="50" w:type="dxa"/>
              <w:start w:w="60" w:type="dxa"/>
              <w:bottom w:w="50" w:type="dxa"/>
              <w:end w:w="60" w:type="dxa"/>
            </w:tcMar>
          </w:tcPr>
          <w:p>
            <w:pPr>
              <w:spacing w:after="0"/>
            </w:pPr>
            <w:r>
              <w:rPr>
                <w:rFonts w:ascii="Aptos" w:hAnsi="Aptos"/>
                <w:sz w:val="14"/>
              </w:rPr>
              <w:t>Risky changes define rollback, forward-fix, compensation, or feature disablement.</w:t>
            </w:r>
          </w:p>
        </w:tc>
        <w:tc>
          <w:tcPr>
            <w:tcW w:type="dxa" w:w="3311"/>
            <w:vAlign w:val="top"/>
            <w:tcMar>
              <w:top w:w="50" w:type="dxa"/>
              <w:start w:w="60" w:type="dxa"/>
              <w:bottom w:w="50" w:type="dxa"/>
              <w:end w:w="60" w:type="dxa"/>
            </w:tcMar>
          </w:tcPr>
          <w:p>
            <w:pPr>
              <w:spacing w:after="0"/>
            </w:pPr>
            <w:r>
              <w:rPr>
                <w:rFonts w:ascii="Aptos" w:hAnsi="Aptos"/>
                <w:sz w:val="14"/>
              </w:rPr>
              <w:t>Release gate, migration test, Temporal/Flowable evidence</w:t>
            </w:r>
          </w:p>
        </w:tc>
      </w:tr>
      <w:tr>
        <w:trPr>
          <w:cantSplit/>
        </w:trPr>
        <w:tc>
          <w:tcPr>
            <w:tcW w:type="dxa" w:w="2448"/>
            <w:vAlign w:val="top"/>
            <w:tcMar>
              <w:top w:w="50" w:type="dxa"/>
              <w:start w:w="60" w:type="dxa"/>
              <w:bottom w:w="50" w:type="dxa"/>
              <w:end w:w="60" w:type="dxa"/>
            </w:tcMar>
          </w:tcPr>
          <w:p>
            <w:pPr>
              <w:spacing w:after="0"/>
            </w:pPr>
            <w:r>
              <w:rPr>
                <w:rFonts w:ascii="Aptos" w:hAnsi="Aptos"/>
                <w:sz w:val="14"/>
              </w:rPr>
              <w:t>AI safety gate</w:t>
            </w:r>
          </w:p>
        </w:tc>
        <w:tc>
          <w:tcPr>
            <w:tcW w:type="dxa" w:w="4752"/>
            <w:vAlign w:val="top"/>
            <w:tcMar>
              <w:top w:w="50" w:type="dxa"/>
              <w:start w:w="60" w:type="dxa"/>
              <w:bottom w:w="50" w:type="dxa"/>
              <w:end w:w="60" w:type="dxa"/>
            </w:tcMar>
          </w:tcPr>
          <w:p>
            <w:pPr>
              <w:spacing w:after="0"/>
            </w:pPr>
            <w:r>
              <w:rPr>
                <w:rFonts w:ascii="Aptos" w:hAnsi="Aptos"/>
                <w:sz w:val="14"/>
              </w:rPr>
              <w:t>Prompt, retrieval, guardrail, tool-action, and output flows are evaluated and cited.</w:t>
            </w:r>
          </w:p>
        </w:tc>
        <w:tc>
          <w:tcPr>
            <w:tcW w:type="dxa" w:w="3311"/>
            <w:vAlign w:val="top"/>
            <w:tcMar>
              <w:top w:w="50" w:type="dxa"/>
              <w:start w:w="60" w:type="dxa"/>
              <w:bottom w:w="50" w:type="dxa"/>
              <w:end w:w="60" w:type="dxa"/>
            </w:tcMar>
          </w:tcPr>
          <w:p>
            <w:pPr>
              <w:spacing w:after="0"/>
            </w:pPr>
            <w:r>
              <w:rPr>
                <w:rFonts w:ascii="Aptos" w:hAnsi="Aptos"/>
                <w:sz w:val="14"/>
              </w:rPr>
              <w:t>Golden datasets, guardrail tests, eval reports</w:t>
            </w:r>
          </w:p>
        </w:tc>
      </w:tr>
    </w:tbl>
    <w:p/>
    <w:p>
      <w:pPr>
        <w:pStyle w:val="Heading1"/>
        <w:keepNext/>
      </w:pPr>
      <w:r>
        <w:t>14. Retrieval, Knowledge, and AI Quality Gates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shd w:fill="1F4E79"/>
            <w:tcMar>
              <w:top w:w="60" w:type="dxa"/>
              <w:start w:w="60" w:type="dxa"/>
              <w:bottom w:w="60" w:type="dxa"/>
              <w:end w:w="60" w:type="dxa"/>
            </w:tcMar>
          </w:tcPr>
          <w:p>
            <w:pPr>
              <w:spacing w:after="0"/>
              <w:jc w:val="center"/>
            </w:pPr>
            <w:r>
              <w:rPr>
                <w:rFonts w:ascii="Aptos" w:hAnsi="Aptos"/>
                <w:b/>
                <w:color w:val="FFFFFF"/>
                <w:sz w:val="15"/>
              </w:rPr>
              <w:t>Gate</w:t>
            </w:r>
          </w:p>
        </w:tc>
        <w:tc>
          <w:tcPr>
            <w:tcW w:type="dxa" w:w="7632"/>
            <w:shd w:fill="1F4E79"/>
            <w:tcMar>
              <w:top w:w="60" w:type="dxa"/>
              <w:start w:w="60" w:type="dxa"/>
              <w:bottom w:w="60" w:type="dxa"/>
              <w:end w:w="60" w:type="dxa"/>
            </w:tcMar>
          </w:tcPr>
          <w:p>
            <w:pPr>
              <w:spacing w:after="0"/>
              <w:jc w:val="center"/>
            </w:pPr>
            <w:r>
              <w:rPr>
                <w:rFonts w:ascii="Aptos" w:hAnsi="Aptos"/>
                <w:b/>
                <w:color w:val="FFFFFF"/>
                <w:sz w:val="15"/>
              </w:rPr>
              <w:t>Requirement</w:t>
            </w:r>
          </w:p>
        </w:tc>
      </w:tr>
      <w:tr>
        <w:trPr>
          <w:cantSplit/>
        </w:trPr>
        <w:tc>
          <w:tcPr>
            <w:tcW w:type="dxa" w:w="2880"/>
            <w:vAlign w:val="top"/>
            <w:tcMar>
              <w:top w:w="50" w:type="dxa"/>
              <w:start w:w="60" w:type="dxa"/>
              <w:bottom w:w="50" w:type="dxa"/>
              <w:end w:w="60" w:type="dxa"/>
            </w:tcMar>
          </w:tcPr>
          <w:p>
            <w:pPr>
              <w:spacing w:after="0"/>
            </w:pPr>
            <w:r>
              <w:rPr>
                <w:rFonts w:ascii="Aptos" w:hAnsi="Aptos"/>
                <w:sz w:val="15"/>
              </w:rPr>
              <w:t>Approved sources only</w:t>
            </w:r>
          </w:p>
        </w:tc>
        <w:tc>
          <w:tcPr>
            <w:tcW w:type="dxa" w:w="7632"/>
            <w:vAlign w:val="top"/>
            <w:tcMar>
              <w:top w:w="50" w:type="dxa"/>
              <w:start w:w="60" w:type="dxa"/>
              <w:bottom w:w="50" w:type="dxa"/>
              <w:end w:w="60" w:type="dxa"/>
            </w:tcMar>
          </w:tcPr>
          <w:p>
            <w:pPr>
              <w:spacing w:after="0"/>
            </w:pPr>
            <w:r>
              <w:rPr>
                <w:rFonts w:ascii="Aptos" w:hAnsi="Aptos"/>
                <w:sz w:val="15"/>
              </w:rPr>
              <w:t>LLM Wiki indexes approved or explicitly reviewable sources only; drafts and superseded content are quarantined.</w:t>
            </w:r>
          </w:p>
        </w:tc>
      </w:tr>
      <w:tr>
        <w:trPr>
          <w:cantSplit/>
        </w:trPr>
        <w:tc>
          <w:tcPr>
            <w:tcW w:type="dxa" w:w="2880"/>
            <w:vAlign w:val="top"/>
            <w:tcMar>
              <w:top w:w="50" w:type="dxa"/>
              <w:start w:w="60" w:type="dxa"/>
              <w:bottom w:w="50" w:type="dxa"/>
              <w:end w:w="60" w:type="dxa"/>
            </w:tcMar>
          </w:tcPr>
          <w:p>
            <w:pPr>
              <w:spacing w:after="0"/>
            </w:pPr>
            <w:r>
              <w:rPr>
                <w:rFonts w:ascii="Aptos" w:hAnsi="Aptos"/>
                <w:sz w:val="15"/>
              </w:rPr>
              <w:t>Citations by default</w:t>
            </w:r>
          </w:p>
        </w:tc>
        <w:tc>
          <w:tcPr>
            <w:tcW w:type="dxa" w:w="7632"/>
            <w:vAlign w:val="top"/>
            <w:tcMar>
              <w:top w:w="50" w:type="dxa"/>
              <w:start w:w="60" w:type="dxa"/>
              <w:bottom w:w="50" w:type="dxa"/>
              <w:end w:w="60" w:type="dxa"/>
            </w:tcMar>
          </w:tcPr>
          <w:p>
            <w:pPr>
              <w:spacing w:after="0"/>
            </w:pPr>
            <w:r>
              <w:rPr>
                <w:rFonts w:ascii="Aptos" w:hAnsi="Aptos"/>
                <w:sz w:val="15"/>
              </w:rPr>
              <w:t>AI answers from the knowledge base cite source document, version, section, evidence ID, and confidence.</w:t>
            </w:r>
          </w:p>
        </w:tc>
      </w:tr>
      <w:tr>
        <w:trPr>
          <w:cantSplit/>
        </w:trPr>
        <w:tc>
          <w:tcPr>
            <w:tcW w:type="dxa" w:w="2880"/>
            <w:vAlign w:val="top"/>
            <w:tcMar>
              <w:top w:w="50" w:type="dxa"/>
              <w:start w:w="60" w:type="dxa"/>
              <w:bottom w:w="50" w:type="dxa"/>
              <w:end w:w="60" w:type="dxa"/>
            </w:tcMar>
          </w:tcPr>
          <w:p>
            <w:pPr>
              <w:spacing w:after="0"/>
            </w:pPr>
            <w:r>
              <w:rPr>
                <w:rFonts w:ascii="Aptos" w:hAnsi="Aptos"/>
                <w:sz w:val="15"/>
              </w:rPr>
              <w:t>Staleness is a defect</w:t>
            </w:r>
          </w:p>
        </w:tc>
        <w:tc>
          <w:tcPr>
            <w:tcW w:type="dxa" w:w="7632"/>
            <w:vAlign w:val="top"/>
            <w:tcMar>
              <w:top w:w="50" w:type="dxa"/>
              <w:start w:w="60" w:type="dxa"/>
              <w:bottom w:w="50" w:type="dxa"/>
              <w:end w:w="60" w:type="dxa"/>
            </w:tcMar>
          </w:tcPr>
          <w:p>
            <w:pPr>
              <w:spacing w:after="0"/>
            </w:pPr>
            <w:r>
              <w:rPr>
                <w:rFonts w:ascii="Aptos" w:hAnsi="Aptos"/>
                <w:sz w:val="15"/>
              </w:rPr>
              <w:t>Expired or superseded knowledge must not silently influence development or architecture decisions.</w:t>
            </w:r>
          </w:p>
        </w:tc>
      </w:tr>
      <w:tr>
        <w:trPr>
          <w:cantSplit/>
        </w:trPr>
        <w:tc>
          <w:tcPr>
            <w:tcW w:type="dxa" w:w="2880"/>
            <w:vAlign w:val="top"/>
            <w:tcMar>
              <w:top w:w="50" w:type="dxa"/>
              <w:start w:w="60" w:type="dxa"/>
              <w:bottom w:w="50" w:type="dxa"/>
              <w:end w:w="60" w:type="dxa"/>
            </w:tcMar>
          </w:tcPr>
          <w:p>
            <w:pPr>
              <w:spacing w:after="0"/>
            </w:pPr>
            <w:r>
              <w:rPr>
                <w:rFonts w:ascii="Aptos" w:hAnsi="Aptos"/>
                <w:sz w:val="15"/>
              </w:rPr>
              <w:t>Conflict reporting</w:t>
            </w:r>
          </w:p>
        </w:tc>
        <w:tc>
          <w:tcPr>
            <w:tcW w:type="dxa" w:w="7632"/>
            <w:vAlign w:val="top"/>
            <w:tcMar>
              <w:top w:w="50" w:type="dxa"/>
              <w:start w:w="60" w:type="dxa"/>
              <w:bottom w:w="50" w:type="dxa"/>
              <w:end w:w="60" w:type="dxa"/>
            </w:tcMar>
          </w:tcPr>
          <w:p>
            <w:pPr>
              <w:spacing w:after="0"/>
            </w:pPr>
            <w:r>
              <w:rPr>
                <w:rFonts w:ascii="Aptos" w:hAnsi="Aptos"/>
                <w:sz w:val="15"/>
              </w:rPr>
              <w:t>If documents conflict, AI must report the conflict and follow authority hierarchy; it must not hide inconsistencies.</w:t>
            </w:r>
          </w:p>
        </w:tc>
      </w:tr>
      <w:tr>
        <w:trPr>
          <w:cantSplit/>
        </w:trPr>
        <w:tc>
          <w:tcPr>
            <w:tcW w:type="dxa" w:w="2880"/>
            <w:vAlign w:val="top"/>
            <w:tcMar>
              <w:top w:w="50" w:type="dxa"/>
              <w:start w:w="60" w:type="dxa"/>
              <w:bottom w:w="50" w:type="dxa"/>
              <w:end w:w="60" w:type="dxa"/>
            </w:tcMar>
          </w:tcPr>
          <w:p>
            <w:pPr>
              <w:spacing w:after="0"/>
            </w:pPr>
            <w:r>
              <w:rPr>
                <w:rFonts w:ascii="Aptos" w:hAnsi="Aptos"/>
                <w:sz w:val="15"/>
              </w:rPr>
              <w:t>Auto-Learn review</w:t>
            </w:r>
          </w:p>
        </w:tc>
        <w:tc>
          <w:tcPr>
            <w:tcW w:type="dxa" w:w="7632"/>
            <w:vAlign w:val="top"/>
            <w:tcMar>
              <w:top w:w="50" w:type="dxa"/>
              <w:start w:w="60" w:type="dxa"/>
              <w:bottom w:w="50" w:type="dxa"/>
              <w:end w:w="60" w:type="dxa"/>
            </w:tcMar>
          </w:tcPr>
          <w:p>
            <w:pPr>
              <w:spacing w:after="0"/>
            </w:pPr>
            <w:r>
              <w:rPr>
                <w:rFonts w:ascii="Aptos" w:hAnsi="Aptos"/>
                <w:sz w:val="15"/>
              </w:rPr>
              <w:t>AI-generated lessons, summaries, and remediation guidance do not become authoritative until human-reviewed.</w:t>
            </w:r>
          </w:p>
        </w:tc>
      </w:tr>
    </w:tbl>
    <w:p/>
    <w:p>
      <w:pPr>
        <w:pStyle w:val="Heading1"/>
        <w:keepNext/>
      </w:pPr>
      <w:r>
        <w:t>15. Roles, Responsibilities, and RACI</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736"/>
            <w:shd w:fill="1F4E79"/>
            <w:tcMar>
              <w:top w:w="60" w:type="dxa"/>
              <w:start w:w="60" w:type="dxa"/>
              <w:bottom w:w="60" w:type="dxa"/>
              <w:end w:w="60" w:type="dxa"/>
            </w:tcMar>
          </w:tcPr>
          <w:p>
            <w:pPr>
              <w:spacing w:after="0"/>
              <w:jc w:val="center"/>
            </w:pPr>
            <w:r>
              <w:rPr>
                <w:rFonts w:ascii="Aptos" w:hAnsi="Aptos"/>
                <w:b/>
                <w:color w:val="FFFFFF"/>
                <w:sz w:val="14"/>
              </w:rPr>
              <w:t>Role</w:t>
            </w:r>
          </w:p>
        </w:tc>
        <w:tc>
          <w:tcPr>
            <w:tcW w:type="dxa" w:w="1007"/>
            <w:shd w:fill="1F4E79"/>
            <w:tcMar>
              <w:top w:w="60" w:type="dxa"/>
              <w:start w:w="60" w:type="dxa"/>
              <w:bottom w:w="60" w:type="dxa"/>
              <w:end w:w="60" w:type="dxa"/>
            </w:tcMar>
          </w:tcPr>
          <w:p>
            <w:pPr>
              <w:spacing w:after="0"/>
              <w:jc w:val="center"/>
            </w:pPr>
            <w:r>
              <w:rPr>
                <w:rFonts w:ascii="Aptos" w:hAnsi="Aptos"/>
                <w:b/>
                <w:color w:val="FFFFFF"/>
                <w:sz w:val="14"/>
              </w:rPr>
              <w:t>RACI</w:t>
            </w:r>
          </w:p>
        </w:tc>
        <w:tc>
          <w:tcPr>
            <w:tcW w:type="dxa" w:w="6768"/>
            <w:shd w:fill="1F4E79"/>
            <w:tcMar>
              <w:top w:w="60" w:type="dxa"/>
              <w:start w:w="60" w:type="dxa"/>
              <w:bottom w:w="60" w:type="dxa"/>
              <w:end w:w="60" w:type="dxa"/>
            </w:tcMar>
          </w:tcPr>
          <w:p>
            <w:pPr>
              <w:spacing w:after="0"/>
              <w:jc w:val="center"/>
            </w:pPr>
            <w:r>
              <w:rPr>
                <w:rFonts w:ascii="Aptos" w:hAnsi="Aptos"/>
                <w:b/>
                <w:color w:val="FFFFFF"/>
                <w:sz w:val="14"/>
              </w:rPr>
              <w:t>Responsibility</w:t>
            </w:r>
          </w:p>
        </w:tc>
      </w:tr>
      <w:tr>
        <w:trPr>
          <w:cantSplit/>
        </w:trPr>
        <w:tc>
          <w:tcPr>
            <w:tcW w:type="dxa" w:w="2736"/>
            <w:vAlign w:val="top"/>
            <w:tcMar>
              <w:top w:w="50" w:type="dxa"/>
              <w:start w:w="60" w:type="dxa"/>
              <w:bottom w:w="50" w:type="dxa"/>
              <w:end w:w="60" w:type="dxa"/>
            </w:tcMar>
          </w:tcPr>
          <w:p>
            <w:pPr>
              <w:spacing w:after="0"/>
            </w:pPr>
            <w:r>
              <w:rPr>
                <w:rFonts w:ascii="Aptos" w:hAnsi="Aptos"/>
                <w:sz w:val="14"/>
              </w:rPr>
              <w:t>Solutions Architect / IT Head</w:t>
            </w:r>
          </w:p>
        </w:tc>
        <w:tc>
          <w:tcPr>
            <w:tcW w:type="dxa" w:w="1007"/>
            <w:vAlign w:val="top"/>
            <w:tcMar>
              <w:top w:w="50" w:type="dxa"/>
              <w:start w:w="60" w:type="dxa"/>
              <w:bottom w:w="50" w:type="dxa"/>
              <w:end w:w="60" w:type="dxa"/>
            </w:tcMar>
          </w:tcPr>
          <w:p>
            <w:pPr>
              <w:spacing w:after="0"/>
            </w:pPr>
            <w:r>
              <w:rPr>
                <w:rFonts w:ascii="Aptos" w:hAnsi="Aptos"/>
                <w:sz w:val="14"/>
              </w:rPr>
              <w:t>A/R</w:t>
            </w:r>
          </w:p>
        </w:tc>
        <w:tc>
          <w:tcPr>
            <w:tcW w:type="dxa" w:w="6768"/>
            <w:vAlign w:val="top"/>
            <w:tcMar>
              <w:top w:w="50" w:type="dxa"/>
              <w:start w:w="60" w:type="dxa"/>
              <w:bottom w:w="50" w:type="dxa"/>
              <w:end w:w="60" w:type="dxa"/>
            </w:tcMar>
          </w:tcPr>
          <w:p>
            <w:pPr>
              <w:spacing w:after="0"/>
            </w:pPr>
            <w:r>
              <w:rPr>
                <w:rFonts w:ascii="Aptos" w:hAnsi="Aptos"/>
                <w:sz w:val="14"/>
              </w:rPr>
              <w:t>Owns AVCI standard, 01A alignment, architecture principle interpretation, and final escalation.</w:t>
            </w:r>
          </w:p>
        </w:tc>
      </w:tr>
      <w:tr>
        <w:trPr>
          <w:cantSplit/>
        </w:trPr>
        <w:tc>
          <w:tcPr>
            <w:tcW w:type="dxa" w:w="2736"/>
            <w:vAlign w:val="top"/>
            <w:tcMar>
              <w:top w:w="50" w:type="dxa"/>
              <w:start w:w="60" w:type="dxa"/>
              <w:bottom w:w="50" w:type="dxa"/>
              <w:end w:w="60" w:type="dxa"/>
            </w:tcMar>
          </w:tcPr>
          <w:p>
            <w:pPr>
              <w:spacing w:after="0"/>
            </w:pPr>
            <w:r>
              <w:rPr>
                <w:rFonts w:ascii="Aptos" w:hAnsi="Aptos"/>
                <w:sz w:val="14"/>
              </w:rPr>
              <w:t>Enterprise Architect</w:t>
            </w:r>
          </w:p>
        </w:tc>
        <w:tc>
          <w:tcPr>
            <w:tcW w:type="dxa" w:w="1007"/>
            <w:vAlign w:val="top"/>
            <w:tcMar>
              <w:top w:w="50" w:type="dxa"/>
              <w:start w:w="60" w:type="dxa"/>
              <w:bottom w:w="50" w:type="dxa"/>
              <w:end w:w="60" w:type="dxa"/>
            </w:tcMar>
          </w:tcPr>
          <w:p>
            <w:pPr>
              <w:spacing w:after="0"/>
            </w:pPr>
            <w:r>
              <w:rPr>
                <w:rFonts w:ascii="Aptos" w:hAnsi="Aptos"/>
                <w:sz w:val="14"/>
              </w:rPr>
              <w:t>R</w:t>
            </w:r>
          </w:p>
        </w:tc>
        <w:tc>
          <w:tcPr>
            <w:tcW w:type="dxa" w:w="6768"/>
            <w:vAlign w:val="top"/>
            <w:tcMar>
              <w:top w:w="50" w:type="dxa"/>
              <w:start w:w="60" w:type="dxa"/>
              <w:bottom w:w="50" w:type="dxa"/>
              <w:end w:w="60" w:type="dxa"/>
            </w:tcMar>
          </w:tcPr>
          <w:p>
            <w:pPr>
              <w:spacing w:after="0"/>
            </w:pPr>
            <w:r>
              <w:rPr>
                <w:rFonts w:ascii="Aptos" w:hAnsi="Aptos"/>
                <w:sz w:val="14"/>
              </w:rPr>
              <w:t>Reviews architecture boundaries, DDD contexts, ports/adapters, and fitness functions.</w:t>
            </w:r>
          </w:p>
        </w:tc>
      </w:tr>
      <w:tr>
        <w:trPr>
          <w:cantSplit/>
        </w:trPr>
        <w:tc>
          <w:tcPr>
            <w:tcW w:type="dxa" w:w="2736"/>
            <w:vAlign w:val="top"/>
            <w:tcMar>
              <w:top w:w="50" w:type="dxa"/>
              <w:start w:w="60" w:type="dxa"/>
              <w:bottom w:w="50" w:type="dxa"/>
              <w:end w:w="60" w:type="dxa"/>
            </w:tcMar>
          </w:tcPr>
          <w:p>
            <w:pPr>
              <w:spacing w:after="0"/>
            </w:pPr>
            <w:r>
              <w:rPr>
                <w:rFonts w:ascii="Aptos" w:hAnsi="Aptos"/>
                <w:sz w:val="14"/>
              </w:rPr>
              <w:t>Development Lead</w:t>
            </w:r>
          </w:p>
        </w:tc>
        <w:tc>
          <w:tcPr>
            <w:tcW w:type="dxa" w:w="1007"/>
            <w:vAlign w:val="top"/>
            <w:tcMar>
              <w:top w:w="50" w:type="dxa"/>
              <w:start w:w="60" w:type="dxa"/>
              <w:bottom w:w="50" w:type="dxa"/>
              <w:end w:w="60" w:type="dxa"/>
            </w:tcMar>
          </w:tcPr>
          <w:p>
            <w:pPr>
              <w:spacing w:after="0"/>
            </w:pPr>
            <w:r>
              <w:rPr>
                <w:rFonts w:ascii="Aptos" w:hAnsi="Aptos"/>
                <w:sz w:val="14"/>
              </w:rPr>
              <w:t>R</w:t>
            </w:r>
          </w:p>
        </w:tc>
        <w:tc>
          <w:tcPr>
            <w:tcW w:type="dxa" w:w="6768"/>
            <w:vAlign w:val="top"/>
            <w:tcMar>
              <w:top w:w="50" w:type="dxa"/>
              <w:start w:w="60" w:type="dxa"/>
              <w:bottom w:w="50" w:type="dxa"/>
              <w:end w:w="60" w:type="dxa"/>
            </w:tcMar>
          </w:tcPr>
          <w:p>
            <w:pPr>
              <w:spacing w:after="0"/>
            </w:pPr>
            <w:r>
              <w:rPr>
                <w:rFonts w:ascii="Aptos" w:hAnsi="Aptos"/>
                <w:sz w:val="14"/>
              </w:rPr>
              <w:t>Ensures developer adoption, PR evidence, coding discipline, and remediation of principle violations.</w:t>
            </w:r>
          </w:p>
        </w:tc>
      </w:tr>
      <w:tr>
        <w:trPr>
          <w:cantSplit/>
        </w:trPr>
        <w:tc>
          <w:tcPr>
            <w:tcW w:type="dxa" w:w="2736"/>
            <w:vAlign w:val="top"/>
            <w:tcMar>
              <w:top w:w="50" w:type="dxa"/>
              <w:start w:w="60" w:type="dxa"/>
              <w:bottom w:w="50" w:type="dxa"/>
              <w:end w:w="60" w:type="dxa"/>
            </w:tcMar>
          </w:tcPr>
          <w:p>
            <w:pPr>
              <w:spacing w:after="0"/>
            </w:pPr>
            <w:r>
              <w:rPr>
                <w:rFonts w:ascii="Aptos" w:hAnsi="Aptos"/>
                <w:sz w:val="14"/>
              </w:rPr>
              <w:t>DevSecOps Lead</w:t>
            </w:r>
          </w:p>
        </w:tc>
        <w:tc>
          <w:tcPr>
            <w:tcW w:type="dxa" w:w="1007"/>
            <w:vAlign w:val="top"/>
            <w:tcMar>
              <w:top w:w="50" w:type="dxa"/>
              <w:start w:w="60" w:type="dxa"/>
              <w:bottom w:w="50" w:type="dxa"/>
              <w:end w:w="60" w:type="dxa"/>
            </w:tcMar>
          </w:tcPr>
          <w:p>
            <w:pPr>
              <w:spacing w:after="0"/>
            </w:pPr>
            <w:r>
              <w:rPr>
                <w:rFonts w:ascii="Aptos" w:hAnsi="Aptos"/>
                <w:sz w:val="14"/>
              </w:rPr>
              <w:t>R</w:t>
            </w:r>
          </w:p>
        </w:tc>
        <w:tc>
          <w:tcPr>
            <w:tcW w:type="dxa" w:w="6768"/>
            <w:vAlign w:val="top"/>
            <w:tcMar>
              <w:top w:w="50" w:type="dxa"/>
              <w:start w:w="60" w:type="dxa"/>
              <w:bottom w:w="50" w:type="dxa"/>
              <w:end w:w="60" w:type="dxa"/>
            </w:tcMar>
          </w:tcPr>
          <w:p>
            <w:pPr>
              <w:spacing w:after="0"/>
            </w:pPr>
            <w:r>
              <w:rPr>
                <w:rFonts w:ascii="Aptos" w:hAnsi="Aptos"/>
                <w:sz w:val="14"/>
              </w:rPr>
              <w:t>Implements CI/CD evidence, policy-as-code, hooks, scan gates, and provenance controls.</w:t>
            </w:r>
          </w:p>
        </w:tc>
      </w:tr>
      <w:tr>
        <w:trPr>
          <w:cantSplit/>
        </w:trPr>
        <w:tc>
          <w:tcPr>
            <w:tcW w:type="dxa" w:w="2736"/>
            <w:vAlign w:val="top"/>
            <w:tcMar>
              <w:top w:w="50" w:type="dxa"/>
              <w:start w:w="60" w:type="dxa"/>
              <w:bottom w:w="50" w:type="dxa"/>
              <w:end w:w="60" w:type="dxa"/>
            </w:tcMar>
          </w:tcPr>
          <w:p>
            <w:pPr>
              <w:spacing w:after="0"/>
            </w:pPr>
            <w:r>
              <w:rPr>
                <w:rFonts w:ascii="Aptos" w:hAnsi="Aptos"/>
                <w:sz w:val="14"/>
              </w:rPr>
              <w:t>Security Administrator</w:t>
            </w:r>
          </w:p>
        </w:tc>
        <w:tc>
          <w:tcPr>
            <w:tcW w:type="dxa" w:w="1007"/>
            <w:vAlign w:val="top"/>
            <w:tcMar>
              <w:top w:w="50" w:type="dxa"/>
              <w:start w:w="60" w:type="dxa"/>
              <w:bottom w:w="50" w:type="dxa"/>
              <w:end w:w="60" w:type="dxa"/>
            </w:tcMar>
          </w:tcPr>
          <w:p>
            <w:pPr>
              <w:spacing w:after="0"/>
            </w:pPr>
            <w:r>
              <w:rPr>
                <w:rFonts w:ascii="Aptos" w:hAnsi="Aptos"/>
                <w:sz w:val="14"/>
              </w:rPr>
              <w:t>R/C</w:t>
            </w:r>
          </w:p>
        </w:tc>
        <w:tc>
          <w:tcPr>
            <w:tcW w:type="dxa" w:w="6768"/>
            <w:vAlign w:val="top"/>
            <w:tcMar>
              <w:top w:w="50" w:type="dxa"/>
              <w:start w:w="60" w:type="dxa"/>
              <w:bottom w:w="50" w:type="dxa"/>
              <w:end w:w="60" w:type="dxa"/>
            </w:tcMar>
          </w:tcPr>
          <w:p>
            <w:pPr>
              <w:spacing w:after="0"/>
            </w:pPr>
            <w:r>
              <w:rPr>
                <w:rFonts w:ascii="Aptos" w:hAnsi="Aptos"/>
                <w:sz w:val="14"/>
              </w:rPr>
              <w:t>Reviews least privilege, SBAC, secrets, classification, and fail-closed behaviour.</w:t>
            </w:r>
          </w:p>
        </w:tc>
      </w:tr>
      <w:tr>
        <w:trPr>
          <w:cantSplit/>
        </w:trPr>
        <w:tc>
          <w:tcPr>
            <w:tcW w:type="dxa" w:w="2736"/>
            <w:vAlign w:val="top"/>
            <w:tcMar>
              <w:top w:w="50" w:type="dxa"/>
              <w:start w:w="60" w:type="dxa"/>
              <w:bottom w:w="50" w:type="dxa"/>
              <w:end w:w="60" w:type="dxa"/>
            </w:tcMar>
          </w:tcPr>
          <w:p>
            <w:pPr>
              <w:spacing w:after="0"/>
            </w:pPr>
            <w:r>
              <w:rPr>
                <w:rFonts w:ascii="Aptos" w:hAnsi="Aptos"/>
                <w:sz w:val="14"/>
              </w:rPr>
              <w:t>QA / SDET</w:t>
            </w:r>
          </w:p>
        </w:tc>
        <w:tc>
          <w:tcPr>
            <w:tcW w:type="dxa" w:w="1007"/>
            <w:vAlign w:val="top"/>
            <w:tcMar>
              <w:top w:w="50" w:type="dxa"/>
              <w:start w:w="60" w:type="dxa"/>
              <w:bottom w:w="50" w:type="dxa"/>
              <w:end w:w="60" w:type="dxa"/>
            </w:tcMar>
          </w:tcPr>
          <w:p>
            <w:pPr>
              <w:spacing w:after="0"/>
            </w:pPr>
            <w:r>
              <w:rPr>
                <w:rFonts w:ascii="Aptos" w:hAnsi="Aptos"/>
                <w:sz w:val="14"/>
              </w:rPr>
              <w:t>R</w:t>
            </w:r>
          </w:p>
        </w:tc>
        <w:tc>
          <w:tcPr>
            <w:tcW w:type="dxa" w:w="6768"/>
            <w:vAlign w:val="top"/>
            <w:tcMar>
              <w:top w:w="50" w:type="dxa"/>
              <w:start w:w="60" w:type="dxa"/>
              <w:bottom w:w="50" w:type="dxa"/>
              <w:end w:w="60" w:type="dxa"/>
            </w:tcMar>
          </w:tcPr>
          <w:p>
            <w:pPr>
              <w:spacing w:after="0"/>
            </w:pPr>
            <w:r>
              <w:rPr>
                <w:rFonts w:ascii="Aptos" w:hAnsi="Aptos"/>
                <w:sz w:val="14"/>
              </w:rPr>
              <w:t>Owns deterministic testing, mutation/coverage where required, regression suites, and AI evaluation evidence.</w:t>
            </w:r>
          </w:p>
        </w:tc>
      </w:tr>
      <w:tr>
        <w:trPr>
          <w:cantSplit/>
        </w:trPr>
        <w:tc>
          <w:tcPr>
            <w:tcW w:type="dxa" w:w="2736"/>
            <w:vAlign w:val="top"/>
            <w:tcMar>
              <w:top w:w="50" w:type="dxa"/>
              <w:start w:w="60" w:type="dxa"/>
              <w:bottom w:w="50" w:type="dxa"/>
              <w:end w:w="60" w:type="dxa"/>
            </w:tcMar>
          </w:tcPr>
          <w:p>
            <w:pPr>
              <w:spacing w:after="0"/>
            </w:pPr>
            <w:r>
              <w:rPr>
                <w:rFonts w:ascii="Aptos" w:hAnsi="Aptos"/>
                <w:sz w:val="14"/>
              </w:rPr>
              <w:t>DBA / Data Governance</w:t>
            </w:r>
          </w:p>
        </w:tc>
        <w:tc>
          <w:tcPr>
            <w:tcW w:type="dxa" w:w="1007"/>
            <w:vAlign w:val="top"/>
            <w:tcMar>
              <w:top w:w="50" w:type="dxa"/>
              <w:start w:w="60" w:type="dxa"/>
              <w:bottom w:w="50" w:type="dxa"/>
              <w:end w:w="60" w:type="dxa"/>
            </w:tcMar>
          </w:tcPr>
          <w:p>
            <w:pPr>
              <w:spacing w:after="0"/>
            </w:pPr>
            <w:r>
              <w:rPr>
                <w:rFonts w:ascii="Aptos" w:hAnsi="Aptos"/>
                <w:sz w:val="14"/>
              </w:rPr>
              <w:t>R/C</w:t>
            </w:r>
          </w:p>
        </w:tc>
        <w:tc>
          <w:tcPr>
            <w:tcW w:type="dxa" w:w="6768"/>
            <w:vAlign w:val="top"/>
            <w:tcMar>
              <w:top w:w="50" w:type="dxa"/>
              <w:start w:w="60" w:type="dxa"/>
              <w:bottom w:w="50" w:type="dxa"/>
              <w:end w:w="60" w:type="dxa"/>
            </w:tcMar>
          </w:tcPr>
          <w:p>
            <w:pPr>
              <w:spacing w:after="0"/>
            </w:pPr>
            <w:r>
              <w:rPr>
                <w:rFonts w:ascii="Aptos" w:hAnsi="Aptos"/>
                <w:sz w:val="14"/>
              </w:rPr>
              <w:t>Reviews schema ownership, migrations, RLS, classification, lineage, and data reversibility.</w:t>
            </w:r>
          </w:p>
        </w:tc>
      </w:tr>
      <w:tr>
        <w:trPr>
          <w:cantSplit/>
        </w:trPr>
        <w:tc>
          <w:tcPr>
            <w:tcW w:type="dxa" w:w="2736"/>
            <w:vAlign w:val="top"/>
            <w:tcMar>
              <w:top w:w="50" w:type="dxa"/>
              <w:start w:w="60" w:type="dxa"/>
              <w:bottom w:w="50" w:type="dxa"/>
              <w:end w:w="60" w:type="dxa"/>
            </w:tcMar>
          </w:tcPr>
          <w:p>
            <w:pPr>
              <w:spacing w:after="0"/>
            </w:pPr>
            <w:r>
              <w:rPr>
                <w:rFonts w:ascii="Aptos" w:hAnsi="Aptos"/>
                <w:sz w:val="14"/>
              </w:rPr>
              <w:t>Software Developer</w:t>
            </w:r>
          </w:p>
        </w:tc>
        <w:tc>
          <w:tcPr>
            <w:tcW w:type="dxa" w:w="1007"/>
            <w:vAlign w:val="top"/>
            <w:tcMar>
              <w:top w:w="50" w:type="dxa"/>
              <w:start w:w="60" w:type="dxa"/>
              <w:bottom w:w="50" w:type="dxa"/>
              <w:end w:w="60" w:type="dxa"/>
            </w:tcMar>
          </w:tcPr>
          <w:p>
            <w:pPr>
              <w:spacing w:after="0"/>
            </w:pPr>
            <w:r>
              <w:rPr>
                <w:rFonts w:ascii="Aptos" w:hAnsi="Aptos"/>
                <w:sz w:val="14"/>
              </w:rPr>
              <w:t>R</w:t>
            </w:r>
          </w:p>
        </w:tc>
        <w:tc>
          <w:tcPr>
            <w:tcW w:type="dxa" w:w="6768"/>
            <w:vAlign w:val="top"/>
            <w:tcMar>
              <w:top w:w="50" w:type="dxa"/>
              <w:start w:w="60" w:type="dxa"/>
              <w:bottom w:w="50" w:type="dxa"/>
              <w:end w:w="60" w:type="dxa"/>
            </w:tcMar>
          </w:tcPr>
          <w:p>
            <w:pPr>
              <w:spacing w:after="0"/>
            </w:pPr>
            <w:r>
              <w:rPr>
                <w:rFonts w:ascii="Aptos" w:hAnsi="Aptos"/>
                <w:sz w:val="14"/>
              </w:rPr>
              <w:t>Implements changes following AVCI, 01A, CLAUDE.md, Developer Guide, and test evidence requirements.</w:t>
            </w:r>
          </w:p>
        </w:tc>
      </w:tr>
      <w:tr>
        <w:trPr>
          <w:cantSplit/>
        </w:trPr>
        <w:tc>
          <w:tcPr>
            <w:tcW w:type="dxa" w:w="2736"/>
            <w:vAlign w:val="top"/>
            <w:tcMar>
              <w:top w:w="50" w:type="dxa"/>
              <w:start w:w="60" w:type="dxa"/>
              <w:bottom w:w="50" w:type="dxa"/>
              <w:end w:w="60" w:type="dxa"/>
            </w:tcMar>
          </w:tcPr>
          <w:p>
            <w:pPr>
              <w:spacing w:after="0"/>
            </w:pPr>
            <w:r>
              <w:rPr>
                <w:rFonts w:ascii="Aptos" w:hAnsi="Aptos"/>
                <w:sz w:val="14"/>
              </w:rPr>
              <w:t>Internal Audit / Compliance</w:t>
            </w:r>
          </w:p>
        </w:tc>
        <w:tc>
          <w:tcPr>
            <w:tcW w:type="dxa" w:w="1007"/>
            <w:vAlign w:val="top"/>
            <w:tcMar>
              <w:top w:w="50" w:type="dxa"/>
              <w:start w:w="60" w:type="dxa"/>
              <w:bottom w:w="50" w:type="dxa"/>
              <w:end w:w="60" w:type="dxa"/>
            </w:tcMar>
          </w:tcPr>
          <w:p>
            <w:pPr>
              <w:spacing w:after="0"/>
            </w:pPr>
            <w:r>
              <w:rPr>
                <w:rFonts w:ascii="Aptos" w:hAnsi="Aptos"/>
                <w:sz w:val="14"/>
              </w:rPr>
              <w:t>C/I</w:t>
            </w:r>
          </w:p>
        </w:tc>
        <w:tc>
          <w:tcPr>
            <w:tcW w:type="dxa" w:w="6768"/>
            <w:vAlign w:val="top"/>
            <w:tcMar>
              <w:top w:w="50" w:type="dxa"/>
              <w:start w:w="60" w:type="dxa"/>
              <w:bottom w:w="50" w:type="dxa"/>
              <w:end w:w="60" w:type="dxa"/>
            </w:tcMar>
          </w:tcPr>
          <w:p>
            <w:pPr>
              <w:spacing w:after="0"/>
            </w:pPr>
            <w:r>
              <w:rPr>
                <w:rFonts w:ascii="Aptos" w:hAnsi="Aptos"/>
                <w:sz w:val="14"/>
              </w:rPr>
              <w:t>Reviews evidence completeness, traceability, waiver controls, and compliance mapping.</w:t>
            </w:r>
          </w:p>
        </w:tc>
      </w:tr>
    </w:tbl>
    <w:p/>
    <w:p>
      <w:pPr>
        <w:pStyle w:val="Heading1"/>
        <w:keepNext/>
      </w:pPr>
      <w:r>
        <w:t>16. Pull Request / Merge Request Compliance Summary</w:t>
      </w:r>
    </w:p>
    <w:p>
      <w:pPr>
        <w:spacing w:after="80"/>
      </w:pPr>
      <w:r>
        <w:rPr>
          <w:rFonts w:ascii="Aptos" w:hAnsi="Aptos"/>
          <w:sz w:val="18"/>
        </w:rPr>
        <w:t>Every non-trivial PR/MR must include the following AVCI v3.0 compliance summary. The summary is evidence, not formality. Missing or superficial responses block merge.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3168"/>
            <w:shd w:fill="1F4E79"/>
            <w:tcMar>
              <w:top w:w="60" w:type="dxa"/>
              <w:start w:w="60" w:type="dxa"/>
              <w:bottom w:w="60" w:type="dxa"/>
              <w:end w:w="60" w:type="dxa"/>
            </w:tcMar>
          </w:tcPr>
          <w:p>
            <w:pPr>
              <w:spacing w:after="0"/>
              <w:jc w:val="center"/>
            </w:pPr>
            <w:r>
              <w:rPr>
                <w:rFonts w:ascii="Aptos" w:hAnsi="Aptos"/>
                <w:b/>
                <w:color w:val="FFFFFF"/>
                <w:sz w:val="14"/>
              </w:rPr>
              <w:t>Checklist Area</w:t>
            </w:r>
          </w:p>
        </w:tc>
        <w:tc>
          <w:tcPr>
            <w:tcW w:type="dxa" w:w="7343"/>
            <w:shd w:fill="1F4E79"/>
            <w:tcMar>
              <w:top w:w="60" w:type="dxa"/>
              <w:start w:w="60" w:type="dxa"/>
              <w:bottom w:w="60" w:type="dxa"/>
              <w:end w:w="60" w:type="dxa"/>
            </w:tcMar>
          </w:tcPr>
          <w:p>
            <w:pPr>
              <w:spacing w:after="0"/>
              <w:jc w:val="center"/>
            </w:pPr>
            <w:r>
              <w:rPr>
                <w:rFonts w:ascii="Aptos" w:hAnsi="Aptos"/>
                <w:b/>
                <w:color w:val="FFFFFF"/>
                <w:sz w:val="14"/>
              </w:rPr>
              <w:t>Required Response</w:t>
            </w:r>
          </w:p>
        </w:tc>
      </w:tr>
      <w:tr>
        <w:trPr>
          <w:cantSplit/>
        </w:trPr>
        <w:tc>
          <w:tcPr>
            <w:tcW w:type="dxa" w:w="3168"/>
            <w:vAlign w:val="top"/>
            <w:tcMar>
              <w:top w:w="50" w:type="dxa"/>
              <w:start w:w="60" w:type="dxa"/>
              <w:bottom w:w="50" w:type="dxa"/>
              <w:end w:w="60" w:type="dxa"/>
            </w:tcMar>
          </w:tcPr>
          <w:p>
            <w:pPr>
              <w:spacing w:after="0"/>
            </w:pPr>
            <w:r>
              <w:rPr>
                <w:rFonts w:ascii="Aptos" w:hAnsi="Aptos"/>
                <w:sz w:val="14"/>
              </w:rPr>
              <w:t>Attributable</w:t>
            </w:r>
          </w:p>
        </w:tc>
        <w:tc>
          <w:tcPr>
            <w:tcW w:type="dxa" w:w="7343"/>
            <w:vAlign w:val="top"/>
            <w:tcMar>
              <w:top w:w="50" w:type="dxa"/>
              <w:start w:w="60" w:type="dxa"/>
              <w:bottom w:w="50" w:type="dxa"/>
              <w:end w:w="60" w:type="dxa"/>
            </w:tcMar>
          </w:tcPr>
          <w:p>
            <w:pPr>
              <w:spacing w:after="0"/>
            </w:pPr>
            <w:r>
              <w:rPr>
                <w:rFonts w:ascii="Aptos" w:hAnsi="Aptos"/>
                <w:sz w:val="14"/>
              </w:rPr>
              <w:t>Ticket/ADR/TDL/source; accountable owner; AI tool/model involvement; reviewer.</w:t>
            </w:r>
          </w:p>
        </w:tc>
      </w:tr>
      <w:tr>
        <w:trPr>
          <w:cantSplit/>
        </w:trPr>
        <w:tc>
          <w:tcPr>
            <w:tcW w:type="dxa" w:w="3168"/>
            <w:vAlign w:val="top"/>
            <w:tcMar>
              <w:top w:w="50" w:type="dxa"/>
              <w:start w:w="60" w:type="dxa"/>
              <w:bottom w:w="50" w:type="dxa"/>
              <w:end w:w="60" w:type="dxa"/>
            </w:tcMar>
          </w:tcPr>
          <w:p>
            <w:pPr>
              <w:spacing w:after="0"/>
            </w:pPr>
            <w:r>
              <w:rPr>
                <w:rFonts w:ascii="Aptos" w:hAnsi="Aptos"/>
                <w:sz w:val="14"/>
              </w:rPr>
              <w:t>Verifiable</w:t>
            </w:r>
          </w:p>
        </w:tc>
        <w:tc>
          <w:tcPr>
            <w:tcW w:type="dxa" w:w="7343"/>
            <w:vAlign w:val="top"/>
            <w:tcMar>
              <w:top w:w="50" w:type="dxa"/>
              <w:start w:w="60" w:type="dxa"/>
              <w:bottom w:w="50" w:type="dxa"/>
              <w:end w:w="60" w:type="dxa"/>
            </w:tcMar>
          </w:tcPr>
          <w:p>
            <w:pPr>
              <w:spacing w:after="0"/>
            </w:pPr>
            <w:r>
              <w:rPr>
                <w:rFonts w:ascii="Aptos" w:hAnsi="Aptos"/>
                <w:sz w:val="14"/>
              </w:rPr>
              <w:t>Tests run, scans, policy checks, architecture fitness functions, contract checks, screenshots/evidence.</w:t>
            </w:r>
          </w:p>
        </w:tc>
      </w:tr>
      <w:tr>
        <w:trPr>
          <w:cantSplit/>
        </w:trPr>
        <w:tc>
          <w:tcPr>
            <w:tcW w:type="dxa" w:w="3168"/>
            <w:vAlign w:val="top"/>
            <w:tcMar>
              <w:top w:w="50" w:type="dxa"/>
              <w:start w:w="60" w:type="dxa"/>
              <w:bottom w:w="50" w:type="dxa"/>
              <w:end w:w="60" w:type="dxa"/>
            </w:tcMar>
          </w:tcPr>
          <w:p>
            <w:pPr>
              <w:spacing w:after="0"/>
            </w:pPr>
            <w:r>
              <w:rPr>
                <w:rFonts w:ascii="Aptos" w:hAnsi="Aptos"/>
                <w:sz w:val="14"/>
              </w:rPr>
              <w:t>Classifiable</w:t>
            </w:r>
          </w:p>
        </w:tc>
        <w:tc>
          <w:tcPr>
            <w:tcW w:type="dxa" w:w="7343"/>
            <w:vAlign w:val="top"/>
            <w:tcMar>
              <w:top w:w="50" w:type="dxa"/>
              <w:start w:w="60" w:type="dxa"/>
              <w:bottom w:w="50" w:type="dxa"/>
              <w:end w:w="60" w:type="dxa"/>
            </w:tcMar>
          </w:tcPr>
          <w:p>
            <w:pPr>
              <w:spacing w:after="0"/>
            </w:pPr>
            <w:r>
              <w:rPr>
                <w:rFonts w:ascii="Aptos" w:hAnsi="Aptos"/>
                <w:sz w:val="14"/>
              </w:rPr>
              <w:t>Data classification, affected domains, model routing eligibility, log/test/retention handling.</w:t>
            </w:r>
          </w:p>
        </w:tc>
      </w:tr>
      <w:tr>
        <w:trPr>
          <w:cantSplit/>
        </w:trPr>
        <w:tc>
          <w:tcPr>
            <w:tcW w:type="dxa" w:w="3168"/>
            <w:vAlign w:val="top"/>
            <w:tcMar>
              <w:top w:w="50" w:type="dxa"/>
              <w:start w:w="60" w:type="dxa"/>
              <w:bottom w:w="50" w:type="dxa"/>
              <w:end w:w="60" w:type="dxa"/>
            </w:tcMar>
          </w:tcPr>
          <w:p>
            <w:pPr>
              <w:spacing w:after="0"/>
            </w:pPr>
            <w:r>
              <w:rPr>
                <w:rFonts w:ascii="Aptos" w:hAnsi="Aptos"/>
                <w:sz w:val="14"/>
              </w:rPr>
              <w:t>Improvable</w:t>
            </w:r>
          </w:p>
        </w:tc>
        <w:tc>
          <w:tcPr>
            <w:tcW w:type="dxa" w:w="7343"/>
            <w:vAlign w:val="top"/>
            <w:tcMar>
              <w:top w:w="50" w:type="dxa"/>
              <w:start w:w="60" w:type="dxa"/>
              <w:bottom w:w="50" w:type="dxa"/>
              <w:end w:w="60" w:type="dxa"/>
            </w:tcMar>
          </w:tcPr>
          <w:p>
            <w:pPr>
              <w:spacing w:after="0"/>
            </w:pPr>
            <w:r>
              <w:rPr>
                <w:rFonts w:ascii="Aptos" w:hAnsi="Aptos"/>
                <w:sz w:val="14"/>
              </w:rPr>
              <w:t>Metric or feedback path; regression tracking; documentation/knowledge update; future refactoring item if needed.</w:t>
            </w:r>
          </w:p>
        </w:tc>
      </w:tr>
      <w:tr>
        <w:trPr>
          <w:cantSplit/>
        </w:trPr>
        <w:tc>
          <w:tcPr>
            <w:tcW w:type="dxa" w:w="3168"/>
            <w:vAlign w:val="top"/>
            <w:tcMar>
              <w:top w:w="50" w:type="dxa"/>
              <w:start w:w="60" w:type="dxa"/>
              <w:bottom w:w="50" w:type="dxa"/>
              <w:end w:w="60" w:type="dxa"/>
            </w:tcMar>
          </w:tcPr>
          <w:p>
            <w:pPr>
              <w:spacing w:after="0"/>
            </w:pPr>
            <w:r>
              <w:rPr>
                <w:rFonts w:ascii="Aptos" w:hAnsi="Aptos"/>
                <w:sz w:val="14"/>
              </w:rPr>
              <w:t>Design Principles Impact</w:t>
            </w:r>
          </w:p>
        </w:tc>
        <w:tc>
          <w:tcPr>
            <w:tcW w:type="dxa" w:w="7343"/>
            <w:vAlign w:val="top"/>
            <w:tcMar>
              <w:top w:w="50" w:type="dxa"/>
              <w:start w:w="60" w:type="dxa"/>
              <w:bottom w:w="50" w:type="dxa"/>
              <w:end w:w="60" w:type="dxa"/>
            </w:tcMar>
          </w:tcPr>
          <w:p>
            <w:pPr>
              <w:spacing w:after="0"/>
            </w:pPr>
            <w:r>
              <w:rPr>
                <w:rFonts w:ascii="Aptos" w:hAnsi="Aptos"/>
                <w:sz w:val="14"/>
              </w:rPr>
              <w:t>Affected EDP IDs; preserved/improved/weakened status; explanation and mitigation.</w:t>
            </w:r>
          </w:p>
        </w:tc>
      </w:tr>
      <w:tr>
        <w:trPr>
          <w:cantSplit/>
        </w:trPr>
        <w:tc>
          <w:tcPr>
            <w:tcW w:type="dxa" w:w="3168"/>
            <w:vAlign w:val="top"/>
            <w:tcMar>
              <w:top w:w="50" w:type="dxa"/>
              <w:start w:w="60" w:type="dxa"/>
              <w:bottom w:w="50" w:type="dxa"/>
              <w:end w:w="60" w:type="dxa"/>
            </w:tcMar>
          </w:tcPr>
          <w:p>
            <w:pPr>
              <w:spacing w:after="0"/>
            </w:pPr>
            <w:r>
              <w:rPr>
                <w:rFonts w:ascii="Aptos" w:hAnsi="Aptos"/>
                <w:sz w:val="14"/>
              </w:rPr>
              <w:t>Architecture Boundary Impact</w:t>
            </w:r>
          </w:p>
        </w:tc>
        <w:tc>
          <w:tcPr>
            <w:tcW w:type="dxa" w:w="7343"/>
            <w:vAlign w:val="top"/>
            <w:tcMar>
              <w:top w:w="50" w:type="dxa"/>
              <w:start w:w="60" w:type="dxa"/>
              <w:bottom w:w="50" w:type="dxa"/>
              <w:end w:w="60" w:type="dxa"/>
            </w:tcMar>
          </w:tcPr>
          <w:p>
            <w:pPr>
              <w:spacing w:after="0"/>
            </w:pPr>
            <w:r>
              <w:rPr>
                <w:rFonts w:ascii="Aptos" w:hAnsi="Aptos"/>
                <w:sz w:val="14"/>
              </w:rPr>
              <w:t>Affected bounded context, layer, port, adapter, schema, API/event contract, workflow, or AI route.</w:t>
            </w:r>
          </w:p>
        </w:tc>
      </w:tr>
      <w:tr>
        <w:trPr>
          <w:cantSplit/>
        </w:trPr>
        <w:tc>
          <w:tcPr>
            <w:tcW w:type="dxa" w:w="3168"/>
            <w:vAlign w:val="top"/>
            <w:tcMar>
              <w:top w:w="50" w:type="dxa"/>
              <w:start w:w="60" w:type="dxa"/>
              <w:bottom w:w="50" w:type="dxa"/>
              <w:end w:w="60" w:type="dxa"/>
            </w:tcMar>
          </w:tcPr>
          <w:p>
            <w:pPr>
              <w:spacing w:after="0"/>
            </w:pPr>
            <w:r>
              <w:rPr>
                <w:rFonts w:ascii="Aptos" w:hAnsi="Aptos"/>
                <w:sz w:val="14"/>
              </w:rPr>
              <w:t>Security and SBAC Impact</w:t>
            </w:r>
          </w:p>
        </w:tc>
        <w:tc>
          <w:tcPr>
            <w:tcW w:type="dxa" w:w="7343"/>
            <w:vAlign w:val="top"/>
            <w:tcMar>
              <w:top w:w="50" w:type="dxa"/>
              <w:start w:w="60" w:type="dxa"/>
              <w:bottom w:w="50" w:type="dxa"/>
              <w:end w:w="60" w:type="dxa"/>
            </w:tcMar>
          </w:tcPr>
          <w:p>
            <w:pPr>
              <w:spacing w:after="0"/>
            </w:pPr>
            <w:r>
              <w:rPr>
                <w:rFonts w:ascii="Aptos" w:hAnsi="Aptos"/>
                <w:sz w:val="14"/>
              </w:rPr>
              <w:t>Access, least privilege, separation of duties, secrets, policy, guardrail, and audit impact.</w:t>
            </w:r>
          </w:p>
        </w:tc>
      </w:tr>
      <w:tr>
        <w:trPr>
          <w:cantSplit/>
        </w:trPr>
        <w:tc>
          <w:tcPr>
            <w:tcW w:type="dxa" w:w="3168"/>
            <w:vAlign w:val="top"/>
            <w:tcMar>
              <w:top w:w="50" w:type="dxa"/>
              <w:start w:w="60" w:type="dxa"/>
              <w:bottom w:w="50" w:type="dxa"/>
              <w:end w:w="60" w:type="dxa"/>
            </w:tcMar>
          </w:tcPr>
          <w:p>
            <w:pPr>
              <w:spacing w:after="0"/>
            </w:pPr>
            <w:r>
              <w:rPr>
                <w:rFonts w:ascii="Aptos" w:hAnsi="Aptos"/>
                <w:sz w:val="14"/>
              </w:rPr>
              <w:t>Testability and Determinism</w:t>
            </w:r>
          </w:p>
        </w:tc>
        <w:tc>
          <w:tcPr>
            <w:tcW w:type="dxa" w:w="7343"/>
            <w:vAlign w:val="top"/>
            <w:tcMar>
              <w:top w:w="50" w:type="dxa"/>
              <w:start w:w="60" w:type="dxa"/>
              <w:bottom w:w="50" w:type="dxa"/>
              <w:end w:w="60" w:type="dxa"/>
            </w:tcMar>
          </w:tcPr>
          <w:p>
            <w:pPr>
              <w:spacing w:after="0"/>
            </w:pPr>
            <w:r>
              <w:rPr>
                <w:rFonts w:ascii="Aptos" w:hAnsi="Aptos"/>
                <w:sz w:val="14"/>
              </w:rPr>
              <w:t>New or changed deterministic tests; fixtures; mutation/coverage impact; non-determinism removed.</w:t>
            </w:r>
          </w:p>
        </w:tc>
      </w:tr>
      <w:tr>
        <w:trPr>
          <w:cantSplit/>
        </w:trPr>
        <w:tc>
          <w:tcPr>
            <w:tcW w:type="dxa" w:w="3168"/>
            <w:vAlign w:val="top"/>
            <w:tcMar>
              <w:top w:w="50" w:type="dxa"/>
              <w:start w:w="60" w:type="dxa"/>
              <w:bottom w:w="50" w:type="dxa"/>
              <w:end w:w="60" w:type="dxa"/>
            </w:tcMar>
          </w:tcPr>
          <w:p>
            <w:pPr>
              <w:spacing w:after="0"/>
            </w:pPr>
            <w:r>
              <w:rPr>
                <w:rFonts w:ascii="Aptos" w:hAnsi="Aptos"/>
                <w:sz w:val="14"/>
              </w:rPr>
              <w:t>Observability and Evidence</w:t>
            </w:r>
          </w:p>
        </w:tc>
        <w:tc>
          <w:tcPr>
            <w:tcW w:type="dxa" w:w="7343"/>
            <w:vAlign w:val="top"/>
            <w:tcMar>
              <w:top w:w="50" w:type="dxa"/>
              <w:start w:w="60" w:type="dxa"/>
              <w:bottom w:w="50" w:type="dxa"/>
              <w:end w:w="60" w:type="dxa"/>
            </w:tcMar>
          </w:tcPr>
          <w:p>
            <w:pPr>
              <w:spacing w:after="0"/>
            </w:pPr>
            <w:r>
              <w:rPr>
                <w:rFonts w:ascii="Aptos" w:hAnsi="Aptos"/>
                <w:sz w:val="14"/>
              </w:rPr>
              <w:t>Trace/log/metric/audit changes; evidence references; error taxonomy; SLO impact.</w:t>
            </w:r>
          </w:p>
        </w:tc>
      </w:tr>
      <w:tr>
        <w:trPr>
          <w:cantSplit/>
        </w:trPr>
        <w:tc>
          <w:tcPr>
            <w:tcW w:type="dxa" w:w="3168"/>
            <w:vAlign w:val="top"/>
            <w:tcMar>
              <w:top w:w="50" w:type="dxa"/>
              <w:start w:w="60" w:type="dxa"/>
              <w:bottom w:w="50" w:type="dxa"/>
              <w:end w:w="60" w:type="dxa"/>
            </w:tcMar>
          </w:tcPr>
          <w:p>
            <w:pPr>
              <w:spacing w:after="0"/>
            </w:pPr>
            <w:r>
              <w:rPr>
                <w:rFonts w:ascii="Aptos" w:hAnsi="Aptos"/>
                <w:sz w:val="14"/>
              </w:rPr>
              <w:t>Reversibility / Rollbackability</w:t>
            </w:r>
          </w:p>
        </w:tc>
        <w:tc>
          <w:tcPr>
            <w:tcW w:type="dxa" w:w="7343"/>
            <w:vAlign w:val="top"/>
            <w:tcMar>
              <w:top w:w="50" w:type="dxa"/>
              <w:start w:w="60" w:type="dxa"/>
              <w:bottom w:w="50" w:type="dxa"/>
              <w:end w:w="60" w:type="dxa"/>
            </w:tcMar>
          </w:tcPr>
          <w:p>
            <w:pPr>
              <w:spacing w:after="0"/>
            </w:pPr>
            <w:r>
              <w:rPr>
                <w:rFonts w:ascii="Aptos" w:hAnsi="Aptos"/>
                <w:sz w:val="14"/>
              </w:rPr>
              <w:t>Rollback, forward-fix, compensation, feature flag, cache invalidation, or safe disablement path.</w:t>
            </w:r>
          </w:p>
        </w:tc>
      </w:tr>
    </w:tbl>
    <w:p/>
    <w:p>
      <w:pPr>
        <w:pStyle w:val="Heading1"/>
        <w:keepNext/>
      </w:pPr>
      <w:r>
        <w:t>17. Waivers, Exceptions, and Non-Conformance</w:t>
      </w:r>
    </w:p>
    <w:p>
      <w:pPr>
        <w:spacing w:after="80"/>
      </w:pPr>
      <w:r>
        <w:rPr>
          <w:rFonts w:ascii="Aptos" w:hAnsi="Aptos"/>
          <w:sz w:val="18"/>
        </w:rPr>
        <w:t>Waivers are temporary controlled exceptions, not permission to weaken AIRA. Any waiver must identify the violated control, reason, risk owner, expiry date, compensating controls, evidence, and remediation path.</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1440"/>
            <w:shd w:fill="1F4E79"/>
            <w:tcMar>
              <w:top w:w="60" w:type="dxa"/>
              <w:start w:w="60" w:type="dxa"/>
              <w:bottom w:w="60" w:type="dxa"/>
              <w:end w:w="60" w:type="dxa"/>
            </w:tcMar>
          </w:tcPr>
          <w:p>
            <w:pPr>
              <w:spacing w:after="0"/>
              <w:jc w:val="center"/>
            </w:pPr>
            <w:r>
              <w:rPr>
                <w:rFonts w:ascii="Aptos" w:hAnsi="Aptos"/>
                <w:b/>
                <w:color w:val="FFFFFF"/>
                <w:sz w:val="14"/>
              </w:rPr>
              <w:t>Severity</w:t>
            </w:r>
          </w:p>
        </w:tc>
        <w:tc>
          <w:tcPr>
            <w:tcW w:type="dxa" w:w="4464"/>
            <w:shd w:fill="1F4E79"/>
            <w:tcMar>
              <w:top w:w="60" w:type="dxa"/>
              <w:start w:w="60" w:type="dxa"/>
              <w:bottom w:w="60" w:type="dxa"/>
              <w:end w:w="60" w:type="dxa"/>
            </w:tcMar>
          </w:tcPr>
          <w:p>
            <w:pPr>
              <w:spacing w:after="0"/>
              <w:jc w:val="center"/>
            </w:pPr>
            <w:r>
              <w:rPr>
                <w:rFonts w:ascii="Aptos" w:hAnsi="Aptos"/>
                <w:b/>
                <w:color w:val="FFFFFF"/>
                <w:sz w:val="14"/>
              </w:rPr>
              <w:t>Example</w:t>
            </w:r>
          </w:p>
        </w:tc>
        <w:tc>
          <w:tcPr>
            <w:tcW w:type="dxa" w:w="4608"/>
            <w:shd w:fill="1F4E79"/>
            <w:tcMar>
              <w:top w:w="60" w:type="dxa"/>
              <w:start w:w="60" w:type="dxa"/>
              <w:bottom w:w="60" w:type="dxa"/>
              <w:end w:w="60" w:type="dxa"/>
            </w:tcMar>
          </w:tcPr>
          <w:p>
            <w:pPr>
              <w:spacing w:after="0"/>
              <w:jc w:val="center"/>
            </w:pPr>
            <w:r>
              <w:rPr>
                <w:rFonts w:ascii="Aptos" w:hAnsi="Aptos"/>
                <w:b/>
                <w:color w:val="FFFFFF"/>
                <w:sz w:val="14"/>
              </w:rPr>
              <w:t>Required Treatment</w:t>
            </w:r>
          </w:p>
        </w:tc>
      </w:tr>
      <w:tr>
        <w:trPr>
          <w:cantSplit/>
        </w:trPr>
        <w:tc>
          <w:tcPr>
            <w:tcW w:type="dxa" w:w="1440"/>
            <w:vAlign w:val="top"/>
            <w:tcMar>
              <w:top w:w="50" w:type="dxa"/>
              <w:start w:w="60" w:type="dxa"/>
              <w:bottom w:w="50" w:type="dxa"/>
              <w:end w:w="60" w:type="dxa"/>
            </w:tcMar>
          </w:tcPr>
          <w:p>
            <w:pPr>
              <w:spacing w:after="0"/>
            </w:pPr>
            <w:r>
              <w:rPr>
                <w:rFonts w:ascii="Aptos" w:hAnsi="Aptos"/>
                <w:sz w:val="14"/>
              </w:rPr>
              <w:t>Low</w:t>
            </w:r>
          </w:p>
        </w:tc>
        <w:tc>
          <w:tcPr>
            <w:tcW w:type="dxa" w:w="4464"/>
            <w:vAlign w:val="top"/>
            <w:tcMar>
              <w:top w:w="50" w:type="dxa"/>
              <w:start w:w="60" w:type="dxa"/>
              <w:bottom w:w="50" w:type="dxa"/>
              <w:end w:w="60" w:type="dxa"/>
            </w:tcMar>
          </w:tcPr>
          <w:p>
            <w:pPr>
              <w:spacing w:after="0"/>
            </w:pPr>
            <w:r>
              <w:rPr>
                <w:rFonts w:ascii="Aptos" w:hAnsi="Aptos"/>
                <w:sz w:val="14"/>
              </w:rPr>
              <w:t>Documentation or non-production evidence gap</w:t>
            </w:r>
          </w:p>
        </w:tc>
        <w:tc>
          <w:tcPr>
            <w:tcW w:type="dxa" w:w="4608"/>
            <w:vAlign w:val="top"/>
            <w:tcMar>
              <w:top w:w="50" w:type="dxa"/>
              <w:start w:w="60" w:type="dxa"/>
              <w:bottom w:w="50" w:type="dxa"/>
              <w:end w:w="60" w:type="dxa"/>
            </w:tcMar>
          </w:tcPr>
          <w:p>
            <w:pPr>
              <w:spacing w:after="0"/>
            </w:pPr>
            <w:r>
              <w:rPr>
                <w:rFonts w:ascii="Aptos" w:hAnsi="Aptos"/>
                <w:sz w:val="14"/>
              </w:rPr>
              <w:t>Owner approval; remediation ticket; short expiry.</w:t>
            </w:r>
          </w:p>
        </w:tc>
      </w:tr>
      <w:tr>
        <w:trPr>
          <w:cantSplit/>
        </w:trPr>
        <w:tc>
          <w:tcPr>
            <w:tcW w:type="dxa" w:w="1440"/>
            <w:vAlign w:val="top"/>
            <w:tcMar>
              <w:top w:w="50" w:type="dxa"/>
              <w:start w:w="60" w:type="dxa"/>
              <w:bottom w:w="50" w:type="dxa"/>
              <w:end w:w="60" w:type="dxa"/>
            </w:tcMar>
          </w:tcPr>
          <w:p>
            <w:pPr>
              <w:spacing w:after="0"/>
            </w:pPr>
            <w:r>
              <w:rPr>
                <w:rFonts w:ascii="Aptos" w:hAnsi="Aptos"/>
                <w:sz w:val="14"/>
              </w:rPr>
              <w:t>Medium</w:t>
            </w:r>
          </w:p>
        </w:tc>
        <w:tc>
          <w:tcPr>
            <w:tcW w:type="dxa" w:w="4464"/>
            <w:vAlign w:val="top"/>
            <w:tcMar>
              <w:top w:w="50" w:type="dxa"/>
              <w:start w:w="60" w:type="dxa"/>
              <w:bottom w:w="50" w:type="dxa"/>
              <w:end w:w="60" w:type="dxa"/>
            </w:tcMar>
          </w:tcPr>
          <w:p>
            <w:pPr>
              <w:spacing w:after="0"/>
            </w:pPr>
            <w:r>
              <w:rPr>
                <w:rFonts w:ascii="Aptos" w:hAnsi="Aptos"/>
                <w:sz w:val="14"/>
              </w:rPr>
              <w:t>Test, observability, or maintainability gap</w:t>
            </w:r>
          </w:p>
        </w:tc>
        <w:tc>
          <w:tcPr>
            <w:tcW w:type="dxa" w:w="4608"/>
            <w:vAlign w:val="top"/>
            <w:tcMar>
              <w:top w:w="50" w:type="dxa"/>
              <w:start w:w="60" w:type="dxa"/>
              <w:bottom w:w="50" w:type="dxa"/>
              <w:end w:w="60" w:type="dxa"/>
            </w:tcMar>
          </w:tcPr>
          <w:p>
            <w:pPr>
              <w:spacing w:after="0"/>
            </w:pPr>
            <w:r>
              <w:rPr>
                <w:rFonts w:ascii="Aptos" w:hAnsi="Aptos"/>
                <w:sz w:val="14"/>
              </w:rPr>
              <w:t>Development Lead and QA approval; compensating control; target fix date.</w:t>
            </w:r>
          </w:p>
        </w:tc>
      </w:tr>
      <w:tr>
        <w:trPr>
          <w:cantSplit/>
        </w:trPr>
        <w:tc>
          <w:tcPr>
            <w:tcW w:type="dxa" w:w="1440"/>
            <w:vAlign w:val="top"/>
            <w:tcMar>
              <w:top w:w="50" w:type="dxa"/>
              <w:start w:w="60" w:type="dxa"/>
              <w:bottom w:w="50" w:type="dxa"/>
              <w:end w:w="60" w:type="dxa"/>
            </w:tcMar>
          </w:tcPr>
          <w:p>
            <w:pPr>
              <w:spacing w:after="0"/>
            </w:pPr>
            <w:r>
              <w:rPr>
                <w:rFonts w:ascii="Aptos" w:hAnsi="Aptos"/>
                <w:sz w:val="14"/>
              </w:rPr>
              <w:t>High</w:t>
            </w:r>
          </w:p>
        </w:tc>
        <w:tc>
          <w:tcPr>
            <w:tcW w:type="dxa" w:w="4464"/>
            <w:vAlign w:val="top"/>
            <w:tcMar>
              <w:top w:w="50" w:type="dxa"/>
              <w:start w:w="60" w:type="dxa"/>
              <w:bottom w:w="50" w:type="dxa"/>
              <w:end w:w="60" w:type="dxa"/>
            </w:tcMar>
          </w:tcPr>
          <w:p>
            <w:pPr>
              <w:spacing w:after="0"/>
            </w:pPr>
            <w:r>
              <w:rPr>
                <w:rFonts w:ascii="Aptos" w:hAnsi="Aptos"/>
                <w:sz w:val="14"/>
              </w:rPr>
              <w:t>Architecture boundary, security, classification, or rollback gap</w:t>
            </w:r>
          </w:p>
        </w:tc>
        <w:tc>
          <w:tcPr>
            <w:tcW w:type="dxa" w:w="4608"/>
            <w:vAlign w:val="top"/>
            <w:tcMar>
              <w:top w:w="50" w:type="dxa"/>
              <w:start w:w="60" w:type="dxa"/>
              <w:bottom w:w="50" w:type="dxa"/>
              <w:end w:w="60" w:type="dxa"/>
            </w:tcMar>
          </w:tcPr>
          <w:p>
            <w:pPr>
              <w:spacing w:after="0"/>
            </w:pPr>
            <w:r>
              <w:rPr>
                <w:rFonts w:ascii="Aptos" w:hAnsi="Aptos"/>
                <w:sz w:val="14"/>
              </w:rPr>
              <w:t>Architecture + Security + CAB approval; risk acceptance; active monitoring.</w:t>
            </w:r>
          </w:p>
        </w:tc>
      </w:tr>
      <w:tr>
        <w:trPr>
          <w:cantSplit/>
        </w:trPr>
        <w:tc>
          <w:tcPr>
            <w:tcW w:type="dxa" w:w="1440"/>
            <w:vAlign w:val="top"/>
            <w:tcMar>
              <w:top w:w="50" w:type="dxa"/>
              <w:start w:w="60" w:type="dxa"/>
              <w:bottom w:w="50" w:type="dxa"/>
              <w:end w:w="60" w:type="dxa"/>
            </w:tcMar>
          </w:tcPr>
          <w:p>
            <w:pPr>
              <w:spacing w:after="0"/>
            </w:pPr>
            <w:r>
              <w:rPr>
                <w:rFonts w:ascii="Aptos" w:hAnsi="Aptos"/>
                <w:sz w:val="14"/>
              </w:rPr>
              <w:t>Critical</w:t>
            </w:r>
          </w:p>
        </w:tc>
        <w:tc>
          <w:tcPr>
            <w:tcW w:type="dxa" w:w="4464"/>
            <w:vAlign w:val="top"/>
            <w:tcMar>
              <w:top w:w="50" w:type="dxa"/>
              <w:start w:w="60" w:type="dxa"/>
              <w:bottom w:w="50" w:type="dxa"/>
              <w:end w:w="60" w:type="dxa"/>
            </w:tcMar>
          </w:tcPr>
          <w:p>
            <w:pPr>
              <w:spacing w:after="0"/>
            </w:pPr>
            <w:r>
              <w:rPr>
                <w:rFonts w:ascii="Aptos" w:hAnsi="Aptos"/>
                <w:sz w:val="14"/>
              </w:rPr>
              <w:t>Fail-open, guardrail bypass, direct production mutation, secret exposure, AI override, or AVCI absence</w:t>
            </w:r>
          </w:p>
        </w:tc>
        <w:tc>
          <w:tcPr>
            <w:tcW w:type="dxa" w:w="4608"/>
            <w:vAlign w:val="top"/>
            <w:tcMar>
              <w:top w:w="50" w:type="dxa"/>
              <w:start w:w="60" w:type="dxa"/>
              <w:bottom w:w="50" w:type="dxa"/>
              <w:end w:w="60" w:type="dxa"/>
            </w:tcMar>
          </w:tcPr>
          <w:p>
            <w:pPr>
              <w:spacing w:after="0"/>
            </w:pPr>
            <w:r>
              <w:rPr>
                <w:rFonts w:ascii="Aptos" w:hAnsi="Aptos"/>
                <w:sz w:val="14"/>
              </w:rPr>
              <w:t>Rejected unless emergency break-glass; executive risk acceptance; post-action reconciliation.</w:t>
            </w:r>
          </w:p>
        </w:tc>
      </w:tr>
    </w:tbl>
    <w:p/>
    <w:p>
      <w:pPr>
        <w:pStyle w:val="Heading1"/>
        <w:keepNext/>
      </w:pPr>
      <w:r>
        <w:t>18. Compliance and Control Mapping</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3024"/>
            <w:shd w:fill="1F4E79"/>
            <w:tcMar>
              <w:top w:w="60" w:type="dxa"/>
              <w:start w:w="60" w:type="dxa"/>
              <w:bottom w:w="60" w:type="dxa"/>
              <w:end w:w="60" w:type="dxa"/>
            </w:tcMar>
          </w:tcPr>
          <w:p>
            <w:pPr>
              <w:spacing w:after="0"/>
              <w:jc w:val="center"/>
            </w:pPr>
            <w:r>
              <w:rPr>
                <w:rFonts w:ascii="Aptos" w:hAnsi="Aptos"/>
                <w:b/>
                <w:color w:val="FFFFFF"/>
                <w:sz w:val="14"/>
              </w:rPr>
              <w:t>Framework</w:t>
            </w:r>
          </w:p>
        </w:tc>
        <w:tc>
          <w:tcPr>
            <w:tcW w:type="dxa" w:w="7488"/>
            <w:shd w:fill="1F4E79"/>
            <w:tcMar>
              <w:top w:w="60" w:type="dxa"/>
              <w:start w:w="60" w:type="dxa"/>
              <w:bottom w:w="60" w:type="dxa"/>
              <w:end w:w="60" w:type="dxa"/>
            </w:tcMar>
          </w:tcPr>
          <w:p>
            <w:pPr>
              <w:spacing w:after="0"/>
              <w:jc w:val="center"/>
            </w:pPr>
            <w:r>
              <w:rPr>
                <w:rFonts w:ascii="Aptos" w:hAnsi="Aptos"/>
                <w:b/>
                <w:color w:val="FFFFFF"/>
                <w:sz w:val="14"/>
              </w:rPr>
              <w:t>AIRA Control Relationship</w:t>
            </w:r>
          </w:p>
        </w:tc>
      </w:tr>
      <w:tr>
        <w:trPr>
          <w:cantSplit/>
        </w:trPr>
        <w:tc>
          <w:tcPr>
            <w:tcW w:type="dxa" w:w="3024"/>
            <w:vAlign w:val="top"/>
            <w:tcMar>
              <w:top w:w="50" w:type="dxa"/>
              <w:start w:w="60" w:type="dxa"/>
              <w:bottom w:w="50" w:type="dxa"/>
              <w:end w:w="60" w:type="dxa"/>
            </w:tcMar>
          </w:tcPr>
          <w:p>
            <w:pPr>
              <w:spacing w:after="0"/>
            </w:pPr>
            <w:r>
              <w:rPr>
                <w:rFonts w:ascii="Aptos" w:hAnsi="Aptos"/>
                <w:sz w:val="14"/>
              </w:rPr>
              <w:t>ISO/IEC 27001:2022</w:t>
            </w:r>
          </w:p>
        </w:tc>
        <w:tc>
          <w:tcPr>
            <w:tcW w:type="dxa" w:w="7488"/>
            <w:vAlign w:val="top"/>
            <w:tcMar>
              <w:top w:w="50" w:type="dxa"/>
              <w:start w:w="60" w:type="dxa"/>
              <w:bottom w:w="50" w:type="dxa"/>
              <w:end w:w="60" w:type="dxa"/>
            </w:tcMar>
          </w:tcPr>
          <w:p>
            <w:pPr>
              <w:spacing w:after="0"/>
            </w:pPr>
            <w:r>
              <w:rPr>
                <w:rFonts w:ascii="Aptos" w:hAnsi="Aptos"/>
                <w:sz w:val="14"/>
              </w:rPr>
              <w:t>Security governance, access control, change control, logging, supplier/tool governance, evidence and continual improvement.</w:t>
            </w:r>
          </w:p>
        </w:tc>
      </w:tr>
      <w:tr>
        <w:trPr>
          <w:cantSplit/>
        </w:trPr>
        <w:tc>
          <w:tcPr>
            <w:tcW w:type="dxa" w:w="3024"/>
            <w:vAlign w:val="top"/>
            <w:tcMar>
              <w:top w:w="50" w:type="dxa"/>
              <w:start w:w="60" w:type="dxa"/>
              <w:bottom w:w="50" w:type="dxa"/>
              <w:end w:w="60" w:type="dxa"/>
            </w:tcMar>
          </w:tcPr>
          <w:p>
            <w:pPr>
              <w:spacing w:after="0"/>
            </w:pPr>
            <w:r>
              <w:rPr>
                <w:rFonts w:ascii="Aptos" w:hAnsi="Aptos"/>
                <w:sz w:val="14"/>
              </w:rPr>
              <w:t>ISO 9001 QMS</w:t>
            </w:r>
          </w:p>
        </w:tc>
        <w:tc>
          <w:tcPr>
            <w:tcW w:type="dxa" w:w="7488"/>
            <w:vAlign w:val="top"/>
            <w:tcMar>
              <w:top w:w="50" w:type="dxa"/>
              <w:start w:w="60" w:type="dxa"/>
              <w:bottom w:w="50" w:type="dxa"/>
              <w:end w:w="60" w:type="dxa"/>
            </w:tcMar>
          </w:tcPr>
          <w:p>
            <w:pPr>
              <w:spacing w:after="0"/>
            </w:pPr>
            <w:r>
              <w:rPr>
                <w:rFonts w:ascii="Aptos" w:hAnsi="Aptos"/>
                <w:sz w:val="14"/>
              </w:rPr>
              <w:t>Process discipline, documented procedures, quality evidence, corrective actions, and continuous improvement.</w:t>
            </w:r>
          </w:p>
        </w:tc>
      </w:tr>
      <w:tr>
        <w:trPr>
          <w:cantSplit/>
        </w:trPr>
        <w:tc>
          <w:tcPr>
            <w:tcW w:type="dxa" w:w="3024"/>
            <w:vAlign w:val="top"/>
            <w:tcMar>
              <w:top w:w="50" w:type="dxa"/>
              <w:start w:w="60" w:type="dxa"/>
              <w:bottom w:w="50" w:type="dxa"/>
              <w:end w:w="60" w:type="dxa"/>
            </w:tcMar>
          </w:tcPr>
          <w:p>
            <w:pPr>
              <w:spacing w:after="0"/>
            </w:pPr>
            <w:r>
              <w:rPr>
                <w:rFonts w:ascii="Aptos" w:hAnsi="Aptos"/>
                <w:sz w:val="14"/>
              </w:rPr>
              <w:t>CIS Controls v8.1</w:t>
            </w:r>
          </w:p>
        </w:tc>
        <w:tc>
          <w:tcPr>
            <w:tcW w:type="dxa" w:w="7488"/>
            <w:vAlign w:val="top"/>
            <w:tcMar>
              <w:top w:w="50" w:type="dxa"/>
              <w:start w:w="60" w:type="dxa"/>
              <w:bottom w:w="50" w:type="dxa"/>
              <w:end w:w="60" w:type="dxa"/>
            </w:tcMar>
          </w:tcPr>
          <w:p>
            <w:pPr>
              <w:spacing w:after="0"/>
            </w:pPr>
            <w:r>
              <w:rPr>
                <w:rFonts w:ascii="Aptos" w:hAnsi="Aptos"/>
                <w:sz w:val="14"/>
              </w:rPr>
              <w:t>Inventory, secure configuration, access control, audit logging, vulnerability management, and application security.</w:t>
            </w:r>
          </w:p>
        </w:tc>
      </w:tr>
      <w:tr>
        <w:trPr>
          <w:cantSplit/>
        </w:trPr>
        <w:tc>
          <w:tcPr>
            <w:tcW w:type="dxa" w:w="3024"/>
            <w:vAlign w:val="top"/>
            <w:tcMar>
              <w:top w:w="50" w:type="dxa"/>
              <w:start w:w="60" w:type="dxa"/>
              <w:bottom w:w="50" w:type="dxa"/>
              <w:end w:w="60" w:type="dxa"/>
            </w:tcMar>
          </w:tcPr>
          <w:p>
            <w:pPr>
              <w:spacing w:after="0"/>
            </w:pPr>
            <w:r>
              <w:rPr>
                <w:rFonts w:ascii="Aptos" w:hAnsi="Aptos"/>
                <w:sz w:val="14"/>
              </w:rPr>
              <w:t>NIST SSDF SP 800-218</w:t>
            </w:r>
          </w:p>
        </w:tc>
        <w:tc>
          <w:tcPr>
            <w:tcW w:type="dxa" w:w="7488"/>
            <w:vAlign w:val="top"/>
            <w:tcMar>
              <w:top w:w="50" w:type="dxa"/>
              <w:start w:w="60" w:type="dxa"/>
              <w:bottom w:w="50" w:type="dxa"/>
              <w:end w:w="60" w:type="dxa"/>
            </w:tcMar>
          </w:tcPr>
          <w:p>
            <w:pPr>
              <w:spacing w:after="0"/>
            </w:pPr>
            <w:r>
              <w:rPr>
                <w:rFonts w:ascii="Aptos" w:hAnsi="Aptos"/>
                <w:sz w:val="14"/>
              </w:rPr>
              <w:t>Secure software development practices, design review, dependency control, vulnerability response, and evidence.</w:t>
            </w:r>
          </w:p>
        </w:tc>
      </w:tr>
      <w:tr>
        <w:trPr>
          <w:cantSplit/>
        </w:trPr>
        <w:tc>
          <w:tcPr>
            <w:tcW w:type="dxa" w:w="3024"/>
            <w:vAlign w:val="top"/>
            <w:tcMar>
              <w:top w:w="50" w:type="dxa"/>
              <w:start w:w="60" w:type="dxa"/>
              <w:bottom w:w="50" w:type="dxa"/>
              <w:end w:w="60" w:type="dxa"/>
            </w:tcMar>
          </w:tcPr>
          <w:p>
            <w:pPr>
              <w:spacing w:after="0"/>
            </w:pPr>
            <w:r>
              <w:rPr>
                <w:rFonts w:ascii="Aptos" w:hAnsi="Aptos"/>
                <w:sz w:val="14"/>
              </w:rPr>
              <w:t>NIST AI RMF / AI 600-1</w:t>
            </w:r>
          </w:p>
        </w:tc>
        <w:tc>
          <w:tcPr>
            <w:tcW w:type="dxa" w:w="7488"/>
            <w:vAlign w:val="top"/>
            <w:tcMar>
              <w:top w:w="50" w:type="dxa"/>
              <w:start w:w="60" w:type="dxa"/>
              <w:bottom w:w="50" w:type="dxa"/>
              <w:end w:w="60" w:type="dxa"/>
            </w:tcMar>
          </w:tcPr>
          <w:p>
            <w:pPr>
              <w:spacing w:after="0"/>
            </w:pPr>
            <w:r>
              <w:rPr>
                <w:rFonts w:ascii="Aptos" w:hAnsi="Aptos"/>
                <w:sz w:val="14"/>
              </w:rPr>
              <w:t>AI governance, mapping, measurement, management, safety, transparency, and accountability.</w:t>
            </w:r>
          </w:p>
        </w:tc>
      </w:tr>
      <w:tr>
        <w:trPr>
          <w:cantSplit/>
        </w:trPr>
        <w:tc>
          <w:tcPr>
            <w:tcW w:type="dxa" w:w="3024"/>
            <w:vAlign w:val="top"/>
            <w:tcMar>
              <w:top w:w="50" w:type="dxa"/>
              <w:start w:w="60" w:type="dxa"/>
              <w:bottom w:w="50" w:type="dxa"/>
              <w:end w:w="60" w:type="dxa"/>
            </w:tcMar>
          </w:tcPr>
          <w:p>
            <w:pPr>
              <w:spacing w:after="0"/>
            </w:pPr>
            <w:r>
              <w:rPr>
                <w:rFonts w:ascii="Aptos" w:hAnsi="Aptos"/>
                <w:sz w:val="14"/>
              </w:rPr>
              <w:t>OWASP ASVS / SAMM</w:t>
            </w:r>
          </w:p>
        </w:tc>
        <w:tc>
          <w:tcPr>
            <w:tcW w:type="dxa" w:w="7488"/>
            <w:vAlign w:val="top"/>
            <w:tcMar>
              <w:top w:w="50" w:type="dxa"/>
              <w:start w:w="60" w:type="dxa"/>
              <w:bottom w:w="50" w:type="dxa"/>
              <w:end w:w="60" w:type="dxa"/>
            </w:tcMar>
          </w:tcPr>
          <w:p>
            <w:pPr>
              <w:spacing w:after="0"/>
            </w:pPr>
            <w:r>
              <w:rPr>
                <w:rFonts w:ascii="Aptos" w:hAnsi="Aptos"/>
                <w:sz w:val="14"/>
              </w:rPr>
              <w:t>Application security verification, secure architecture, testing, and maturity governance.</w:t>
            </w:r>
          </w:p>
        </w:tc>
      </w:tr>
      <w:tr>
        <w:trPr>
          <w:cantSplit/>
        </w:trPr>
        <w:tc>
          <w:tcPr>
            <w:tcW w:type="dxa" w:w="3024"/>
            <w:vAlign w:val="top"/>
            <w:tcMar>
              <w:top w:w="50" w:type="dxa"/>
              <w:start w:w="60" w:type="dxa"/>
              <w:bottom w:w="50" w:type="dxa"/>
              <w:end w:w="60" w:type="dxa"/>
            </w:tcMar>
          </w:tcPr>
          <w:p>
            <w:pPr>
              <w:spacing w:after="0"/>
            </w:pPr>
            <w:r>
              <w:rPr>
                <w:rFonts w:ascii="Aptos" w:hAnsi="Aptos"/>
                <w:sz w:val="14"/>
              </w:rPr>
              <w:t>SOC 2</w:t>
            </w:r>
          </w:p>
        </w:tc>
        <w:tc>
          <w:tcPr>
            <w:tcW w:type="dxa" w:w="7488"/>
            <w:vAlign w:val="top"/>
            <w:tcMar>
              <w:top w:w="50" w:type="dxa"/>
              <w:start w:w="60" w:type="dxa"/>
              <w:bottom w:w="50" w:type="dxa"/>
              <w:end w:w="60" w:type="dxa"/>
            </w:tcMar>
          </w:tcPr>
          <w:p>
            <w:pPr>
              <w:spacing w:after="0"/>
            </w:pPr>
            <w:r>
              <w:rPr>
                <w:rFonts w:ascii="Aptos" w:hAnsi="Aptos"/>
                <w:sz w:val="14"/>
              </w:rPr>
              <w:t>Security, availability, processing integrity, confidentiality, and audit evidence.</w:t>
            </w:r>
          </w:p>
        </w:tc>
      </w:tr>
      <w:tr>
        <w:trPr>
          <w:cantSplit/>
        </w:trPr>
        <w:tc>
          <w:tcPr>
            <w:tcW w:type="dxa" w:w="3024"/>
            <w:vAlign w:val="top"/>
            <w:tcMar>
              <w:top w:w="50" w:type="dxa"/>
              <w:start w:w="60" w:type="dxa"/>
              <w:bottom w:w="50" w:type="dxa"/>
              <w:end w:w="60" w:type="dxa"/>
            </w:tcMar>
          </w:tcPr>
          <w:p>
            <w:pPr>
              <w:spacing w:after="0"/>
            </w:pPr>
            <w:r>
              <w:rPr>
                <w:rFonts w:ascii="Aptos" w:hAnsi="Aptos"/>
                <w:sz w:val="14"/>
              </w:rPr>
              <w:t>SLSA Build Level 3 Target</w:t>
            </w:r>
          </w:p>
        </w:tc>
        <w:tc>
          <w:tcPr>
            <w:tcW w:type="dxa" w:w="7488"/>
            <w:vAlign w:val="top"/>
            <w:tcMar>
              <w:top w:w="50" w:type="dxa"/>
              <w:start w:w="60" w:type="dxa"/>
              <w:bottom w:w="50" w:type="dxa"/>
              <w:end w:w="60" w:type="dxa"/>
            </w:tcMar>
          </w:tcPr>
          <w:p>
            <w:pPr>
              <w:spacing w:after="0"/>
            </w:pPr>
            <w:r>
              <w:rPr>
                <w:rFonts w:ascii="Aptos" w:hAnsi="Aptos"/>
                <w:sz w:val="14"/>
              </w:rPr>
              <w:t>Build provenance, controlled source, isolated builds, artifact integrity, and supply-chain evidence.</w:t>
            </w:r>
          </w:p>
        </w:tc>
      </w:tr>
    </w:tbl>
    <w:p/>
    <w:p>
      <w:pPr>
        <w:pStyle w:val="Heading1"/>
        <w:keepNext/>
      </w:pPr>
      <w:r>
        <w:t>19. Implementation Roadmap and Acceptance Criteria</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1440"/>
            <w:shd w:fill="1F4E79"/>
            <w:tcMar>
              <w:top w:w="60" w:type="dxa"/>
              <w:start w:w="60" w:type="dxa"/>
              <w:bottom w:w="60" w:type="dxa"/>
              <w:end w:w="60" w:type="dxa"/>
            </w:tcMar>
          </w:tcPr>
          <w:p>
            <w:pPr>
              <w:spacing w:after="0"/>
              <w:jc w:val="center"/>
            </w:pPr>
            <w:r>
              <w:rPr>
                <w:rFonts w:ascii="Aptos" w:hAnsi="Aptos"/>
                <w:b/>
                <w:color w:val="FFFFFF"/>
                <w:sz w:val="14"/>
              </w:rPr>
              <w:t>Wave</w:t>
            </w:r>
          </w:p>
        </w:tc>
        <w:tc>
          <w:tcPr>
            <w:tcW w:type="dxa" w:w="3888"/>
            <w:shd w:fill="1F4E79"/>
            <w:tcMar>
              <w:top w:w="60" w:type="dxa"/>
              <w:start w:w="60" w:type="dxa"/>
              <w:bottom w:w="60" w:type="dxa"/>
              <w:end w:w="60" w:type="dxa"/>
            </w:tcMar>
          </w:tcPr>
          <w:p>
            <w:pPr>
              <w:spacing w:after="0"/>
              <w:jc w:val="center"/>
            </w:pPr>
            <w:r>
              <w:rPr>
                <w:rFonts w:ascii="Aptos" w:hAnsi="Aptos"/>
                <w:b/>
                <w:color w:val="FFFFFF"/>
                <w:sz w:val="14"/>
              </w:rPr>
              <w:t>Scope</w:t>
            </w:r>
          </w:p>
        </w:tc>
        <w:tc>
          <w:tcPr>
            <w:tcW w:type="dxa" w:w="5184"/>
            <w:shd w:fill="1F4E79"/>
            <w:tcMar>
              <w:top w:w="60" w:type="dxa"/>
              <w:start w:w="60" w:type="dxa"/>
              <w:bottom w:w="60" w:type="dxa"/>
              <w:end w:w="60" w:type="dxa"/>
            </w:tcMar>
          </w:tcPr>
          <w:p>
            <w:pPr>
              <w:spacing w:after="0"/>
              <w:jc w:val="center"/>
            </w:pPr>
            <w:r>
              <w:rPr>
                <w:rFonts w:ascii="Aptos" w:hAnsi="Aptos"/>
                <w:b/>
                <w:color w:val="FFFFFF"/>
                <w:sz w:val="14"/>
              </w:rPr>
              <w:t>Acceptance Criteria</w:t>
            </w:r>
          </w:p>
        </w:tc>
      </w:tr>
      <w:tr>
        <w:trPr>
          <w:cantSplit/>
        </w:trPr>
        <w:tc>
          <w:tcPr>
            <w:tcW w:type="dxa" w:w="1440"/>
            <w:vAlign w:val="top"/>
            <w:tcMar>
              <w:top w:w="50" w:type="dxa"/>
              <w:start w:w="60" w:type="dxa"/>
              <w:bottom w:w="50" w:type="dxa"/>
              <w:end w:w="60" w:type="dxa"/>
            </w:tcMar>
          </w:tcPr>
          <w:p>
            <w:pPr>
              <w:spacing w:after="0"/>
            </w:pPr>
            <w:r>
              <w:rPr>
                <w:rFonts w:ascii="Aptos" w:hAnsi="Aptos"/>
                <w:sz w:val="14"/>
              </w:rPr>
              <w:t>Wave 0</w:t>
            </w:r>
          </w:p>
        </w:tc>
        <w:tc>
          <w:tcPr>
            <w:tcW w:type="dxa" w:w="3888"/>
            <w:vAlign w:val="top"/>
            <w:tcMar>
              <w:top w:w="50" w:type="dxa"/>
              <w:start w:w="60" w:type="dxa"/>
              <w:bottom w:w="50" w:type="dxa"/>
              <w:end w:w="60" w:type="dxa"/>
            </w:tcMar>
          </w:tcPr>
          <w:p>
            <w:pPr>
              <w:spacing w:after="0"/>
            </w:pPr>
            <w:r>
              <w:rPr>
                <w:rFonts w:ascii="Aptos" w:hAnsi="Aptos"/>
                <w:sz w:val="14"/>
              </w:rPr>
              <w:t>Approve ADR and 01A</w:t>
            </w:r>
          </w:p>
        </w:tc>
        <w:tc>
          <w:tcPr>
            <w:tcW w:type="dxa" w:w="5184"/>
            <w:vAlign w:val="top"/>
            <w:tcMar>
              <w:top w:w="50" w:type="dxa"/>
              <w:start w:w="60" w:type="dxa"/>
              <w:bottom w:w="50" w:type="dxa"/>
              <w:end w:w="60" w:type="dxa"/>
            </w:tcMar>
          </w:tcPr>
          <w:p>
            <w:pPr>
              <w:spacing w:after="0"/>
            </w:pPr>
            <w:r>
              <w:rPr>
                <w:rFonts w:ascii="Aptos" w:hAnsi="Aptos"/>
                <w:sz w:val="14"/>
              </w:rPr>
              <w:t>ADR accepted; 01A approved as canonical companion; matrix baselined.</w:t>
            </w:r>
          </w:p>
        </w:tc>
      </w:tr>
      <w:tr>
        <w:trPr>
          <w:cantSplit/>
        </w:trPr>
        <w:tc>
          <w:tcPr>
            <w:tcW w:type="dxa" w:w="1440"/>
            <w:vAlign w:val="top"/>
            <w:tcMar>
              <w:top w:w="50" w:type="dxa"/>
              <w:start w:w="60" w:type="dxa"/>
              <w:bottom w:w="50" w:type="dxa"/>
              <w:end w:w="60" w:type="dxa"/>
            </w:tcMar>
          </w:tcPr>
          <w:p>
            <w:pPr>
              <w:spacing w:after="0"/>
            </w:pPr>
            <w:r>
              <w:rPr>
                <w:rFonts w:ascii="Aptos" w:hAnsi="Aptos"/>
                <w:sz w:val="14"/>
              </w:rPr>
              <w:t>Wave 1</w:t>
            </w:r>
          </w:p>
        </w:tc>
        <w:tc>
          <w:tcPr>
            <w:tcW w:type="dxa" w:w="3888"/>
            <w:vAlign w:val="top"/>
            <w:tcMar>
              <w:top w:w="50" w:type="dxa"/>
              <w:start w:w="60" w:type="dxa"/>
              <w:bottom w:w="50" w:type="dxa"/>
              <w:end w:w="60" w:type="dxa"/>
            </w:tcMar>
          </w:tcPr>
          <w:p>
            <w:pPr>
              <w:spacing w:after="0"/>
            </w:pPr>
            <w:r>
              <w:rPr>
                <w:rFonts w:ascii="Aptos" w:hAnsi="Aptos"/>
                <w:sz w:val="14"/>
              </w:rPr>
              <w:t>Revise 01 AVCI and 02 Engineering Blueprint</w:t>
            </w:r>
          </w:p>
        </w:tc>
        <w:tc>
          <w:tcPr>
            <w:tcW w:type="dxa" w:w="5184"/>
            <w:vAlign w:val="top"/>
            <w:tcMar>
              <w:top w:w="50" w:type="dxa"/>
              <w:start w:w="60" w:type="dxa"/>
              <w:bottom w:w="50" w:type="dxa"/>
              <w:end w:w="60" w:type="dxa"/>
            </w:tcMar>
          </w:tcPr>
          <w:p>
            <w:pPr>
              <w:spacing w:after="0"/>
            </w:pPr>
            <w:r>
              <w:rPr>
                <w:rFonts w:ascii="Aptos" w:hAnsi="Aptos"/>
                <w:sz w:val="14"/>
              </w:rPr>
              <w:t>Universal quality gate and architecture principles updated to v3/v5 baseline.</w:t>
            </w:r>
          </w:p>
        </w:tc>
      </w:tr>
      <w:tr>
        <w:trPr>
          <w:cantSplit/>
        </w:trPr>
        <w:tc>
          <w:tcPr>
            <w:tcW w:type="dxa" w:w="1440"/>
            <w:vAlign w:val="top"/>
            <w:tcMar>
              <w:top w:w="50" w:type="dxa"/>
              <w:start w:w="60" w:type="dxa"/>
              <w:bottom w:w="50" w:type="dxa"/>
              <w:end w:w="60" w:type="dxa"/>
            </w:tcMar>
          </w:tcPr>
          <w:p>
            <w:pPr>
              <w:spacing w:after="0"/>
            </w:pPr>
            <w:r>
              <w:rPr>
                <w:rFonts w:ascii="Aptos" w:hAnsi="Aptos"/>
                <w:sz w:val="14"/>
              </w:rPr>
              <w:t>Wave 2</w:t>
            </w:r>
          </w:p>
        </w:tc>
        <w:tc>
          <w:tcPr>
            <w:tcW w:type="dxa" w:w="3888"/>
            <w:vAlign w:val="top"/>
            <w:tcMar>
              <w:top w:w="50" w:type="dxa"/>
              <w:start w:w="60" w:type="dxa"/>
              <w:bottom w:w="50" w:type="dxa"/>
              <w:end w:w="60" w:type="dxa"/>
            </w:tcMar>
          </w:tcPr>
          <w:p>
            <w:pPr>
              <w:spacing w:after="0"/>
            </w:pPr>
            <w:r>
              <w:rPr>
                <w:rFonts w:ascii="Aptos" w:hAnsi="Aptos"/>
                <w:sz w:val="14"/>
              </w:rPr>
              <w:t>Revise Developer Guide, Unit Testing, CLAUDE.md, Rollout Pack</w:t>
            </w:r>
          </w:p>
        </w:tc>
        <w:tc>
          <w:tcPr>
            <w:tcW w:type="dxa" w:w="5184"/>
            <w:vAlign w:val="top"/>
            <w:tcMar>
              <w:top w:w="50" w:type="dxa"/>
              <w:start w:w="60" w:type="dxa"/>
              <w:bottom w:w="50" w:type="dxa"/>
              <w:end w:w="60" w:type="dxa"/>
            </w:tcMar>
          </w:tcPr>
          <w:p>
            <w:pPr>
              <w:spacing w:after="0"/>
            </w:pPr>
            <w:r>
              <w:rPr>
                <w:rFonts w:ascii="Aptos" w:hAnsi="Aptos"/>
                <w:sz w:val="14"/>
              </w:rPr>
              <w:t>Daily coding, TDD, AI repository rules, and CI hooks enforce 01A.</w:t>
            </w:r>
          </w:p>
        </w:tc>
      </w:tr>
      <w:tr>
        <w:trPr>
          <w:cantSplit/>
        </w:trPr>
        <w:tc>
          <w:tcPr>
            <w:tcW w:type="dxa" w:w="1440"/>
            <w:vAlign w:val="top"/>
            <w:tcMar>
              <w:top w:w="50" w:type="dxa"/>
              <w:start w:w="60" w:type="dxa"/>
              <w:bottom w:w="50" w:type="dxa"/>
              <w:end w:w="60" w:type="dxa"/>
            </w:tcMar>
          </w:tcPr>
          <w:p>
            <w:pPr>
              <w:spacing w:after="0"/>
            </w:pPr>
            <w:r>
              <w:rPr>
                <w:rFonts w:ascii="Aptos" w:hAnsi="Aptos"/>
                <w:sz w:val="14"/>
              </w:rPr>
              <w:t>Wave 3</w:t>
            </w:r>
          </w:p>
        </w:tc>
        <w:tc>
          <w:tcPr>
            <w:tcW w:type="dxa" w:w="3888"/>
            <w:vAlign w:val="top"/>
            <w:tcMar>
              <w:top w:w="50" w:type="dxa"/>
              <w:start w:w="60" w:type="dxa"/>
              <w:bottom w:w="50" w:type="dxa"/>
              <w:end w:w="60" w:type="dxa"/>
            </w:tcMar>
          </w:tcPr>
          <w:p>
            <w:pPr>
              <w:spacing w:after="0"/>
            </w:pPr>
            <w:r>
              <w:rPr>
                <w:rFonts w:ascii="Aptos" w:hAnsi="Aptos"/>
                <w:sz w:val="14"/>
              </w:rPr>
              <w:t>Revise MicroFunction family and DevSecOps Standard</w:t>
            </w:r>
          </w:p>
        </w:tc>
        <w:tc>
          <w:tcPr>
            <w:tcW w:type="dxa" w:w="5184"/>
            <w:vAlign w:val="top"/>
            <w:tcMar>
              <w:top w:w="50" w:type="dxa"/>
              <w:start w:w="60" w:type="dxa"/>
              <w:bottom w:w="50" w:type="dxa"/>
              <w:end w:w="60" w:type="dxa"/>
            </w:tcMar>
          </w:tcPr>
          <w:p>
            <w:pPr>
              <w:spacing w:after="0"/>
            </w:pPr>
            <w:r>
              <w:rPr>
                <w:rFonts w:ascii="Aptos" w:hAnsi="Aptos"/>
                <w:sz w:val="14"/>
              </w:rPr>
              <w:t>Runtime assembly, standard functions, error paths, AI loops, and pipelines include principle gates.</w:t>
            </w:r>
          </w:p>
        </w:tc>
      </w:tr>
      <w:tr>
        <w:trPr>
          <w:cantSplit/>
        </w:trPr>
        <w:tc>
          <w:tcPr>
            <w:tcW w:type="dxa" w:w="1440"/>
            <w:vAlign w:val="top"/>
            <w:tcMar>
              <w:top w:w="50" w:type="dxa"/>
              <w:start w:w="60" w:type="dxa"/>
              <w:bottom w:w="50" w:type="dxa"/>
              <w:end w:w="60" w:type="dxa"/>
            </w:tcMar>
          </w:tcPr>
          <w:p>
            <w:pPr>
              <w:spacing w:after="0"/>
            </w:pPr>
            <w:r>
              <w:rPr>
                <w:rFonts w:ascii="Aptos" w:hAnsi="Aptos"/>
                <w:sz w:val="14"/>
              </w:rPr>
              <w:t>Wave 4</w:t>
            </w:r>
          </w:p>
        </w:tc>
        <w:tc>
          <w:tcPr>
            <w:tcW w:type="dxa" w:w="3888"/>
            <w:vAlign w:val="top"/>
            <w:tcMar>
              <w:top w:w="50" w:type="dxa"/>
              <w:start w:w="60" w:type="dxa"/>
              <w:bottom w:w="50" w:type="dxa"/>
              <w:end w:w="60" w:type="dxa"/>
            </w:tcMar>
          </w:tcPr>
          <w:p>
            <w:pPr>
              <w:spacing w:after="0"/>
            </w:pPr>
            <w:r>
              <w:rPr>
                <w:rFonts w:ascii="Aptos" w:hAnsi="Aptos"/>
                <w:sz w:val="14"/>
              </w:rPr>
              <w:t>Revise specialist standards</w:t>
            </w:r>
          </w:p>
        </w:tc>
        <w:tc>
          <w:tcPr>
            <w:tcW w:type="dxa" w:w="5184"/>
            <w:vAlign w:val="top"/>
            <w:tcMar>
              <w:top w:w="50" w:type="dxa"/>
              <w:start w:w="60" w:type="dxa"/>
              <w:bottom w:w="50" w:type="dxa"/>
              <w:end w:w="60" w:type="dxa"/>
            </w:tcMar>
          </w:tcPr>
          <w:p>
            <w:pPr>
              <w:spacing w:after="0"/>
            </w:pPr>
            <w:r>
              <w:rPr>
                <w:rFonts w:ascii="Aptos" w:hAnsi="Aptos"/>
                <w:sz w:val="14"/>
              </w:rPr>
              <w:t>Technology, API, Database, Security, Knowledge, Skills, Greenfield, and Handoff documents aligned.</w:t>
            </w:r>
          </w:p>
        </w:tc>
      </w:tr>
      <w:tr>
        <w:trPr>
          <w:cantSplit/>
        </w:trPr>
        <w:tc>
          <w:tcPr>
            <w:tcW w:type="dxa" w:w="1440"/>
            <w:vAlign w:val="top"/>
            <w:tcMar>
              <w:top w:w="50" w:type="dxa"/>
              <w:start w:w="60" w:type="dxa"/>
              <w:bottom w:w="50" w:type="dxa"/>
              <w:end w:w="60" w:type="dxa"/>
            </w:tcMar>
          </w:tcPr>
          <w:p>
            <w:pPr>
              <w:spacing w:after="0"/>
            </w:pPr>
            <w:r>
              <w:rPr>
                <w:rFonts w:ascii="Aptos" w:hAnsi="Aptos"/>
                <w:sz w:val="14"/>
              </w:rPr>
              <w:t>Wave 5</w:t>
            </w:r>
          </w:p>
        </w:tc>
        <w:tc>
          <w:tcPr>
            <w:tcW w:type="dxa" w:w="3888"/>
            <w:vAlign w:val="top"/>
            <w:tcMar>
              <w:top w:w="50" w:type="dxa"/>
              <w:start w:w="60" w:type="dxa"/>
              <w:bottom w:w="50" w:type="dxa"/>
              <w:end w:w="60" w:type="dxa"/>
            </w:tcMar>
          </w:tcPr>
          <w:p>
            <w:pPr>
              <w:spacing w:after="0"/>
            </w:pPr>
            <w:r>
              <w:rPr>
                <w:rFonts w:ascii="Aptos" w:hAnsi="Aptos"/>
                <w:sz w:val="14"/>
              </w:rPr>
              <w:t>Operationalize enforcement</w:t>
            </w:r>
          </w:p>
        </w:tc>
        <w:tc>
          <w:tcPr>
            <w:tcW w:type="dxa" w:w="5184"/>
            <w:vAlign w:val="top"/>
            <w:tcMar>
              <w:top w:w="50" w:type="dxa"/>
              <w:start w:w="60" w:type="dxa"/>
              <w:bottom w:w="50" w:type="dxa"/>
              <w:end w:w="60" w:type="dxa"/>
            </w:tcMar>
          </w:tcPr>
          <w:p>
            <w:pPr>
              <w:spacing w:after="0"/>
            </w:pPr>
            <w:r>
              <w:rPr>
                <w:rFonts w:ascii="Aptos" w:hAnsi="Aptos"/>
                <w:sz w:val="14"/>
              </w:rPr>
              <w:t>CI/CD gates, pre-commit hooks, fitness functions, PR templates, dashboards, and audit evidence in use.</w:t>
            </w:r>
          </w:p>
        </w:tc>
      </w:tr>
    </w:tbl>
    <w:p/>
    <w:p>
      <w:pPr>
        <w:pStyle w:val="Heading1"/>
        <w:keepNext/>
      </w:pPr>
      <w:r>
        <w:t>20. Appendices</w:t>
      </w:r>
    </w:p>
    <w:p>
      <w:pPr>
        <w:pStyle w:val="Heading2"/>
        <w:keepNext/>
      </w:pPr>
      <w:r>
        <w:t>Appendix A - Universal AVCI Prompt v3.0</w:t>
      </w:r>
    </w:p>
    <w:tbl>
      <w:tblPr>
        <w:tblStyle w:val="TableGrid"/>
        <w:tblW w:type="auto" w:w="0"/>
        <w:jc w:val="center"/>
        <w:tblLook w:firstColumn="1" w:firstRow="1" w:lastColumn="0" w:lastRow="0" w:noHBand="0" w:noVBand="1" w:val="04A0"/>
      </w:tblPr>
      <w:tblGrid>
        <w:gridCol w:w="10368"/>
      </w:tblGrid>
      <w:tr>
        <w:tc>
          <w:tcPr>
            <w:tcW w:type="dxa" w:w="10368"/>
            <w:shd w:fill="EAF2F8"/>
            <w:tcMar>
              <w:top w:w="145" w:type="dxa"/>
              <w:start w:w="160" w:type="dxa"/>
              <w:bottom w:w="145" w:type="dxa"/>
              <w:end w:w="160" w:type="dxa"/>
            </w:tcMar>
          </w:tcPr>
          <w:p>
            <w:pPr>
              <w:spacing w:after="60"/>
            </w:pPr>
            <w:r>
              <w:rPr>
                <w:rFonts w:ascii="Aptos" w:hAnsi="Aptos"/>
                <w:b/>
                <w:color w:val="1F4E79"/>
                <w:sz w:val="19"/>
              </w:rPr>
              <w:t>Copy-Ready Prompt</w:t>
            </w:r>
          </w:p>
          <w:p>
            <w:pPr>
              <w:spacing w:after="0"/>
            </w:pPr>
            <w:r>
              <w:rPr>
                <w:rFonts w:ascii="Aptos" w:hAnsi="Aptos"/>
                <w:sz w:val="17"/>
              </w:rPr>
              <w:t>For any AIRA artifact, analyze it using AVCI and the Enterprise Design Principles &amp; SOLID Enforcement Layer. Identify owner/source/version, verification evidence, classification and handling rules, improvement path, affected EDP IDs, architecture boundary impact, security impact, testability impact, observability impact, reversibility impact, and required fitness-function evidence. If any control is missing, stale, conflicting, or unverifiable, mark the artifact as not production-ready and recommend a governed remediation path.</w:t>
            </w:r>
          </w:p>
        </w:tc>
      </w:tr>
    </w:tbl>
    <w:p/>
    <w:p>
      <w:pPr>
        <w:pStyle w:val="Heading2"/>
        <w:keepNext/>
      </w:pPr>
      <w:r>
        <w:t>Appendix B - Explicitly Rejected Patterns</w:t>
      </w:r>
    </w:p>
    <w:p>
      <w:pPr>
        <w:pStyle w:val="ListBullet"/>
        <w:spacing w:after="40"/>
      </w:pPr>
      <w:r>
        <w:rPr>
          <w:rFonts w:ascii="Aptos" w:hAnsi="Aptos"/>
          <w:sz w:val="18"/>
        </w:rPr>
        <w:t>Direct model provider SDK usage from application services, scripts, notebooks, or agents.</w:t>
      </w:r>
    </w:p>
    <w:p>
      <w:pPr>
        <w:pStyle w:val="ListBullet"/>
        <w:spacing w:after="40"/>
      </w:pPr>
      <w:r>
        <w:rPr>
          <w:rFonts w:ascii="Aptos" w:hAnsi="Aptos"/>
          <w:sz w:val="18"/>
        </w:rPr>
        <w:t>Guardrail bypass flags, policy bypass flags, fail-open defaults, or hidden emergency switches.</w:t>
      </w:r>
    </w:p>
    <w:p>
      <w:pPr>
        <w:pStyle w:val="ListBullet"/>
        <w:spacing w:after="40"/>
      </w:pPr>
      <w:r>
        <w:rPr>
          <w:rFonts w:ascii="Aptos" w:hAnsi="Aptos"/>
          <w:sz w:val="18"/>
        </w:rPr>
        <w:t>Direct database edits, manual production kubectl writes, click-ops configuration, or unmanaged runtime mutation.</w:t>
      </w:r>
    </w:p>
    <w:p>
      <w:pPr>
        <w:pStyle w:val="ListBullet"/>
        <w:spacing w:after="40"/>
      </w:pPr>
      <w:r>
        <w:rPr>
          <w:rFonts w:ascii="Aptos" w:hAnsi="Aptos"/>
          <w:sz w:val="18"/>
        </w:rPr>
        <w:t>Personal AI subscriptions for AIRA code, data, prompts, architecture, or Confidential/Restricted content.</w:t>
      </w:r>
    </w:p>
    <w:p>
      <w:pPr>
        <w:pStyle w:val="ListBullet"/>
        <w:spacing w:after="40"/>
      </w:pPr>
      <w:r>
        <w:rPr>
          <w:rFonts w:ascii="Aptos" w:hAnsi="Aptos"/>
          <w:sz w:val="18"/>
        </w:rPr>
        <w:t>Raw PII, credentials, secrets, production data, or customer document content in logs, prompts, tests, fixtures, screenshots, or evidence packs.</w:t>
      </w:r>
    </w:p>
    <w:p>
      <w:pPr>
        <w:pStyle w:val="ListBullet"/>
        <w:spacing w:after="40"/>
      </w:pPr>
      <w:r>
        <w:rPr>
          <w:rFonts w:ascii="Aptos" w:hAnsi="Aptos"/>
          <w:sz w:val="18"/>
        </w:rPr>
        <w:t>AI-generated code accepted only because it compiles while weakening SOLID, Clean Architecture, DDD boundaries, tests, observability, security, or rollbackability.</w:t>
      </w:r>
    </w:p>
    <w:p>
      <w:pPr>
        <w:pStyle w:val="Heading2"/>
        <w:keepNext/>
      </w:pPr>
      <w:r>
        <w:t>Appendix C - AVCI Compliance Summary</w:t>
      </w:r>
    </w:p>
    <w:p>
      <w:pPr>
        <w:spacing w:after="80"/>
      </w:pPr>
      <w:r>
        <w:rPr>
          <w:rFonts w:ascii="Aptos" w:hAnsi="Aptos"/>
          <w:sz w:val="18"/>
        </w:rPr>
        <w:t>This v3.0 standard is Attributable to the Solutions Architecture Office and is linked to ADR-AIRA-2026-001 and the Cross-Document Revision Control Matrix. It is Verifiable through document review, architecture-board approval, and subsequent CI/PR enforcement implementation. It is Classifiable as INTERNAL CONFIDENTIAL and applies to all AIRA artifacts. It is Improvable through quarterly review, incident feedback, architecture reconciliation items, and Auto-Learn / Auto-Improve governance loops.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Solutions Architecture Office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66666"/>
        <w:sz w:val="16"/>
      </w:rPr>
      <w:t>AIRA AVCI Engineering Standard v3.0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01-AIRA AVCI Engineering Standard v3.0</dc:title>
  <dc:subject>AVCI universal quality standard with Enterprise Design Principles and SOLID Enforcement Layer</dc:subject>
  <dc:creator>Solutions Architecture Office</dc:creator>
  <cp:keywords>AIRA, AVCI, SOLID, Clean Architecture, DDD, Auto-Heal, Auto-Learn, Auto-Improve, Fitness Functions</cp:keywords>
  <dc:description>Confidential internal standard generated for architecture review.</dc:description>
  <cp:lastModifiedBy/>
  <cp:revision>1</cp:revision>
  <dcterms:created xsi:type="dcterms:W3CDTF">2013-12-23T23:15:00Z</dcterms:created>
  <dcterms:modified xsi:type="dcterms:W3CDTF">2013-12-23T23:15:00Z</dcterms:modified>
  <cp:category/>
</cp:coreProperties>
</file>