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D"/>
          <w:sz w:val="44"/>
        </w:rPr>
        <w:t>AIRA</w:t>
      </w:r>
    </w:p>
    <w:p>
      <w:pPr>
        <w:jc w:val="center"/>
      </w:pPr>
      <w:r>
        <w:rPr>
          <w:b/>
          <w:color w:val="1F4E79"/>
          <w:sz w:val="22"/>
        </w:rPr>
        <w:t>AI-Native Enterprise Platform</w:t>
      </w:r>
    </w:p>
    <w:p/>
    <w:p>
      <w:pPr>
        <w:jc w:val="center"/>
      </w:pPr>
      <w:r>
        <w:rPr>
          <w:b/>
          <w:color w:val="0B1F4D"/>
          <w:sz w:val="48"/>
        </w:rPr>
        <w:t>Enterprise Design Principles &amp;</w:t>
        <w:br/>
        <w:t>SOLID Enforcement Layer</w:t>
        <w:br/>
        <w:t>Reference Library</w:t>
      </w:r>
    </w:p>
    <w:p>
      <w:pPr>
        <w:jc w:val="center"/>
      </w:pPr>
      <w:r>
        <w:rPr>
          <w:color w:val="44546A"/>
          <w:sz w:val="24"/>
        </w:rPr>
        <w:t>Principle Guidance · Reference Websites · AIRA Enforcement Notes</w:t>
      </w:r>
    </w:p>
    <w:p/>
    <w:tbl>
      <w:tblPr>
        <w:tblW w:type="auto" w:w="0"/>
        <w:jc w:val="center"/>
        <w:tblLayout w:type="autofit"/>
        <w:tblLook w:firstColumn="1" w:firstRow="1" w:lastColumn="0" w:lastRow="0" w:noHBand="0" w:noVBand="1" w:val="04A0"/>
        <w:tblBorders>
          <w:top w:val="single" w:sz="8" w:space="0" w:color="B7C6D9"/>
          <w:left w:val="single" w:sz="8" w:space="0" w:color="B7C6D9"/>
          <w:bottom w:val="single" w:sz="8" w:space="0" w:color="B7C6D9"/>
          <w:right w:val="single" w:sz="8" w:space="0" w:color="B7C6D9"/>
          <w:insideH w:val="single" w:sz="8" w:space="0" w:color="B7C6D9"/>
          <w:insideV w:val="single" w:sz="8" w:space="0" w:color="B7C6D9"/>
        </w:tblBorders>
      </w:tblPr>
      <w:tblGrid>
        <w:gridCol w:w="5184"/>
        <w:gridCol w:w="5184"/>
      </w:tblGrid>
      <w:tr>
        <w:tc>
          <w:tcPr>
            <w:tcW w:type="dxa" w:w="5184"/>
            <w:shd w:fill="D9EAF7"/>
            <w:vAlign w:val="center"/>
          </w:tcPr>
          <w:p>
            <w:r>
              <w:rPr>
                <w:sz w:val="18"/>
              </w:rPr>
              <w:t>Document ID</w:t>
            </w:r>
          </w:p>
        </w:tc>
        <w:tc>
          <w:tcPr>
            <w:tcW w:type="dxa" w:w="5184"/>
            <w:vAlign w:val="center"/>
          </w:tcPr>
          <w:p>
            <w:r>
              <w:rPr>
                <w:sz w:val="18"/>
              </w:rPr>
              <w:t>AIRA-DOC-028</w:t>
            </w:r>
          </w:p>
        </w:tc>
      </w:tr>
      <w:tr>
        <w:tc>
          <w:tcPr>
            <w:tcW w:type="dxa" w:w="5184"/>
            <w:shd w:fill="D9EAF7"/>
            <w:vAlign w:val="center"/>
          </w:tcPr>
          <w:p>
            <w:r>
              <w:rPr>
                <w:sz w:val="18"/>
              </w:rPr>
              <w:t>Version</w:t>
            </w:r>
          </w:p>
        </w:tc>
        <w:tc>
          <w:tcPr>
            <w:tcW w:type="dxa" w:w="5184"/>
            <w:vAlign w:val="center"/>
          </w:tcPr>
          <w:p>
            <w:r>
              <w:rPr>
                <w:sz w:val="18"/>
              </w:rPr>
              <w:t>v1.0 - Regenerated Improved Format</w:t>
            </w:r>
          </w:p>
        </w:tc>
      </w:tr>
      <w:tr>
        <w:tc>
          <w:tcPr>
            <w:tcW w:type="dxa" w:w="5184"/>
            <w:shd w:fill="D9EAF7"/>
            <w:vAlign w:val="center"/>
          </w:tcPr>
          <w:p>
            <w:r>
              <w:rPr>
                <w:sz w:val="18"/>
              </w:rPr>
              <w:t>Classification</w:t>
            </w:r>
          </w:p>
        </w:tc>
        <w:tc>
          <w:tcPr>
            <w:tcW w:type="dxa" w:w="5184"/>
            <w:vAlign w:val="center"/>
          </w:tcPr>
          <w:p>
            <w:r>
              <w:rPr>
                <w:sz w:val="18"/>
              </w:rPr>
              <w:t>INTERNAL CONFIDENTIAL</w:t>
            </w:r>
          </w:p>
        </w:tc>
      </w:tr>
      <w:tr>
        <w:tc>
          <w:tcPr>
            <w:tcW w:type="dxa" w:w="5184"/>
            <w:shd w:fill="D9EAF7"/>
            <w:vAlign w:val="center"/>
          </w:tcPr>
          <w:p>
            <w:r>
              <w:rPr>
                <w:sz w:val="18"/>
              </w:rPr>
              <w:t>Owner</w:t>
            </w:r>
          </w:p>
        </w:tc>
        <w:tc>
          <w:tcPr>
            <w:tcW w:type="dxa" w:w="5184"/>
            <w:vAlign w:val="center"/>
          </w:tcPr>
          <w:p>
            <w:r>
              <w:rPr>
                <w:sz w:val="18"/>
              </w:rPr>
              <w:t>Solutions Architecture Office / IT Head</w:t>
            </w:r>
          </w:p>
        </w:tc>
      </w:tr>
      <w:tr>
        <w:tc>
          <w:tcPr>
            <w:tcW w:type="dxa" w:w="5184"/>
            <w:shd w:fill="D9EAF7"/>
            <w:vAlign w:val="center"/>
          </w:tcPr>
          <w:p>
            <w:r>
              <w:rPr>
                <w:sz w:val="18"/>
              </w:rPr>
              <w:t>Evidence Path</w:t>
            </w:r>
          </w:p>
        </w:tc>
        <w:tc>
          <w:tcPr>
            <w:tcW w:type="dxa" w:w="5184"/>
            <w:vAlign w:val="center"/>
          </w:tcPr>
          <w:p>
            <w:r>
              <w:rPr>
                <w:sz w:val="18"/>
              </w:rPr>
              <w:t>OpenKM Tier-0 / AIRA / References / Enterprise-Design-Principles / v1.0</w:t>
            </w:r>
          </w:p>
        </w:tc>
      </w:tr>
    </w:tbl>
    <w:p/>
    <w:tbl>
      <w:tblPr>
        <w:tblW w:type="auto" w:w="0"/>
        <w:jc w:val="center"/>
        <w:tblLayout w:type="autofit"/>
        <w:tblLook w:firstColumn="1" w:firstRow="1" w:lastColumn="0" w:lastRow="0" w:noHBand="0" w:noVBand="1" w:val="04A0"/>
        <w:tblBorders>
          <w:top w:val="single" w:sz="12" w:space="0" w:color="1F4E79"/>
          <w:left w:val="single" w:sz="12" w:space="0" w:color="1F4E79"/>
          <w:bottom w:val="single" w:sz="12" w:space="0" w:color="1F4E79"/>
          <w:right w:val="single" w:sz="12" w:space="0" w:color="1F4E79"/>
          <w:insideH w:val="single" w:sz="12" w:space="0" w:color="1F4E79"/>
          <w:insideV w:val="single" w:sz="12" w:space="0" w:color="1F4E79"/>
        </w:tblBorders>
      </w:tblPr>
      <w:tblGrid>
        <w:gridCol w:w="10368"/>
      </w:tblGrid>
      <w:tr>
        <w:tc>
          <w:tcPr>
            <w:tcW w:type="dxa" w:w="10368"/>
            <w:shd w:fill="EAF2F8"/>
          </w:tcPr>
          <w:p>
            <w:r>
              <w:rPr>
                <w:b/>
                <w:color w:val="1F4E79"/>
                <w:sz w:val="20"/>
              </w:rPr>
              <w:t>Mandatory Use Statement</w:t>
            </w:r>
          </w:p>
          <w:p>
            <w:pPr>
              <w:pStyle w:val="BodyText"/>
            </w:pPr>
            <w:r>
              <w:t>This reference library is part of the AIRA engineering reference set. It consolidates the 20 principles used to govern design, code review, AI-assisted development, architecture fitness functions, Auto-Heal, Auto-Learn, Auto-Improve, and controlled Progressive Autonomy. Any design or remediation that weakens SOLID compliance, architecture boundaries, testability, security posture, observability, reversibility, or AVCI evidence must be rejected, reworked, or escalated as a formal waiver.</w:t>
            </w:r>
          </w:p>
        </w:tc>
      </w:tr>
    </w:tbl>
    <w:p>
      <w:pPr>
        <w:jc w:val="center"/>
      </w:pPr>
      <w:r>
        <w:rPr>
          <w:b/>
          <w:color w:val="0B1F4D"/>
        </w:rPr>
        <w:t>Discipline First · Automation Second · Intelligence Third · AVCI Always</w:t>
      </w:r>
    </w:p>
    <w:p>
      <w:r>
        <w:br w:type="page"/>
      </w:r>
    </w:p>
    <w:p>
      <w:pPr>
        <w:pStyle w:val="Heading1"/>
      </w:pPr>
      <w:r>
        <w:t>Table of Contents</w:t>
      </w:r>
    </w:p>
    <w:p>
      <w:r>
        <w:rPr>
          <w:i/>
        </w:rPr>
        <w:t>Update in Microsoft Word: References &gt; Table of Contents &gt; Update Table.</w:t>
      </w:r>
    </w:p>
    <w:p>
      <w:pPr>
        <w:pStyle w:val="ListBullet"/>
      </w:pPr>
      <w:r>
        <w:t>1. Document Control</w:t>
      </w:r>
    </w:p>
    <w:p>
      <w:pPr>
        <w:pStyle w:val="ListBullet"/>
      </w:pPr>
      <w:r>
        <w:t>2. Executive Summary</w:t>
      </w:r>
    </w:p>
    <w:p>
      <w:pPr>
        <w:pStyle w:val="ListBullet"/>
      </w:pPr>
      <w:r>
        <w:t>3. Principle Reference Map</w:t>
      </w:r>
    </w:p>
    <w:p>
      <w:pPr>
        <w:pStyle w:val="ListBullet"/>
      </w:pPr>
      <w:r>
        <w:t>4. Detailed Principle Guidelines</w:t>
      </w:r>
    </w:p>
    <w:p>
      <w:pPr>
        <w:pStyle w:val="ListBullet"/>
      </w:pPr>
      <w:r>
        <w:t>5. AIRA Enforcement Rules</w:t>
      </w:r>
    </w:p>
    <w:p>
      <w:pPr>
        <w:pStyle w:val="ListBullet"/>
      </w:pPr>
      <w:r>
        <w:t>6. Recommended Reference Maintenance Procedure</w:t>
      </w:r>
    </w:p>
    <w:p>
      <w:pPr>
        <w:pStyle w:val="ListBullet"/>
      </w:pPr>
      <w:r>
        <w:t>7. Appendix A. Quick Checklist</w:t>
      </w:r>
    </w:p>
    <w:p>
      <w:pPr>
        <w:pStyle w:val="ListBullet"/>
      </w:pPr>
      <w:r>
        <w:t>8. Appendix B. Website Reference Register</w:t>
      </w:r>
    </w:p>
    <w:p>
      <w:pPr>
        <w:pStyle w:val="ListBullet"/>
      </w:pPr>
      <w:r>
        <w:t>9. Appendix C. AVCI Compliance Summary</w:t>
      </w:r>
    </w:p>
    <w:p>
      <w:r>
        <w:br w:type="page"/>
      </w:r>
    </w:p>
    <w:p>
      <w:pPr>
        <w:pStyle w:val="Heading1"/>
      </w:pPr>
      <w:r>
        <w:t>1. Document Control</w:t>
      </w:r>
    </w:p>
    <w:tbl>
      <w:tblPr>
        <w:tblW w:type="auto" w:w="0"/>
        <w:jc w:val="center"/>
        <w:tblLayout w:type="autofit"/>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1F4E79"/>
          </w:tcPr>
          <w:p>
            <w:r>
              <w:rPr>
                <w:b/>
                <w:color w:val="FFFFFF"/>
              </w:rPr>
              <w:t>Property</w:t>
            </w:r>
          </w:p>
        </w:tc>
        <w:tc>
          <w:tcPr>
            <w:tcW w:type="dxa" w:w="5184"/>
            <w:shd w:fill="1F4E79"/>
          </w:tcPr>
          <w:p>
            <w:r>
              <w:rPr>
                <w:b/>
                <w:color w:val="FFFFFF"/>
              </w:rPr>
              <w:t>Value</w:t>
            </w:r>
          </w:p>
        </w:tc>
      </w:tr>
      <w:tr>
        <w:tc>
          <w:tcPr>
            <w:tcW w:type="dxa" w:w="5184"/>
            <w:shd w:fill="EAF2F8"/>
            <w:vAlign w:val="top"/>
          </w:tcPr>
          <w:p>
            <w:r>
              <w:rPr>
                <w:sz w:val="17"/>
              </w:rPr>
              <w:t>Document ID</w:t>
            </w:r>
          </w:p>
        </w:tc>
        <w:tc>
          <w:tcPr>
            <w:tcW w:type="dxa" w:w="5184"/>
            <w:vAlign w:val="top"/>
          </w:tcPr>
          <w:p>
            <w:r>
              <w:rPr>
                <w:sz w:val="17"/>
              </w:rPr>
              <w:t>AIRA-DOC-028</w:t>
            </w:r>
          </w:p>
        </w:tc>
      </w:tr>
      <w:tr>
        <w:tc>
          <w:tcPr>
            <w:tcW w:type="dxa" w:w="5184"/>
            <w:shd w:fill="EAF2F8"/>
            <w:vAlign w:val="top"/>
          </w:tcPr>
          <w:p>
            <w:r>
              <w:rPr>
                <w:sz w:val="17"/>
              </w:rPr>
              <w:t>Document Title</w:t>
            </w:r>
          </w:p>
        </w:tc>
        <w:tc>
          <w:tcPr>
            <w:tcW w:type="dxa" w:w="5184"/>
            <w:vAlign w:val="top"/>
          </w:tcPr>
          <w:p>
            <w:r>
              <w:rPr>
                <w:sz w:val="17"/>
              </w:rPr>
              <w:t>AIRA Enterprise Design Principles &amp; SOLID Enforcement Layer Reference Library</w:t>
            </w:r>
          </w:p>
        </w:tc>
      </w:tr>
      <w:tr>
        <w:tc>
          <w:tcPr>
            <w:tcW w:type="dxa" w:w="5184"/>
            <w:shd w:fill="EAF2F8"/>
            <w:vAlign w:val="top"/>
          </w:tcPr>
          <w:p>
            <w:r>
              <w:rPr>
                <w:sz w:val="17"/>
              </w:rPr>
              <w:t>Version</w:t>
            </w:r>
          </w:p>
        </w:tc>
        <w:tc>
          <w:tcPr>
            <w:tcW w:type="dxa" w:w="5184"/>
            <w:vAlign w:val="top"/>
          </w:tcPr>
          <w:p>
            <w:r>
              <w:rPr>
                <w:sz w:val="17"/>
              </w:rPr>
              <w:t>v1.0 - Regenerated Improved Format</w:t>
            </w:r>
          </w:p>
        </w:tc>
      </w:tr>
      <w:tr>
        <w:tc>
          <w:tcPr>
            <w:tcW w:type="dxa" w:w="5184"/>
            <w:shd w:fill="EAF2F8"/>
            <w:vAlign w:val="top"/>
          </w:tcPr>
          <w:p>
            <w:r>
              <w:rPr>
                <w:sz w:val="17"/>
              </w:rPr>
              <w:t>Classification</w:t>
            </w:r>
          </w:p>
        </w:tc>
        <w:tc>
          <w:tcPr>
            <w:tcW w:type="dxa" w:w="5184"/>
            <w:vAlign w:val="top"/>
          </w:tcPr>
          <w:p>
            <w:r>
              <w:rPr>
                <w:sz w:val="17"/>
              </w:rPr>
              <w:t>INTERNAL CONFIDENTIAL</w:t>
            </w:r>
          </w:p>
        </w:tc>
      </w:tr>
      <w:tr>
        <w:tc>
          <w:tcPr>
            <w:tcW w:type="dxa" w:w="5184"/>
            <w:shd w:fill="EAF2F8"/>
            <w:vAlign w:val="top"/>
          </w:tcPr>
          <w:p>
            <w:r>
              <w:rPr>
                <w:sz w:val="17"/>
              </w:rPr>
              <w:t>Status</w:t>
            </w:r>
          </w:p>
        </w:tc>
        <w:tc>
          <w:tcPr>
            <w:tcW w:type="dxa" w:w="5184"/>
            <w:vAlign w:val="top"/>
          </w:tcPr>
          <w:p>
            <w:r>
              <w:rPr>
                <w:sz w:val="17"/>
              </w:rPr>
              <w:t>FOR ARCHITECTURE REVIEW BOARD / DEVELOPMENT ADOPTION</w:t>
            </w:r>
          </w:p>
        </w:tc>
      </w:tr>
      <w:tr>
        <w:tc>
          <w:tcPr>
            <w:tcW w:type="dxa" w:w="5184"/>
            <w:shd w:fill="EAF2F8"/>
            <w:vAlign w:val="top"/>
          </w:tcPr>
          <w:p>
            <w:r>
              <w:rPr>
                <w:sz w:val="17"/>
              </w:rPr>
              <w:t>Owner</w:t>
            </w:r>
          </w:p>
        </w:tc>
        <w:tc>
          <w:tcPr>
            <w:tcW w:type="dxa" w:w="5184"/>
            <w:vAlign w:val="top"/>
          </w:tcPr>
          <w:p>
            <w:r>
              <w:rPr>
                <w:sz w:val="17"/>
              </w:rPr>
              <w:t>Solutions Architecture Office / IT Head</w:t>
            </w:r>
          </w:p>
        </w:tc>
      </w:tr>
      <w:tr>
        <w:tc>
          <w:tcPr>
            <w:tcW w:type="dxa" w:w="5184"/>
            <w:shd w:fill="EAF2F8"/>
            <w:vAlign w:val="top"/>
          </w:tcPr>
          <w:p>
            <w:r>
              <w:rPr>
                <w:sz w:val="17"/>
              </w:rPr>
              <w:t>Primary Audience</w:t>
            </w:r>
          </w:p>
        </w:tc>
        <w:tc>
          <w:tcPr>
            <w:tcW w:type="dxa" w:w="5184"/>
            <w:vAlign w:val="top"/>
          </w:tcPr>
          <w:p>
            <w:r>
              <w:rPr>
                <w:sz w:val="17"/>
              </w:rPr>
              <w:t>Solutions Architect, Software Developers, QA/SDET, DevSecOps, Security Administrator, DBA, AI Engineers, Internal Audit</w:t>
            </w:r>
          </w:p>
        </w:tc>
      </w:tr>
      <w:tr>
        <w:tc>
          <w:tcPr>
            <w:tcW w:type="dxa" w:w="5184"/>
            <w:shd w:fill="EAF2F8"/>
            <w:vAlign w:val="top"/>
          </w:tcPr>
          <w:p>
            <w:r>
              <w:rPr>
                <w:sz w:val="17"/>
              </w:rPr>
              <w:t>Purpose</w:t>
            </w:r>
          </w:p>
        </w:tc>
        <w:tc>
          <w:tcPr>
            <w:tcW w:type="dxa" w:w="5184"/>
            <w:vAlign w:val="top"/>
          </w:tcPr>
          <w:p>
            <w:r>
              <w:rPr>
                <w:sz w:val="17"/>
              </w:rPr>
              <w:t>Consolidate reference links, principle guidance, and AIRA enforcement expectations for the 20 Enterprise Design Principles and SOLID Enforcement Layer.</w:t>
            </w:r>
          </w:p>
        </w:tc>
      </w:tr>
      <w:tr>
        <w:tc>
          <w:tcPr>
            <w:tcW w:type="dxa" w:w="5184"/>
            <w:shd w:fill="EAF2F8"/>
            <w:vAlign w:val="top"/>
          </w:tcPr>
          <w:p>
            <w:r>
              <w:rPr>
                <w:sz w:val="17"/>
              </w:rPr>
              <w:t>Review Cadence</w:t>
            </w:r>
          </w:p>
        </w:tc>
        <w:tc>
          <w:tcPr>
            <w:tcW w:type="dxa" w:w="5184"/>
            <w:vAlign w:val="top"/>
          </w:tcPr>
          <w:p>
            <w:r>
              <w:rPr>
                <w:sz w:val="17"/>
              </w:rPr>
              <w:t>Quarterly; unscheduled on material architecture, security, AI governance, compliance, or technology-stack change.</w:t>
            </w:r>
          </w:p>
        </w:tc>
      </w:tr>
      <w:tr>
        <w:tc>
          <w:tcPr>
            <w:tcW w:type="dxa" w:w="5184"/>
            <w:shd w:fill="EAF2F8"/>
            <w:vAlign w:val="top"/>
          </w:tcPr>
          <w:p>
            <w:r>
              <w:rPr>
                <w:sz w:val="17"/>
              </w:rPr>
              <w:t>Companion Documents</w:t>
            </w:r>
          </w:p>
        </w:tc>
        <w:tc>
          <w:tcPr>
            <w:tcW w:type="dxa" w:w="5184"/>
            <w:vAlign w:val="top"/>
          </w:tcPr>
          <w:p>
            <w:r>
              <w:rPr>
                <w:sz w:val="17"/>
              </w:rPr>
              <w:t>AIRA AVCI Engineering Standard; Enterprise Design Principles &amp; SOLID Enforcement Layer; Engineering Blueprint; Developer Guide; Unit Testing Standard; DevSecOps Standard; MicroFunction Framework; Security Standard; Architecture Fitness Function Catalog.</w:t>
            </w:r>
          </w:p>
        </w:tc>
      </w:tr>
      <w:tr>
        <w:tc>
          <w:tcPr>
            <w:tcW w:type="dxa" w:w="5184"/>
            <w:shd w:fill="EAF2F8"/>
            <w:vAlign w:val="top"/>
          </w:tcPr>
          <w:p>
            <w:r>
              <w:rPr>
                <w:sz w:val="17"/>
              </w:rPr>
              <w:t>Evidence Path</w:t>
            </w:r>
          </w:p>
        </w:tc>
        <w:tc>
          <w:tcPr>
            <w:tcW w:type="dxa" w:w="5184"/>
            <w:vAlign w:val="top"/>
          </w:tcPr>
          <w:p>
            <w:r>
              <w:rPr>
                <w:sz w:val="17"/>
              </w:rPr>
              <w:t>OpenKM Tier-0 / AIRA / References / Enterprise-Design-Principles / v1.0</w:t>
            </w:r>
          </w:p>
        </w:tc>
      </w:tr>
    </w:tbl>
    <w:p>
      <w:pPr>
        <w:pStyle w:val="Heading2"/>
      </w:pPr>
      <w:r>
        <w:t>1.1 Mandatory Practice Statement</w:t>
      </w:r>
    </w:p>
    <w:tbl>
      <w:tblPr>
        <w:tblW w:type="auto" w:w="0"/>
        <w:jc w:val="center"/>
        <w:tblLayout w:type="autofit"/>
        <w:tblLook w:firstColumn="1" w:firstRow="1" w:lastColumn="0" w:lastRow="0" w:noHBand="0" w:noVBand="1" w:val="04A0"/>
        <w:tblBorders>
          <w:top w:val="single" w:sz="12" w:space="0" w:color="B45F06"/>
          <w:left w:val="single" w:sz="12" w:space="0" w:color="B45F06"/>
          <w:bottom w:val="single" w:sz="12" w:space="0" w:color="B45F06"/>
          <w:right w:val="single" w:sz="12" w:space="0" w:color="B45F06"/>
          <w:insideH w:val="single" w:sz="12" w:space="0" w:color="B45F06"/>
          <w:insideV w:val="single" w:sz="12" w:space="0" w:color="B45F06"/>
        </w:tblBorders>
      </w:tblPr>
      <w:tblGrid>
        <w:gridCol w:w="10368"/>
      </w:tblGrid>
      <w:tr>
        <w:tc>
          <w:tcPr>
            <w:tcW w:type="dxa" w:w="10368"/>
            <w:shd w:fill="FFF2CC"/>
          </w:tcPr>
          <w:p>
            <w:r>
              <w:rPr>
                <w:b/>
                <w:color w:val="B45F06"/>
                <w:sz w:val="20"/>
              </w:rPr>
              <w:t>Enterprise Enforcement Rule</w:t>
            </w:r>
          </w:p>
          <w:p>
            <w:pPr>
              <w:pStyle w:val="BodyText"/>
            </w:pPr>
            <w:r>
              <w:t>Auto-Heal, Auto-Learn, and Auto-Improve must not only fix, learn, or improve. They must preserve or improve SOLID compliance, architecture boundaries, testability, security posture, observability, reversibility, and AVCI evidence. Any candidate that weakens these controls must be rejected, reworked, or escalated as a formally approved waiver.</w:t>
            </w:r>
          </w:p>
        </w:tc>
      </w:tr>
    </w:tbl>
    <w:p>
      <w:pPr>
        <w:pStyle w:val="Heading1"/>
      </w:pPr>
      <w:r>
        <w:t>2. Executive Summary</w:t>
      </w:r>
    </w:p>
    <w:p>
      <w:pPr>
        <w:pStyle w:val="BodyText"/>
      </w:pPr>
      <w:r>
        <w:t>This reference library consolidates the core enterprise engineering principles that AIRA will use as design constraints, review criteria, CI/CD gates, AI-agent boundaries, and continuous-improvement controls.</w:t>
      </w:r>
    </w:p>
    <w:p>
      <w:pPr>
        <w:pStyle w:val="BodyText"/>
      </w:pPr>
      <w:r>
        <w:t>It is designed as a companion reference to the AIRA AVCI Engineering Standard, Engineering Blueprint, Developer Guide, Unit Testing Standard, DevSecOps Standard, MicroFunction Framework, Security Standard, and Architecture Fitness Function Catalog.</w:t>
      </w:r>
    </w:p>
    <w:p>
      <w:pPr>
        <w:pStyle w:val="BodyText"/>
      </w:pPr>
      <w:r>
        <w:t>Each principle includes intent, implementation guidelines, AIRA enforcement notes, and website links that developers and reviewers can use during design, code review, onboarding, architecture review, and controlled Auto-Heal / Auto-Learn / Auto-Improve activities.</w:t>
      </w:r>
    </w:p>
    <w:p>
      <w:pPr>
        <w:pStyle w:val="Heading2"/>
      </w:pPr>
      <w:r>
        <w:t>2.1 Strategic Outcomes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1F4E79"/>
          </w:tcPr>
          <w:p>
            <w:r>
              <w:rPr>
                <w:b/>
                <w:color w:val="FFFFFF"/>
              </w:rPr>
              <w:t>Outcome</w:t>
            </w:r>
          </w:p>
        </w:tc>
        <w:tc>
          <w:tcPr>
            <w:tcW w:type="dxa" w:w="5184"/>
            <w:shd w:fill="1F4E79"/>
          </w:tcPr>
          <w:p>
            <w:r>
              <w:rPr>
                <w:b/>
                <w:color w:val="FFFFFF"/>
              </w:rPr>
              <w:t>Required Result</w:t>
            </w:r>
          </w:p>
        </w:tc>
      </w:tr>
      <w:tr>
        <w:tc>
          <w:tcPr>
            <w:tcW w:type="dxa" w:w="5184"/>
            <w:shd w:fill="EAF2F8"/>
          </w:tcPr>
          <w:p>
            <w:r>
              <w:t>Consistent design vocabulary</w:t>
            </w:r>
          </w:p>
        </w:tc>
        <w:tc>
          <w:tcPr>
            <w:tcW w:type="dxa" w:w="5184"/>
          </w:tcPr>
          <w:p>
            <w:r>
              <w:t>All teams use the same principle definitions, guidelines, and references during architecture and implementation.</w:t>
            </w:r>
          </w:p>
        </w:tc>
      </w:tr>
      <w:tr>
        <w:tc>
          <w:tcPr>
            <w:tcW w:type="dxa" w:w="5184"/>
            <w:shd w:fill="EAF2F8"/>
          </w:tcPr>
          <w:p>
            <w:r>
              <w:t>Reviewable engineering evidence</w:t>
            </w:r>
          </w:p>
        </w:tc>
        <w:tc>
          <w:tcPr>
            <w:tcW w:type="dxa" w:w="5184"/>
          </w:tcPr>
          <w:p>
            <w:r>
              <w:t>PR/MR and architecture reviews cite principle IDs and linked references rather than relying on preference or opinion.</w:t>
            </w:r>
          </w:p>
        </w:tc>
      </w:tr>
      <w:tr>
        <w:tc>
          <w:tcPr>
            <w:tcW w:type="dxa" w:w="5184"/>
            <w:shd w:fill="EAF2F8"/>
          </w:tcPr>
          <w:p>
            <w:r>
              <w:t>AI-safe improvement loops</w:t>
            </w:r>
          </w:p>
        </w:tc>
        <w:tc>
          <w:tcPr>
            <w:tcW w:type="dxa" w:w="5184"/>
          </w:tcPr>
          <w:p>
            <w:r>
              <w:t>Auto-Heal, Auto-Learn, and Auto-Improve are constrained by SOLID, boundaries, tests, security, observability, rollback, and AVCI.</w:t>
            </w:r>
          </w:p>
        </w:tc>
      </w:tr>
      <w:tr>
        <w:tc>
          <w:tcPr>
            <w:tcW w:type="dxa" w:w="5184"/>
            <w:shd w:fill="EAF2F8"/>
          </w:tcPr>
          <w:p>
            <w:r>
              <w:t>Developer onboarding support</w:t>
            </w:r>
          </w:p>
        </w:tc>
        <w:tc>
          <w:tcPr>
            <w:tcW w:type="dxa" w:w="5184"/>
          </w:tcPr>
          <w:p>
            <w:r>
              <w:t>New team members receive a concise, curated, source-linked reference pack for daily use.</w:t>
            </w:r>
          </w:p>
        </w:tc>
      </w:tr>
      <w:tr>
        <w:tc>
          <w:tcPr>
            <w:tcW w:type="dxa" w:w="5184"/>
            <w:shd w:fill="EAF2F8"/>
          </w:tcPr>
          <w:p>
            <w:r>
              <w:t>Audit and compliance readiness</w:t>
            </w:r>
          </w:p>
        </w:tc>
        <w:tc>
          <w:tcPr>
            <w:tcW w:type="dxa" w:w="5184"/>
          </w:tcPr>
          <w:p>
            <w:r>
              <w:t>Principle compliance is mapped to evidence, policy-as-code, testability, secure-by-design, and governance expectations.</w:t>
            </w:r>
          </w:p>
        </w:tc>
      </w:tr>
    </w:tbl>
    <w:p>
      <w:pPr>
        <w:pStyle w:val="Heading1"/>
      </w:pPr>
      <w:r>
        <w:t>3. Principle Reference Map</w:t>
      </w:r>
    </w:p>
    <w:p>
      <w:pPr>
        <w:pStyle w:val="BodyText"/>
      </w:pPr>
      <w:r>
        <w:t>The reference map below is the quick navigation table for design reviews, code reviews, architecture fitness checks, and AI-assisted development guardrails.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2074"/>
        <w:gridCol w:w="2074"/>
        <w:gridCol w:w="2074"/>
        <w:gridCol w:w="2074"/>
        <w:gridCol w:w="2074"/>
      </w:tblGrid>
      <w:tr>
        <w:tc>
          <w:tcPr>
            <w:tcW w:type="dxa" w:w="2074"/>
            <w:shd w:fill="1F4E79"/>
          </w:tcPr>
          <w:p>
            <w:r>
              <w:rPr>
                <w:b/>
                <w:color w:val="FFFFFF"/>
              </w:rPr>
              <w:t>ID</w:t>
            </w:r>
          </w:p>
        </w:tc>
        <w:tc>
          <w:tcPr>
            <w:tcW w:type="dxa" w:w="2074"/>
            <w:shd w:fill="1F4E79"/>
          </w:tcPr>
          <w:p>
            <w:r>
              <w:rPr>
                <w:b/>
                <w:color w:val="FFFFFF"/>
              </w:rPr>
              <w:t>Principle</w:t>
            </w:r>
          </w:p>
        </w:tc>
        <w:tc>
          <w:tcPr>
            <w:tcW w:type="dxa" w:w="2074"/>
            <w:shd w:fill="1F4E79"/>
          </w:tcPr>
          <w:p>
            <w:r>
              <w:rPr>
                <w:b/>
                <w:color w:val="FFFFFF"/>
              </w:rPr>
              <w:t>Category</w:t>
            </w:r>
          </w:p>
        </w:tc>
        <w:tc>
          <w:tcPr>
            <w:tcW w:type="dxa" w:w="2074"/>
            <w:shd w:fill="1F4E79"/>
          </w:tcPr>
          <w:p>
            <w:r>
              <w:rPr>
                <w:b/>
                <w:color w:val="FFFFFF"/>
              </w:rPr>
              <w:t>Core Use in AIRA</w:t>
            </w:r>
          </w:p>
        </w:tc>
        <w:tc>
          <w:tcPr>
            <w:tcW w:type="dxa" w:w="2074"/>
            <w:shd w:fill="1F4E79"/>
          </w:tcPr>
          <w:p>
            <w:r>
              <w:rPr>
                <w:b/>
                <w:color w:val="FFFFFF"/>
              </w:rPr>
              <w:t>Primary References</w:t>
            </w:r>
          </w:p>
        </w:tc>
      </w:tr>
      <w:tr>
        <w:tc>
          <w:tcPr>
            <w:tcW w:type="dxa" w:w="2074"/>
            <w:vAlign w:val="top"/>
            <w:shd w:fill="EAF2F8"/>
          </w:tcPr>
          <w:p>
            <w:pPr>
              <w:spacing w:after="0"/>
            </w:pPr>
            <w:r>
              <w:rPr>
                <w:sz w:val="15"/>
              </w:rPr>
              <w:t>P01</w:t>
            </w:r>
          </w:p>
        </w:tc>
        <w:tc>
          <w:tcPr>
            <w:tcW w:type="dxa" w:w="2074"/>
            <w:vAlign w:val="top"/>
          </w:tcPr>
          <w:p>
            <w:pPr>
              <w:spacing w:after="0"/>
            </w:pPr>
            <w:r>
              <w:rPr>
                <w:sz w:val="15"/>
              </w:rPr>
              <w:t>SOLID</w:t>
            </w:r>
          </w:p>
        </w:tc>
        <w:tc>
          <w:tcPr>
            <w:tcW w:type="dxa" w:w="2074"/>
            <w:vAlign w:val="top"/>
          </w:tcPr>
          <w:p>
            <w:pPr>
              <w:spacing w:after="0"/>
            </w:pPr>
            <w:r>
              <w:rPr>
                <w:sz w:val="15"/>
              </w:rPr>
              <w:t>Code design</w:t>
            </w:r>
          </w:p>
        </w:tc>
        <w:tc>
          <w:tcPr>
            <w:tcW w:type="dxa" w:w="2074"/>
            <w:vAlign w:val="top"/>
          </w:tcPr>
          <w:p>
            <w:pPr>
              <w:spacing w:after="0"/>
            </w:pPr>
            <w:r>
              <w:rPr>
                <w:sz w:val="15"/>
              </w:rPr>
              <w:t>Keep object-oriented and service code cohesive, replaceable, extensible, and dependency-managed.</w:t>
            </w:r>
          </w:p>
        </w:tc>
        <w:tc>
          <w:tcPr>
            <w:tcW w:type="dxa" w:w="2074"/>
            <w:vAlign w:val="top"/>
          </w:tcPr>
          <w:p>
            <w:pPr>
              <w:spacing w:after="0"/>
            </w:pPr>
            <w:hyperlink r:id="rId11">
              <w:r>
                <w:rPr>
                  <w:color w:val="0563C1"/>
                  <w:u w:val="single"/>
                </w:rPr>
                <w:t>Robert C. Martin - Design Principles and Design Patterns</w:t>
              </w:r>
            </w:hyperlink>
            <w:r>
              <w:rPr>
                <w:sz w:val="15"/>
              </w:rPr>
              <w:t xml:space="preserve">; </w:t>
            </w:r>
            <w:hyperlink r:id="rId12">
              <w:r>
                <w:rPr>
                  <w:color w:val="0563C1"/>
                  <w:u w:val="single"/>
                </w:rPr>
                <w:t>SOLID overview - DigitalOcean</w:t>
              </w:r>
            </w:hyperlink>
          </w:p>
        </w:tc>
      </w:tr>
      <w:tr>
        <w:tc>
          <w:tcPr>
            <w:tcW w:type="dxa" w:w="2074"/>
            <w:vAlign w:val="top"/>
            <w:shd w:fill="EAF2F8"/>
          </w:tcPr>
          <w:p>
            <w:pPr>
              <w:spacing w:after="0"/>
            </w:pPr>
            <w:r>
              <w:rPr>
                <w:sz w:val="15"/>
              </w:rPr>
              <w:t>P02</w:t>
            </w:r>
          </w:p>
        </w:tc>
        <w:tc>
          <w:tcPr>
            <w:tcW w:type="dxa" w:w="2074"/>
            <w:vAlign w:val="top"/>
          </w:tcPr>
          <w:p>
            <w:pPr>
              <w:spacing w:after="0"/>
            </w:pPr>
            <w:r>
              <w:rPr>
                <w:sz w:val="15"/>
              </w:rPr>
              <w:t>Clean Architecture</w:t>
            </w:r>
          </w:p>
        </w:tc>
        <w:tc>
          <w:tcPr>
            <w:tcW w:type="dxa" w:w="2074"/>
            <w:vAlign w:val="top"/>
          </w:tcPr>
          <w:p>
            <w:pPr>
              <w:spacing w:after="0"/>
            </w:pPr>
            <w:r>
              <w:rPr>
                <w:sz w:val="15"/>
              </w:rPr>
              <w:t>Architecture</w:t>
            </w:r>
          </w:p>
        </w:tc>
        <w:tc>
          <w:tcPr>
            <w:tcW w:type="dxa" w:w="2074"/>
            <w:vAlign w:val="top"/>
          </w:tcPr>
          <w:p>
            <w:pPr>
              <w:spacing w:after="0"/>
            </w:pPr>
            <w:r>
              <w:rPr>
                <w:sz w:val="15"/>
              </w:rPr>
              <w:t>Protect business rules from UI, frameworks, databases, model providers, and operational tools.</w:t>
            </w:r>
          </w:p>
        </w:tc>
        <w:tc>
          <w:tcPr>
            <w:tcW w:type="dxa" w:w="2074"/>
            <w:vAlign w:val="top"/>
          </w:tcPr>
          <w:p>
            <w:pPr>
              <w:spacing w:after="0"/>
            </w:pPr>
            <w:hyperlink r:id="rId13">
              <w:r>
                <w:rPr>
                  <w:color w:val="0563C1"/>
                  <w:u w:val="single"/>
                </w:rPr>
                <w:t>Clean Architecture - Clean Coder Blog</w:t>
              </w:r>
            </w:hyperlink>
          </w:p>
        </w:tc>
      </w:tr>
      <w:tr>
        <w:tc>
          <w:tcPr>
            <w:tcW w:type="dxa" w:w="2074"/>
            <w:vAlign w:val="top"/>
            <w:shd w:fill="EAF2F8"/>
          </w:tcPr>
          <w:p>
            <w:pPr>
              <w:spacing w:after="0"/>
            </w:pPr>
            <w:r>
              <w:rPr>
                <w:sz w:val="15"/>
              </w:rPr>
              <w:t>P03</w:t>
            </w:r>
          </w:p>
        </w:tc>
        <w:tc>
          <w:tcPr>
            <w:tcW w:type="dxa" w:w="2074"/>
            <w:vAlign w:val="top"/>
          </w:tcPr>
          <w:p>
            <w:pPr>
              <w:spacing w:after="0"/>
            </w:pPr>
            <w:r>
              <w:rPr>
                <w:sz w:val="15"/>
              </w:rPr>
              <w:t>DDD / Bounded Contexts</w:t>
            </w:r>
          </w:p>
        </w:tc>
        <w:tc>
          <w:tcPr>
            <w:tcW w:type="dxa" w:w="2074"/>
            <w:vAlign w:val="top"/>
          </w:tcPr>
          <w:p>
            <w:pPr>
              <w:spacing w:after="0"/>
            </w:pPr>
            <w:r>
              <w:rPr>
                <w:sz w:val="15"/>
              </w:rPr>
              <w:t>Domain architecture</w:t>
            </w:r>
          </w:p>
        </w:tc>
        <w:tc>
          <w:tcPr>
            <w:tcW w:type="dxa" w:w="2074"/>
            <w:vAlign w:val="top"/>
          </w:tcPr>
          <w:p>
            <w:pPr>
              <w:spacing w:after="0"/>
            </w:pPr>
            <w:r>
              <w:rPr>
                <w:sz w:val="15"/>
              </w:rPr>
              <w:t>Model the business by explicit contexts with their own language, rules, data ownership, APIs, and events.</w:t>
            </w:r>
          </w:p>
        </w:tc>
        <w:tc>
          <w:tcPr>
            <w:tcW w:type="dxa" w:w="2074"/>
            <w:vAlign w:val="top"/>
          </w:tcPr>
          <w:p>
            <w:pPr>
              <w:spacing w:after="0"/>
            </w:pPr>
            <w:hyperlink r:id="rId14">
              <w:r>
                <w:rPr>
                  <w:color w:val="0563C1"/>
                  <w:u w:val="single"/>
                </w:rPr>
                <w:t>Domain-Driven Design - Martin Fowler</w:t>
              </w:r>
            </w:hyperlink>
            <w:r>
              <w:rPr>
                <w:sz w:val="15"/>
              </w:rPr>
              <w:t xml:space="preserve">; </w:t>
            </w:r>
            <w:hyperlink r:id="rId15">
              <w:r>
                <w:rPr>
                  <w:color w:val="0563C1"/>
                  <w:u w:val="single"/>
                </w:rPr>
                <w:t>Bounded Context - Martin Fowler</w:t>
              </w:r>
            </w:hyperlink>
          </w:p>
        </w:tc>
      </w:tr>
      <w:tr>
        <w:tc>
          <w:tcPr>
            <w:tcW w:type="dxa" w:w="2074"/>
            <w:vAlign w:val="top"/>
            <w:shd w:fill="EAF2F8"/>
          </w:tcPr>
          <w:p>
            <w:pPr>
              <w:spacing w:after="0"/>
            </w:pPr>
            <w:r>
              <w:rPr>
                <w:sz w:val="15"/>
              </w:rPr>
              <w:t>P04</w:t>
            </w:r>
          </w:p>
        </w:tc>
        <w:tc>
          <w:tcPr>
            <w:tcW w:type="dxa" w:w="2074"/>
            <w:vAlign w:val="top"/>
          </w:tcPr>
          <w:p>
            <w:pPr>
              <w:spacing w:after="0"/>
            </w:pPr>
            <w:r>
              <w:rPr>
                <w:sz w:val="15"/>
              </w:rPr>
              <w:t>Ports and Adapters</w:t>
            </w:r>
          </w:p>
        </w:tc>
        <w:tc>
          <w:tcPr>
            <w:tcW w:type="dxa" w:w="2074"/>
            <w:vAlign w:val="top"/>
          </w:tcPr>
          <w:p>
            <w:pPr>
              <w:spacing w:after="0"/>
            </w:pPr>
            <w:r>
              <w:rPr>
                <w:sz w:val="15"/>
              </w:rPr>
              <w:t>Architecture pattern</w:t>
            </w:r>
          </w:p>
        </w:tc>
        <w:tc>
          <w:tcPr>
            <w:tcW w:type="dxa" w:w="2074"/>
            <w:vAlign w:val="top"/>
          </w:tcPr>
          <w:p>
            <w:pPr>
              <w:spacing w:after="0"/>
            </w:pPr>
            <w:r>
              <w:rPr>
                <w:sz w:val="15"/>
              </w:rPr>
              <w:t>Keep the application core independent from delivery channels and external dependencies.</w:t>
            </w:r>
          </w:p>
        </w:tc>
        <w:tc>
          <w:tcPr>
            <w:tcW w:type="dxa" w:w="2074"/>
            <w:vAlign w:val="top"/>
          </w:tcPr>
          <w:p>
            <w:pPr>
              <w:spacing w:after="0"/>
            </w:pPr>
            <w:hyperlink r:id="rId16">
              <w:r>
                <w:rPr>
                  <w:color w:val="0563C1"/>
                  <w:u w:val="single"/>
                </w:rPr>
                <w:t>Hexagonal Architecture - Alistair Cockburn</w:t>
              </w:r>
            </w:hyperlink>
          </w:p>
        </w:tc>
      </w:tr>
      <w:tr>
        <w:tc>
          <w:tcPr>
            <w:tcW w:type="dxa" w:w="2074"/>
            <w:vAlign w:val="top"/>
            <w:shd w:fill="EAF2F8"/>
          </w:tcPr>
          <w:p>
            <w:pPr>
              <w:spacing w:after="0"/>
            </w:pPr>
            <w:r>
              <w:rPr>
                <w:sz w:val="15"/>
              </w:rPr>
              <w:t>P05</w:t>
            </w:r>
          </w:p>
        </w:tc>
        <w:tc>
          <w:tcPr>
            <w:tcW w:type="dxa" w:w="2074"/>
            <w:vAlign w:val="top"/>
          </w:tcPr>
          <w:p>
            <w:pPr>
              <w:spacing w:after="0"/>
            </w:pPr>
            <w:r>
              <w:rPr>
                <w:sz w:val="15"/>
              </w:rPr>
              <w:t>DRY, KISS, YAGNI</w:t>
            </w:r>
          </w:p>
        </w:tc>
        <w:tc>
          <w:tcPr>
            <w:tcW w:type="dxa" w:w="2074"/>
            <w:vAlign w:val="top"/>
          </w:tcPr>
          <w:p>
            <w:pPr>
              <w:spacing w:after="0"/>
            </w:pPr>
            <w:r>
              <w:rPr>
                <w:sz w:val="15"/>
              </w:rPr>
              <w:t>Simplicity</w:t>
            </w:r>
          </w:p>
        </w:tc>
        <w:tc>
          <w:tcPr>
            <w:tcW w:type="dxa" w:w="2074"/>
            <w:vAlign w:val="top"/>
          </w:tcPr>
          <w:p>
            <w:pPr>
              <w:spacing w:after="0"/>
            </w:pPr>
            <w:r>
              <w:rPr>
                <w:sz w:val="15"/>
              </w:rPr>
              <w:t>Reduce duplicate logic, unnecessary complexity, and speculative features.</w:t>
            </w:r>
          </w:p>
        </w:tc>
        <w:tc>
          <w:tcPr>
            <w:tcW w:type="dxa" w:w="2074"/>
            <w:vAlign w:val="top"/>
          </w:tcPr>
          <w:p>
            <w:pPr>
              <w:spacing w:after="0"/>
            </w:pPr>
            <w:hyperlink r:id="rId17">
              <w:r>
                <w:rPr>
                  <w:color w:val="0563C1"/>
                  <w:u w:val="single"/>
                </w:rPr>
                <w:t>DRY - The Pragmatic Programmer</w:t>
              </w:r>
            </w:hyperlink>
            <w:r>
              <w:rPr>
                <w:sz w:val="15"/>
              </w:rPr>
              <w:t xml:space="preserve">; </w:t>
            </w:r>
            <w:hyperlink r:id="rId18">
              <w:r>
                <w:rPr>
                  <w:color w:val="0563C1"/>
                  <w:u w:val="single"/>
                </w:rPr>
                <w:t>YAGNI - Martin Fowler</w:t>
              </w:r>
            </w:hyperlink>
          </w:p>
        </w:tc>
      </w:tr>
      <w:tr>
        <w:tc>
          <w:tcPr>
            <w:tcW w:type="dxa" w:w="2074"/>
            <w:vAlign w:val="top"/>
            <w:shd w:fill="EAF2F8"/>
          </w:tcPr>
          <w:p>
            <w:pPr>
              <w:spacing w:after="0"/>
            </w:pPr>
            <w:r>
              <w:rPr>
                <w:sz w:val="15"/>
              </w:rPr>
              <w:t>P06</w:t>
            </w:r>
          </w:p>
        </w:tc>
        <w:tc>
          <w:tcPr>
            <w:tcW w:type="dxa" w:w="2074"/>
            <w:vAlign w:val="top"/>
          </w:tcPr>
          <w:p>
            <w:pPr>
              <w:spacing w:after="0"/>
            </w:pPr>
            <w:r>
              <w:rPr>
                <w:sz w:val="15"/>
              </w:rPr>
              <w:t>Idempotency by Design</w:t>
            </w:r>
          </w:p>
        </w:tc>
        <w:tc>
          <w:tcPr>
            <w:tcW w:type="dxa" w:w="2074"/>
            <w:vAlign w:val="top"/>
          </w:tcPr>
          <w:p>
            <w:pPr>
              <w:spacing w:after="0"/>
            </w:pPr>
            <w:r>
              <w:rPr>
                <w:sz w:val="15"/>
              </w:rPr>
              <w:t>Reliability</w:t>
            </w:r>
          </w:p>
        </w:tc>
        <w:tc>
          <w:tcPr>
            <w:tcW w:type="dxa" w:w="2074"/>
            <w:vAlign w:val="top"/>
          </w:tcPr>
          <w:p>
            <w:pPr>
              <w:spacing w:after="0"/>
            </w:pPr>
            <w:r>
              <w:rPr>
                <w:sz w:val="15"/>
              </w:rPr>
              <w:t>Ensure retries, replay, and duplicate requests do not create duplicate business effects.</w:t>
            </w:r>
          </w:p>
        </w:tc>
        <w:tc>
          <w:tcPr>
            <w:tcW w:type="dxa" w:w="2074"/>
            <w:vAlign w:val="top"/>
          </w:tcPr>
          <w:p>
            <w:pPr>
              <w:spacing w:after="0"/>
            </w:pPr>
            <w:hyperlink r:id="rId19">
              <w:r>
                <w:rPr>
                  <w:color w:val="0563C1"/>
                  <w:u w:val="single"/>
                </w:rPr>
                <w:t>RFC 9110 - HTTP Semantics</w:t>
              </w:r>
            </w:hyperlink>
            <w:r>
              <w:rPr>
                <w:sz w:val="15"/>
              </w:rPr>
              <w:t xml:space="preserve">; </w:t>
            </w:r>
            <w:hyperlink r:id="rId20">
              <w:r>
                <w:rPr>
                  <w:color w:val="0563C1"/>
                  <w:u w:val="single"/>
                </w:rPr>
                <w:t>Stripe Idempotent Requests</w:t>
              </w:r>
            </w:hyperlink>
          </w:p>
        </w:tc>
      </w:tr>
      <w:tr>
        <w:tc>
          <w:tcPr>
            <w:tcW w:type="dxa" w:w="2074"/>
            <w:vAlign w:val="top"/>
            <w:shd w:fill="EAF2F8"/>
          </w:tcPr>
          <w:p>
            <w:pPr>
              <w:spacing w:after="0"/>
            </w:pPr>
            <w:r>
              <w:rPr>
                <w:sz w:val="15"/>
              </w:rPr>
              <w:t>P07</w:t>
            </w:r>
          </w:p>
        </w:tc>
        <w:tc>
          <w:tcPr>
            <w:tcW w:type="dxa" w:w="2074"/>
            <w:vAlign w:val="top"/>
          </w:tcPr>
          <w:p>
            <w:pPr>
              <w:spacing w:after="0"/>
            </w:pPr>
            <w:r>
              <w:rPr>
                <w:sz w:val="15"/>
              </w:rPr>
              <w:t>Determinism and Reproducibility</w:t>
            </w:r>
          </w:p>
        </w:tc>
        <w:tc>
          <w:tcPr>
            <w:tcW w:type="dxa" w:w="2074"/>
            <w:vAlign w:val="top"/>
          </w:tcPr>
          <w:p>
            <w:pPr>
              <w:spacing w:after="0"/>
            </w:pPr>
            <w:r>
              <w:rPr>
                <w:sz w:val="15"/>
              </w:rPr>
              <w:t>Engineering discipline</w:t>
            </w:r>
          </w:p>
        </w:tc>
        <w:tc>
          <w:tcPr>
            <w:tcW w:type="dxa" w:w="2074"/>
            <w:vAlign w:val="top"/>
          </w:tcPr>
          <w:p>
            <w:pPr>
              <w:spacing w:after="0"/>
            </w:pPr>
            <w:r>
              <w:rPr>
                <w:sz w:val="15"/>
              </w:rPr>
              <w:t>Make builds, tests, environments, and AI evaluations repeatable and evidence-producing.</w:t>
            </w:r>
          </w:p>
        </w:tc>
        <w:tc>
          <w:tcPr>
            <w:tcW w:type="dxa" w:w="2074"/>
            <w:vAlign w:val="top"/>
          </w:tcPr>
          <w:p>
            <w:pPr>
              <w:spacing w:after="0"/>
            </w:pPr>
            <w:hyperlink r:id="rId21">
              <w:r>
                <w:rPr>
                  <w:color w:val="0563C1"/>
                  <w:u w:val="single"/>
                </w:rPr>
                <w:t>Reproducible Builds</w:t>
              </w:r>
            </w:hyperlink>
            <w:r>
              <w:rPr>
                <w:sz w:val="15"/>
              </w:rPr>
              <w:t xml:space="preserve">; </w:t>
            </w:r>
            <w:hyperlink r:id="rId22">
              <w:r>
                <w:rPr>
                  <w:color w:val="0563C1"/>
                  <w:u w:val="single"/>
                </w:rPr>
                <w:t>SLSA Framework</w:t>
              </w:r>
            </w:hyperlink>
          </w:p>
        </w:tc>
      </w:tr>
      <w:tr>
        <w:tc>
          <w:tcPr>
            <w:tcW w:type="dxa" w:w="2074"/>
            <w:vAlign w:val="top"/>
            <w:shd w:fill="EAF2F8"/>
          </w:tcPr>
          <w:p>
            <w:pPr>
              <w:spacing w:after="0"/>
            </w:pPr>
            <w:r>
              <w:rPr>
                <w:sz w:val="15"/>
              </w:rPr>
              <w:t>P08</w:t>
            </w:r>
          </w:p>
        </w:tc>
        <w:tc>
          <w:tcPr>
            <w:tcW w:type="dxa" w:w="2074"/>
            <w:vAlign w:val="top"/>
          </w:tcPr>
          <w:p>
            <w:pPr>
              <w:spacing w:after="0"/>
            </w:pPr>
            <w:r>
              <w:rPr>
                <w:sz w:val="15"/>
              </w:rPr>
              <w:t>Fail-Safe, Not Fail-Open</w:t>
            </w:r>
          </w:p>
        </w:tc>
        <w:tc>
          <w:tcPr>
            <w:tcW w:type="dxa" w:w="2074"/>
            <w:vAlign w:val="top"/>
          </w:tcPr>
          <w:p>
            <w:pPr>
              <w:spacing w:after="0"/>
            </w:pPr>
            <w:r>
              <w:rPr>
                <w:sz w:val="15"/>
              </w:rPr>
              <w:t>Security/resilience</w:t>
            </w:r>
          </w:p>
        </w:tc>
        <w:tc>
          <w:tcPr>
            <w:tcW w:type="dxa" w:w="2074"/>
            <w:vAlign w:val="top"/>
          </w:tcPr>
          <w:p>
            <w:pPr>
              <w:spacing w:after="0"/>
            </w:pPr>
            <w:r>
              <w:rPr>
                <w:sz w:val="15"/>
              </w:rPr>
              <w:t>Block protected actions when critical controls are unavailable or uncertain.</w:t>
            </w:r>
          </w:p>
        </w:tc>
        <w:tc>
          <w:tcPr>
            <w:tcW w:type="dxa" w:w="2074"/>
            <w:vAlign w:val="top"/>
          </w:tcPr>
          <w:p>
            <w:pPr>
              <w:spacing w:after="0"/>
            </w:pPr>
            <w:hyperlink r:id="rId23">
              <w:r>
                <w:rPr>
                  <w:color w:val="0563C1"/>
                  <w:u w:val="single"/>
                </w:rPr>
                <w:t>OWASP Authentication Cheat Sheet</w:t>
              </w:r>
            </w:hyperlink>
            <w:r>
              <w:rPr>
                <w:sz w:val="15"/>
              </w:rPr>
              <w:t xml:space="preserve">; </w:t>
            </w:r>
            <w:hyperlink r:id="rId24">
              <w:r>
                <w:rPr>
                  <w:color w:val="0563C1"/>
                  <w:u w:val="single"/>
                </w:rPr>
                <w:t>NIST SP 800-53 Security Controls</w:t>
              </w:r>
            </w:hyperlink>
          </w:p>
        </w:tc>
      </w:tr>
      <w:tr>
        <w:tc>
          <w:tcPr>
            <w:tcW w:type="dxa" w:w="2074"/>
            <w:vAlign w:val="top"/>
            <w:shd w:fill="EAF2F8"/>
          </w:tcPr>
          <w:p>
            <w:pPr>
              <w:spacing w:after="0"/>
            </w:pPr>
            <w:r>
              <w:rPr>
                <w:sz w:val="15"/>
              </w:rPr>
              <w:t>P09</w:t>
            </w:r>
          </w:p>
        </w:tc>
        <w:tc>
          <w:tcPr>
            <w:tcW w:type="dxa" w:w="2074"/>
            <w:vAlign w:val="top"/>
          </w:tcPr>
          <w:p>
            <w:pPr>
              <w:spacing w:after="0"/>
            </w:pPr>
            <w:r>
              <w:rPr>
                <w:sz w:val="15"/>
              </w:rPr>
              <w:t>Human-in-the-Loop</w:t>
            </w:r>
          </w:p>
        </w:tc>
        <w:tc>
          <w:tcPr>
            <w:tcW w:type="dxa" w:w="2074"/>
            <w:vAlign w:val="top"/>
          </w:tcPr>
          <w:p>
            <w:pPr>
              <w:spacing w:after="0"/>
            </w:pPr>
            <w:r>
              <w:rPr>
                <w:sz w:val="15"/>
              </w:rPr>
              <w:t>AI governance</w:t>
            </w:r>
          </w:p>
        </w:tc>
        <w:tc>
          <w:tcPr>
            <w:tcW w:type="dxa" w:w="2074"/>
            <w:vAlign w:val="top"/>
          </w:tcPr>
          <w:p>
            <w:pPr>
              <w:spacing w:after="0"/>
            </w:pPr>
            <w:r>
              <w:rPr>
                <w:sz w:val="15"/>
              </w:rPr>
              <w:t>Keep named human accountability for high-impact, low-confidence, risky, or regulated actions.</w:t>
            </w:r>
          </w:p>
        </w:tc>
        <w:tc>
          <w:tcPr>
            <w:tcW w:type="dxa" w:w="2074"/>
            <w:vAlign w:val="top"/>
          </w:tcPr>
          <w:p>
            <w:pPr>
              <w:spacing w:after="0"/>
            </w:pPr>
            <w:hyperlink r:id="rId25">
              <w:r>
                <w:rPr>
                  <w:color w:val="0563C1"/>
                  <w:u w:val="single"/>
                </w:rPr>
                <w:t>NIST AI Risk Management Framework</w:t>
              </w:r>
            </w:hyperlink>
            <w:r>
              <w:rPr>
                <w:sz w:val="15"/>
              </w:rPr>
              <w:t xml:space="preserve">; </w:t>
            </w:r>
            <w:hyperlink r:id="rId26">
              <w:r>
                <w:rPr>
                  <w:color w:val="0563C1"/>
                  <w:u w:val="single"/>
                </w:rPr>
                <w:t>EU AI Act - European Commission</w:t>
              </w:r>
            </w:hyperlink>
          </w:p>
        </w:tc>
      </w:tr>
      <w:tr>
        <w:tc>
          <w:tcPr>
            <w:tcW w:type="dxa" w:w="2074"/>
            <w:vAlign w:val="top"/>
            <w:shd w:fill="EAF2F8"/>
          </w:tcPr>
          <w:p>
            <w:pPr>
              <w:spacing w:after="0"/>
            </w:pPr>
            <w:r>
              <w:rPr>
                <w:sz w:val="15"/>
              </w:rPr>
              <w:t>P10</w:t>
            </w:r>
          </w:p>
        </w:tc>
        <w:tc>
          <w:tcPr>
            <w:tcW w:type="dxa" w:w="2074"/>
            <w:vAlign w:val="top"/>
          </w:tcPr>
          <w:p>
            <w:pPr>
              <w:spacing w:after="0"/>
            </w:pPr>
            <w:r>
              <w:rPr>
                <w:sz w:val="15"/>
              </w:rPr>
              <w:t>Least Privilege / SBAC</w:t>
            </w:r>
          </w:p>
        </w:tc>
        <w:tc>
          <w:tcPr>
            <w:tcW w:type="dxa" w:w="2074"/>
            <w:vAlign w:val="top"/>
          </w:tcPr>
          <w:p>
            <w:pPr>
              <w:spacing w:after="0"/>
            </w:pPr>
            <w:r>
              <w:rPr>
                <w:sz w:val="15"/>
              </w:rPr>
              <w:t>Access control</w:t>
            </w:r>
          </w:p>
        </w:tc>
        <w:tc>
          <w:tcPr>
            <w:tcW w:type="dxa" w:w="2074"/>
            <w:vAlign w:val="top"/>
          </w:tcPr>
          <w:p>
            <w:pPr>
              <w:spacing w:after="0"/>
            </w:pPr>
            <w:r>
              <w:rPr>
                <w:sz w:val="15"/>
              </w:rPr>
              <w:t>Grant only the access, skill, scope, and duration required for the task.</w:t>
            </w:r>
          </w:p>
        </w:tc>
        <w:tc>
          <w:tcPr>
            <w:tcW w:type="dxa" w:w="2074"/>
            <w:vAlign w:val="top"/>
          </w:tcPr>
          <w:p>
            <w:pPr>
              <w:spacing w:after="0"/>
            </w:pPr>
            <w:hyperlink r:id="rId24">
              <w:r>
                <w:rPr>
                  <w:color w:val="0563C1"/>
                  <w:u w:val="single"/>
                </w:rPr>
                <w:t>NIST SP 800-53 AC-6 Least Privilege</w:t>
              </w:r>
            </w:hyperlink>
            <w:r>
              <w:rPr>
                <w:sz w:val="15"/>
              </w:rPr>
              <w:t xml:space="preserve">; </w:t>
            </w:r>
            <w:hyperlink r:id="rId27">
              <w:r>
                <w:rPr>
                  <w:color w:val="0563C1"/>
                  <w:u w:val="single"/>
                </w:rPr>
                <w:t>OWASP ASVS</w:t>
              </w:r>
            </w:hyperlink>
          </w:p>
        </w:tc>
      </w:tr>
      <w:tr>
        <w:tc>
          <w:tcPr>
            <w:tcW w:type="dxa" w:w="2074"/>
            <w:vAlign w:val="top"/>
            <w:shd w:fill="EAF2F8"/>
          </w:tcPr>
          <w:p>
            <w:pPr>
              <w:spacing w:after="0"/>
            </w:pPr>
            <w:r>
              <w:rPr>
                <w:sz w:val="15"/>
              </w:rPr>
              <w:t>P11</w:t>
            </w:r>
          </w:p>
        </w:tc>
        <w:tc>
          <w:tcPr>
            <w:tcW w:type="dxa" w:w="2074"/>
            <w:vAlign w:val="top"/>
          </w:tcPr>
          <w:p>
            <w:pPr>
              <w:spacing w:after="0"/>
            </w:pPr>
            <w:r>
              <w:rPr>
                <w:sz w:val="15"/>
              </w:rPr>
              <w:t>Separation of Duties</w:t>
            </w:r>
          </w:p>
        </w:tc>
        <w:tc>
          <w:tcPr>
            <w:tcW w:type="dxa" w:w="2074"/>
            <w:vAlign w:val="top"/>
          </w:tcPr>
          <w:p>
            <w:pPr>
              <w:spacing w:after="0"/>
            </w:pPr>
            <w:r>
              <w:rPr>
                <w:sz w:val="15"/>
              </w:rPr>
              <w:t>Governance</w:t>
            </w:r>
          </w:p>
        </w:tc>
        <w:tc>
          <w:tcPr>
            <w:tcW w:type="dxa" w:w="2074"/>
            <w:vAlign w:val="top"/>
          </w:tcPr>
          <w:p>
            <w:pPr>
              <w:spacing w:after="0"/>
            </w:pPr>
            <w:r>
              <w:rPr>
                <w:sz w:val="15"/>
              </w:rPr>
              <w:t>Prevent one person, role, service, or AI agent from initiating, approving, and executing high-risk change alone.</w:t>
            </w:r>
          </w:p>
        </w:tc>
        <w:tc>
          <w:tcPr>
            <w:tcW w:type="dxa" w:w="2074"/>
            <w:vAlign w:val="top"/>
          </w:tcPr>
          <w:p>
            <w:pPr>
              <w:spacing w:after="0"/>
            </w:pPr>
            <w:hyperlink r:id="rId24">
              <w:r>
                <w:rPr>
                  <w:color w:val="0563C1"/>
                  <w:u w:val="single"/>
                </w:rPr>
                <w:t>NIST SP 800-53 AC-5 Separation of Duties</w:t>
              </w:r>
            </w:hyperlink>
            <w:r>
              <w:rPr>
                <w:sz w:val="15"/>
              </w:rPr>
              <w:t xml:space="preserve">; </w:t>
            </w:r>
            <w:hyperlink r:id="rId28">
              <w:r>
                <w:rPr>
                  <w:color w:val="0563C1"/>
                  <w:u w:val="single"/>
                </w:rPr>
                <w:t>CIS Controls</w:t>
              </w:r>
            </w:hyperlink>
          </w:p>
        </w:tc>
      </w:tr>
      <w:tr>
        <w:tc>
          <w:tcPr>
            <w:tcW w:type="dxa" w:w="2074"/>
            <w:vAlign w:val="top"/>
            <w:shd w:fill="EAF2F8"/>
          </w:tcPr>
          <w:p>
            <w:pPr>
              <w:spacing w:after="0"/>
            </w:pPr>
            <w:r>
              <w:rPr>
                <w:sz w:val="15"/>
              </w:rPr>
              <w:t>P12</w:t>
            </w:r>
          </w:p>
        </w:tc>
        <w:tc>
          <w:tcPr>
            <w:tcW w:type="dxa" w:w="2074"/>
            <w:vAlign w:val="top"/>
          </w:tcPr>
          <w:p>
            <w:pPr>
              <w:spacing w:after="0"/>
            </w:pPr>
            <w:r>
              <w:rPr>
                <w:sz w:val="15"/>
              </w:rPr>
              <w:t>Observability by Design</w:t>
            </w:r>
          </w:p>
        </w:tc>
        <w:tc>
          <w:tcPr>
            <w:tcW w:type="dxa" w:w="2074"/>
            <w:vAlign w:val="top"/>
          </w:tcPr>
          <w:p>
            <w:pPr>
              <w:spacing w:after="0"/>
            </w:pPr>
            <w:r>
              <w:rPr>
                <w:sz w:val="15"/>
              </w:rPr>
              <w:t>Operations</w:t>
            </w:r>
          </w:p>
        </w:tc>
        <w:tc>
          <w:tcPr>
            <w:tcW w:type="dxa" w:w="2074"/>
            <w:vAlign w:val="top"/>
          </w:tcPr>
          <w:p>
            <w:pPr>
              <w:spacing w:after="0"/>
            </w:pPr>
            <w:r>
              <w:rPr>
                <w:sz w:val="15"/>
              </w:rPr>
              <w:t>Design traceability, metrics, logs, audit, and AI telemetry before production use.</w:t>
            </w:r>
          </w:p>
        </w:tc>
        <w:tc>
          <w:tcPr>
            <w:tcW w:type="dxa" w:w="2074"/>
            <w:vAlign w:val="top"/>
          </w:tcPr>
          <w:p>
            <w:pPr>
              <w:spacing w:after="0"/>
            </w:pPr>
            <w:hyperlink r:id="rId29">
              <w:r>
                <w:rPr>
                  <w:color w:val="0563C1"/>
                  <w:u w:val="single"/>
                </w:rPr>
                <w:t>OpenTelemetry</w:t>
              </w:r>
            </w:hyperlink>
            <w:r>
              <w:rPr>
                <w:sz w:val="15"/>
              </w:rPr>
              <w:t xml:space="preserve">; </w:t>
            </w:r>
            <w:hyperlink r:id="rId30">
              <w:r>
                <w:rPr>
                  <w:color w:val="0563C1"/>
                  <w:u w:val="single"/>
                </w:rPr>
                <w:t>Google SRE Book - Monitoring Distributed Systems</w:t>
              </w:r>
            </w:hyperlink>
          </w:p>
        </w:tc>
      </w:tr>
      <w:tr>
        <w:tc>
          <w:tcPr>
            <w:tcW w:type="dxa" w:w="2074"/>
            <w:vAlign w:val="top"/>
            <w:shd w:fill="EAF2F8"/>
          </w:tcPr>
          <w:p>
            <w:pPr>
              <w:spacing w:after="0"/>
            </w:pPr>
            <w:r>
              <w:rPr>
                <w:sz w:val="15"/>
              </w:rPr>
              <w:t>P13</w:t>
            </w:r>
          </w:p>
        </w:tc>
        <w:tc>
          <w:tcPr>
            <w:tcW w:type="dxa" w:w="2074"/>
            <w:vAlign w:val="top"/>
          </w:tcPr>
          <w:p>
            <w:pPr>
              <w:spacing w:after="0"/>
            </w:pPr>
            <w:r>
              <w:rPr>
                <w:sz w:val="15"/>
              </w:rPr>
              <w:t>Policy as Code</w:t>
            </w:r>
          </w:p>
        </w:tc>
        <w:tc>
          <w:tcPr>
            <w:tcW w:type="dxa" w:w="2074"/>
            <w:vAlign w:val="top"/>
          </w:tcPr>
          <w:p>
            <w:pPr>
              <w:spacing w:after="0"/>
            </w:pPr>
            <w:r>
              <w:rPr>
                <w:sz w:val="15"/>
              </w:rPr>
              <w:t>Governance automation</w:t>
            </w:r>
          </w:p>
        </w:tc>
        <w:tc>
          <w:tcPr>
            <w:tcW w:type="dxa" w:w="2074"/>
            <w:vAlign w:val="top"/>
          </w:tcPr>
          <w:p>
            <w:pPr>
              <w:spacing w:after="0"/>
            </w:pPr>
            <w:r>
              <w:rPr>
                <w:sz w:val="15"/>
              </w:rPr>
              <w:t>Express security, compliance, architecture, and deployment rules as reviewable code.</w:t>
            </w:r>
          </w:p>
        </w:tc>
        <w:tc>
          <w:tcPr>
            <w:tcW w:type="dxa" w:w="2074"/>
            <w:vAlign w:val="top"/>
          </w:tcPr>
          <w:p>
            <w:pPr>
              <w:spacing w:after="0"/>
            </w:pPr>
            <w:hyperlink r:id="rId31">
              <w:r>
                <w:rPr>
                  <w:color w:val="0563C1"/>
                  <w:u w:val="single"/>
                </w:rPr>
                <w:t>Open Policy Agent</w:t>
              </w:r>
            </w:hyperlink>
            <w:r>
              <w:rPr>
                <w:sz w:val="15"/>
              </w:rPr>
              <w:t xml:space="preserve">; </w:t>
            </w:r>
            <w:hyperlink r:id="rId32">
              <w:r>
                <w:rPr>
                  <w:color w:val="0563C1"/>
                  <w:u w:val="single"/>
                </w:rPr>
                <w:t>Conftest</w:t>
              </w:r>
            </w:hyperlink>
          </w:p>
        </w:tc>
      </w:tr>
      <w:tr>
        <w:tc>
          <w:tcPr>
            <w:tcW w:type="dxa" w:w="2074"/>
            <w:vAlign w:val="top"/>
            <w:shd w:fill="EAF2F8"/>
          </w:tcPr>
          <w:p>
            <w:pPr>
              <w:spacing w:after="0"/>
            </w:pPr>
            <w:r>
              <w:rPr>
                <w:sz w:val="15"/>
              </w:rPr>
              <w:t>P14</w:t>
            </w:r>
          </w:p>
        </w:tc>
        <w:tc>
          <w:tcPr>
            <w:tcW w:type="dxa" w:w="2074"/>
            <w:vAlign w:val="top"/>
          </w:tcPr>
          <w:p>
            <w:pPr>
              <w:spacing w:after="0"/>
            </w:pPr>
            <w:r>
              <w:rPr>
                <w:sz w:val="15"/>
              </w:rPr>
              <w:t>Testability by Design</w:t>
            </w:r>
          </w:p>
        </w:tc>
        <w:tc>
          <w:tcPr>
            <w:tcW w:type="dxa" w:w="2074"/>
            <w:vAlign w:val="top"/>
          </w:tcPr>
          <w:p>
            <w:pPr>
              <w:spacing w:after="0"/>
            </w:pPr>
            <w:r>
              <w:rPr>
                <w:sz w:val="15"/>
              </w:rPr>
              <w:t>Quality</w:t>
            </w:r>
          </w:p>
        </w:tc>
        <w:tc>
          <w:tcPr>
            <w:tcW w:type="dxa" w:w="2074"/>
            <w:vAlign w:val="top"/>
          </w:tcPr>
          <w:p>
            <w:pPr>
              <w:spacing w:after="0"/>
            </w:pPr>
            <w:r>
              <w:rPr>
                <w:sz w:val="15"/>
              </w:rPr>
              <w:t>Make code, configuration, workflows, and AI behavior easy to test deterministically.</w:t>
            </w:r>
          </w:p>
        </w:tc>
        <w:tc>
          <w:tcPr>
            <w:tcW w:type="dxa" w:w="2074"/>
            <w:vAlign w:val="top"/>
          </w:tcPr>
          <w:p>
            <w:pPr>
              <w:spacing w:after="0"/>
            </w:pPr>
            <w:hyperlink r:id="rId33">
              <w:r>
                <w:rPr>
                  <w:color w:val="0563C1"/>
                  <w:u w:val="single"/>
                </w:rPr>
                <w:t>Martin Fowler - Test Pyramid</w:t>
              </w:r>
            </w:hyperlink>
            <w:r>
              <w:rPr>
                <w:sz w:val="15"/>
              </w:rPr>
              <w:t xml:space="preserve">; </w:t>
            </w:r>
            <w:hyperlink r:id="rId34">
              <w:r>
                <w:rPr>
                  <w:color w:val="0563C1"/>
                  <w:u w:val="single"/>
                </w:rPr>
                <w:t>JUnit 5 User Guide</w:t>
              </w:r>
            </w:hyperlink>
          </w:p>
        </w:tc>
      </w:tr>
      <w:tr>
        <w:tc>
          <w:tcPr>
            <w:tcW w:type="dxa" w:w="2074"/>
            <w:vAlign w:val="top"/>
            <w:shd w:fill="EAF2F8"/>
          </w:tcPr>
          <w:p>
            <w:pPr>
              <w:spacing w:after="0"/>
            </w:pPr>
            <w:r>
              <w:rPr>
                <w:sz w:val="15"/>
              </w:rPr>
              <w:t>P15</w:t>
            </w:r>
          </w:p>
        </w:tc>
        <w:tc>
          <w:tcPr>
            <w:tcW w:type="dxa" w:w="2074"/>
            <w:vAlign w:val="top"/>
          </w:tcPr>
          <w:p>
            <w:pPr>
              <w:spacing w:after="0"/>
            </w:pPr>
            <w:r>
              <w:rPr>
                <w:sz w:val="15"/>
              </w:rPr>
              <w:t>Secure by Design</w:t>
            </w:r>
          </w:p>
        </w:tc>
        <w:tc>
          <w:tcPr>
            <w:tcW w:type="dxa" w:w="2074"/>
            <w:vAlign w:val="top"/>
          </w:tcPr>
          <w:p>
            <w:pPr>
              <w:spacing w:after="0"/>
            </w:pPr>
            <w:r>
              <w:rPr>
                <w:sz w:val="15"/>
              </w:rPr>
              <w:t>Security</w:t>
            </w:r>
          </w:p>
        </w:tc>
        <w:tc>
          <w:tcPr>
            <w:tcW w:type="dxa" w:w="2074"/>
            <w:vAlign w:val="top"/>
          </w:tcPr>
          <w:p>
            <w:pPr>
              <w:spacing w:after="0"/>
            </w:pPr>
            <w:r>
              <w:rPr>
                <w:sz w:val="15"/>
              </w:rPr>
              <w:t>Build security into architecture, code, identity, data, AI, and operations from the start.</w:t>
            </w:r>
          </w:p>
        </w:tc>
        <w:tc>
          <w:tcPr>
            <w:tcW w:type="dxa" w:w="2074"/>
            <w:vAlign w:val="top"/>
          </w:tcPr>
          <w:p>
            <w:pPr>
              <w:spacing w:after="0"/>
            </w:pPr>
            <w:hyperlink r:id="rId35">
              <w:r>
                <w:rPr>
                  <w:color w:val="0563C1"/>
                  <w:u w:val="single"/>
                </w:rPr>
                <w:t>CISA Secure by Design</w:t>
              </w:r>
            </w:hyperlink>
            <w:r>
              <w:rPr>
                <w:sz w:val="15"/>
              </w:rPr>
              <w:t xml:space="preserve">; </w:t>
            </w:r>
            <w:hyperlink r:id="rId36">
              <w:r>
                <w:rPr>
                  <w:color w:val="0563C1"/>
                  <w:u w:val="single"/>
                </w:rPr>
                <w:t>NIST SSDF SP 800-218</w:t>
              </w:r>
            </w:hyperlink>
          </w:p>
        </w:tc>
      </w:tr>
      <w:tr>
        <w:tc>
          <w:tcPr>
            <w:tcW w:type="dxa" w:w="2074"/>
            <w:vAlign w:val="top"/>
            <w:shd w:fill="EAF2F8"/>
          </w:tcPr>
          <w:p>
            <w:pPr>
              <w:spacing w:after="0"/>
            </w:pPr>
            <w:r>
              <w:rPr>
                <w:sz w:val="15"/>
              </w:rPr>
              <w:t>P16</w:t>
            </w:r>
          </w:p>
        </w:tc>
        <w:tc>
          <w:tcPr>
            <w:tcW w:type="dxa" w:w="2074"/>
            <w:vAlign w:val="top"/>
          </w:tcPr>
          <w:p>
            <w:pPr>
              <w:spacing w:after="0"/>
            </w:pPr>
            <w:r>
              <w:rPr>
                <w:sz w:val="15"/>
              </w:rPr>
              <w:t>Resilience Patterns</w:t>
            </w:r>
          </w:p>
        </w:tc>
        <w:tc>
          <w:tcPr>
            <w:tcW w:type="dxa" w:w="2074"/>
            <w:vAlign w:val="top"/>
          </w:tcPr>
          <w:p>
            <w:pPr>
              <w:spacing w:after="0"/>
            </w:pPr>
            <w:r>
              <w:rPr>
                <w:sz w:val="15"/>
              </w:rPr>
              <w:t>Reliability</w:t>
            </w:r>
          </w:p>
        </w:tc>
        <w:tc>
          <w:tcPr>
            <w:tcW w:type="dxa" w:w="2074"/>
            <w:vAlign w:val="top"/>
          </w:tcPr>
          <w:p>
            <w:pPr>
              <w:spacing w:after="0"/>
            </w:pPr>
            <w:r>
              <w:rPr>
                <w:sz w:val="15"/>
              </w:rPr>
              <w:t>Protect user experience and data correctness despite dependency failure, latency, retries, and partial outage.</w:t>
            </w:r>
          </w:p>
        </w:tc>
        <w:tc>
          <w:tcPr>
            <w:tcW w:type="dxa" w:w="2074"/>
            <w:vAlign w:val="top"/>
          </w:tcPr>
          <w:p>
            <w:pPr>
              <w:spacing w:after="0"/>
            </w:pPr>
            <w:hyperlink r:id="rId37">
              <w:r>
                <w:rPr>
                  <w:color w:val="0563C1"/>
                  <w:u w:val="single"/>
                </w:rPr>
                <w:t>Microsoft Cloud Design Patterns</w:t>
              </w:r>
            </w:hyperlink>
            <w:r>
              <w:rPr>
                <w:sz w:val="15"/>
              </w:rPr>
              <w:t xml:space="preserve">; </w:t>
            </w:r>
            <w:hyperlink r:id="rId38">
              <w:r>
                <w:rPr>
                  <w:color w:val="0563C1"/>
                  <w:u w:val="single"/>
                </w:rPr>
                <w:t>Resilience4j Documentation</w:t>
              </w:r>
            </w:hyperlink>
          </w:p>
        </w:tc>
      </w:tr>
      <w:tr>
        <w:tc>
          <w:tcPr>
            <w:tcW w:type="dxa" w:w="2074"/>
            <w:vAlign w:val="top"/>
            <w:shd w:fill="EAF2F8"/>
          </w:tcPr>
          <w:p>
            <w:pPr>
              <w:spacing w:after="0"/>
            </w:pPr>
            <w:r>
              <w:rPr>
                <w:sz w:val="15"/>
              </w:rPr>
              <w:t>P17</w:t>
            </w:r>
          </w:p>
        </w:tc>
        <w:tc>
          <w:tcPr>
            <w:tcW w:type="dxa" w:w="2074"/>
            <w:vAlign w:val="top"/>
          </w:tcPr>
          <w:p>
            <w:pPr>
              <w:spacing w:after="0"/>
            </w:pPr>
            <w:r>
              <w:rPr>
                <w:sz w:val="15"/>
              </w:rPr>
              <w:t>Architectural Fitness Functions</w:t>
            </w:r>
          </w:p>
        </w:tc>
        <w:tc>
          <w:tcPr>
            <w:tcW w:type="dxa" w:w="2074"/>
            <w:vAlign w:val="top"/>
          </w:tcPr>
          <w:p>
            <w:pPr>
              <w:spacing w:after="0"/>
            </w:pPr>
            <w:r>
              <w:rPr>
                <w:sz w:val="15"/>
              </w:rPr>
              <w:t>Architecture governance</w:t>
            </w:r>
          </w:p>
        </w:tc>
        <w:tc>
          <w:tcPr>
            <w:tcW w:type="dxa" w:w="2074"/>
            <w:vAlign w:val="top"/>
          </w:tcPr>
          <w:p>
            <w:pPr>
              <w:spacing w:after="0"/>
            </w:pPr>
            <w:r>
              <w:rPr>
                <w:sz w:val="15"/>
              </w:rPr>
              <w:t>Continuously test whether the architecture still satisfies its required qualities.</w:t>
            </w:r>
          </w:p>
        </w:tc>
        <w:tc>
          <w:tcPr>
            <w:tcW w:type="dxa" w:w="2074"/>
            <w:vAlign w:val="top"/>
          </w:tcPr>
          <w:p>
            <w:pPr>
              <w:spacing w:after="0"/>
            </w:pPr>
            <w:hyperlink r:id="rId39">
              <w:r>
                <w:rPr>
                  <w:color w:val="0563C1"/>
                  <w:u w:val="single"/>
                </w:rPr>
                <w:t>Thoughtworks - Evolutionary Architecture</w:t>
              </w:r>
            </w:hyperlink>
            <w:r>
              <w:rPr>
                <w:sz w:val="15"/>
              </w:rPr>
              <w:t xml:space="preserve">; </w:t>
            </w:r>
            <w:hyperlink r:id="rId40">
              <w:r>
                <w:rPr>
                  <w:color w:val="0563C1"/>
                  <w:u w:val="single"/>
                </w:rPr>
                <w:t>Neal Ford - Evolutionary Architecture</w:t>
              </w:r>
            </w:hyperlink>
          </w:p>
        </w:tc>
      </w:tr>
      <w:tr>
        <w:tc>
          <w:tcPr>
            <w:tcW w:type="dxa" w:w="2074"/>
            <w:vAlign w:val="top"/>
            <w:shd w:fill="EAF2F8"/>
          </w:tcPr>
          <w:p>
            <w:pPr>
              <w:spacing w:after="0"/>
            </w:pPr>
            <w:r>
              <w:rPr>
                <w:sz w:val="15"/>
              </w:rPr>
              <w:t>P18</w:t>
            </w:r>
          </w:p>
        </w:tc>
        <w:tc>
          <w:tcPr>
            <w:tcW w:type="dxa" w:w="2074"/>
            <w:vAlign w:val="top"/>
          </w:tcPr>
          <w:p>
            <w:pPr>
              <w:spacing w:after="0"/>
            </w:pPr>
            <w:r>
              <w:rPr>
                <w:sz w:val="15"/>
              </w:rPr>
              <w:t>Progressive Autonomy</w:t>
            </w:r>
          </w:p>
        </w:tc>
        <w:tc>
          <w:tcPr>
            <w:tcW w:type="dxa" w:w="2074"/>
            <w:vAlign w:val="top"/>
          </w:tcPr>
          <w:p>
            <w:pPr>
              <w:spacing w:after="0"/>
            </w:pPr>
            <w:r>
              <w:rPr>
                <w:sz w:val="15"/>
              </w:rPr>
              <w:t>AI governance</w:t>
            </w:r>
          </w:p>
        </w:tc>
        <w:tc>
          <w:tcPr>
            <w:tcW w:type="dxa" w:w="2074"/>
            <w:vAlign w:val="top"/>
          </w:tcPr>
          <w:p>
            <w:pPr>
              <w:spacing w:after="0"/>
            </w:pPr>
            <w:r>
              <w:rPr>
                <w:sz w:val="15"/>
              </w:rPr>
              <w:t>Increase automation authority gradually based on evidence, bounded scope, trust, and risk.</w:t>
            </w:r>
          </w:p>
        </w:tc>
        <w:tc>
          <w:tcPr>
            <w:tcW w:type="dxa" w:w="2074"/>
            <w:vAlign w:val="top"/>
          </w:tcPr>
          <w:p>
            <w:pPr>
              <w:spacing w:after="0"/>
            </w:pPr>
            <w:hyperlink r:id="rId25">
              <w:r>
                <w:rPr>
                  <w:color w:val="0563C1"/>
                  <w:u w:val="single"/>
                </w:rPr>
                <w:t>NIST AI RMF</w:t>
              </w:r>
            </w:hyperlink>
            <w:r>
              <w:rPr>
                <w:sz w:val="15"/>
              </w:rPr>
              <w:t xml:space="preserve">; </w:t>
            </w:r>
            <w:hyperlink r:id="rId41">
              <w:r>
                <w:rPr>
                  <w:color w:val="0563C1"/>
                  <w:u w:val="single"/>
                </w:rPr>
                <w:t>NIST AI 600-1 Generative AI Profile</w:t>
              </w:r>
            </w:hyperlink>
          </w:p>
        </w:tc>
      </w:tr>
      <w:tr>
        <w:tc>
          <w:tcPr>
            <w:tcW w:type="dxa" w:w="2074"/>
            <w:vAlign w:val="top"/>
            <w:shd w:fill="EAF2F8"/>
          </w:tcPr>
          <w:p>
            <w:pPr>
              <w:spacing w:after="0"/>
            </w:pPr>
            <w:r>
              <w:rPr>
                <w:sz w:val="15"/>
              </w:rPr>
              <w:t>P19</w:t>
            </w:r>
          </w:p>
        </w:tc>
        <w:tc>
          <w:tcPr>
            <w:tcW w:type="dxa" w:w="2074"/>
            <w:vAlign w:val="top"/>
          </w:tcPr>
          <w:p>
            <w:pPr>
              <w:spacing w:after="0"/>
            </w:pPr>
            <w:r>
              <w:rPr>
                <w:sz w:val="15"/>
              </w:rPr>
              <w:t>Reversibility / Rollbackability</w:t>
            </w:r>
          </w:p>
        </w:tc>
        <w:tc>
          <w:tcPr>
            <w:tcW w:type="dxa" w:w="2074"/>
            <w:vAlign w:val="top"/>
          </w:tcPr>
          <w:p>
            <w:pPr>
              <w:spacing w:after="0"/>
            </w:pPr>
            <w:r>
              <w:rPr>
                <w:sz w:val="15"/>
              </w:rPr>
              <w:t>Operational safety</w:t>
            </w:r>
          </w:p>
        </w:tc>
        <w:tc>
          <w:tcPr>
            <w:tcW w:type="dxa" w:w="2074"/>
            <w:vAlign w:val="top"/>
          </w:tcPr>
          <w:p>
            <w:pPr>
              <w:spacing w:after="0"/>
            </w:pPr>
            <w:r>
              <w:rPr>
                <w:sz w:val="15"/>
              </w:rPr>
              <w:t>Make changes recoverable through rollback, forward-fix, compensation, or reprocessing.</w:t>
            </w:r>
          </w:p>
        </w:tc>
        <w:tc>
          <w:tcPr>
            <w:tcW w:type="dxa" w:w="2074"/>
            <w:vAlign w:val="top"/>
          </w:tcPr>
          <w:p>
            <w:pPr>
              <w:spacing w:after="0"/>
            </w:pPr>
            <w:hyperlink r:id="rId42">
              <w:r>
                <w:rPr>
                  <w:color w:val="0563C1"/>
                  <w:u w:val="single"/>
                </w:rPr>
                <w:t>Kubernetes Deployments</w:t>
              </w:r>
            </w:hyperlink>
            <w:r>
              <w:rPr>
                <w:sz w:val="15"/>
              </w:rPr>
              <w:t xml:space="preserve">; </w:t>
            </w:r>
            <w:hyperlink r:id="rId43">
              <w:r>
                <w:rPr>
                  <w:color w:val="0563C1"/>
                  <w:u w:val="single"/>
                </w:rPr>
                <w:t>Argo CD Documentation</w:t>
              </w:r>
            </w:hyperlink>
          </w:p>
        </w:tc>
      </w:tr>
      <w:tr>
        <w:tc>
          <w:tcPr>
            <w:tcW w:type="dxa" w:w="2074"/>
            <w:vAlign w:val="top"/>
            <w:shd w:fill="EAF2F8"/>
          </w:tcPr>
          <w:p>
            <w:pPr>
              <w:spacing w:after="0"/>
            </w:pPr>
            <w:r>
              <w:rPr>
                <w:sz w:val="15"/>
              </w:rPr>
              <w:t>P20</w:t>
            </w:r>
          </w:p>
        </w:tc>
        <w:tc>
          <w:tcPr>
            <w:tcW w:type="dxa" w:w="2074"/>
            <w:vAlign w:val="top"/>
          </w:tcPr>
          <w:p>
            <w:pPr>
              <w:spacing w:after="0"/>
            </w:pPr>
            <w:r>
              <w:rPr>
                <w:sz w:val="15"/>
              </w:rPr>
              <w:t>AVCI</w:t>
            </w:r>
          </w:p>
        </w:tc>
        <w:tc>
          <w:tcPr>
            <w:tcW w:type="dxa" w:w="2074"/>
            <w:vAlign w:val="top"/>
          </w:tcPr>
          <w:p>
            <w:pPr>
              <w:spacing w:after="0"/>
            </w:pPr>
            <w:r>
              <w:rPr>
                <w:sz w:val="15"/>
              </w:rPr>
              <w:t>Universal quality</w:t>
            </w:r>
          </w:p>
        </w:tc>
        <w:tc>
          <w:tcPr>
            <w:tcW w:type="dxa" w:w="2074"/>
            <w:vAlign w:val="top"/>
          </w:tcPr>
          <w:p>
            <w:pPr>
              <w:spacing w:after="0"/>
            </w:pPr>
            <w:r>
              <w:rPr>
                <w:sz w:val="15"/>
              </w:rPr>
              <w:t>Make every input, component, process, output, and improvement attributable, verifiable, classifiable, and improvable.</w:t>
            </w:r>
          </w:p>
        </w:tc>
        <w:tc>
          <w:tcPr>
            <w:tcW w:type="dxa" w:w="2074"/>
            <w:vAlign w:val="top"/>
          </w:tcPr>
          <w:p>
            <w:pPr>
              <w:spacing w:after="0"/>
            </w:pPr>
            <w:hyperlink r:id="rId25">
              <w:r>
                <w:rPr>
                  <w:color w:val="0563C1"/>
                  <w:u w:val="single"/>
                </w:rPr>
                <w:t>NIST AI RMF</w:t>
              </w:r>
            </w:hyperlink>
            <w:r>
              <w:rPr>
                <w:sz w:val="15"/>
              </w:rPr>
              <w:t xml:space="preserve">; </w:t>
            </w:r>
            <w:hyperlink r:id="rId36">
              <w:r>
                <w:rPr>
                  <w:color w:val="0563C1"/>
                  <w:u w:val="single"/>
                </w:rPr>
                <w:t>NIST SSDF SP 800-218</w:t>
              </w:r>
            </w:hyperlink>
          </w:p>
        </w:tc>
      </w:tr>
    </w:tbl>
    <w:p>
      <w:pPr>
        <w:pStyle w:val="Heading1"/>
      </w:pPr>
      <w:r>
        <w:t>4. Detailed Principle Guidelines</w:t>
      </w:r>
    </w:p>
    <w:p>
      <w:pPr>
        <w:pStyle w:val="BodyText"/>
      </w:pPr>
      <w:r>
        <w:t>Each principle below should be used as both a learning reference and a review checklist. Reviewers may cite the principle ID in PR/MR comments, ADRs, TDLs, architecture reviews, waiver decisions, and AI-agent governance records.</w:t>
      </w:r>
    </w:p>
    <w:p>
      <w:pPr>
        <w:pStyle w:val="Heading2"/>
      </w:pPr>
      <w:r>
        <w:t>P01 - SOLID</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Keep object-oriented and service code cohesive, replaceable, extensible, and dependency-managed.</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Use single responsibility for MicroFunctions, controllers, services, policies, and adapters.</w:t>
              <w:br/>
              <w:t>• Prefer extension through new implementations or configuration over changing stable paths.</w:t>
              <w:br/>
              <w:t>• Depend on domain ports and abstractions rather than infrastructure adapters.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Each STP-* MicroFunction has one reason to change.</w:t>
              <w:br/>
              <w:t>• Architecture tests reject forbidden dependency direction.</w:t>
              <w:br/>
              <w:t>• PR/MR summary identifies SOLID impact for non-trivial code changes.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1">
              <w:r>
                <w:rPr>
                  <w:color w:val="0563C1"/>
                  <w:u w:val="single"/>
                </w:rPr>
                <w:t>Robert C. Martin - Design Principles and Design Patterns</w:t>
              </w:r>
            </w:hyperlink>
            <w:r>
              <w:rPr>
                <w:sz w:val="17"/>
              </w:rPr>
              <w:t xml:space="preserve"> (https://staff.cs.utu.fi/~jounsmed/doos_06/material/DesignPrinciplesAndPatterns.pdf)</w:t>
            </w:r>
            <w:r>
              <w:rPr>
                <w:sz w:val="17"/>
              </w:rPr>
              <w:br/>
            </w:r>
            <w:hyperlink r:id="rId12">
              <w:r>
                <w:rPr>
                  <w:color w:val="0563C1"/>
                  <w:u w:val="single"/>
                </w:rPr>
                <w:t>SOLID overview - DigitalOcean</w:t>
              </w:r>
            </w:hyperlink>
            <w:r>
              <w:rPr>
                <w:sz w:val="17"/>
              </w:rPr>
              <w:t xml:space="preserve"> (https://www.digitalocean.com/community/conceptual-articles/s-o-l-i-d-the-first-five-principles-of-object-oriented-design)</w:t>
            </w:r>
          </w:p>
        </w:tc>
      </w:tr>
    </w:tbl>
    <w:p>
      <w:pPr>
        <w:pStyle w:val="Heading2"/>
      </w:pPr>
      <w:r>
        <w:t>P02 - Clean Architecture</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Protect business rules from UI, frameworks, databases, model providers, and operational tools.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Place enterprise rules and use cases at the center.</w:t>
              <w:br/>
              <w:t>• Let dependencies point inward toward stable business abstractions.</w:t>
              <w:br/>
              <w:t>• Keep frameworks, UI, database, messaging, AI gateways, and external systems at the edges.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Presentation has no domain logic.</w:t>
              <w:br/>
              <w:t>• Spring, Kafka, OpenKM, LiteLLM, Vault, and PostgreSQL sit behind adapters.</w:t>
              <w:br/>
              <w:t>• Architecture fitness functions verify dependency direction.</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3">
              <w:r>
                <w:rPr>
                  <w:color w:val="0563C1"/>
                  <w:u w:val="single"/>
                </w:rPr>
                <w:t>Clean Architecture - Clean Coder Blog</w:t>
              </w:r>
            </w:hyperlink>
            <w:r>
              <w:rPr>
                <w:sz w:val="17"/>
              </w:rPr>
              <w:t xml:space="preserve"> (https://blog.cleancoder.com/uncle-bob/2012/08/13/the-clean-architecture.html)</w:t>
            </w:r>
          </w:p>
        </w:tc>
      </w:tr>
    </w:tbl>
    <w:p>
      <w:pPr>
        <w:pStyle w:val="Heading2"/>
      </w:pPr>
      <w:r>
        <w:t>P03 - DDD / Bounded Contexts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Model the business by explicit contexts with their own language, rules, data ownership, APIs, and events.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Define ubiquitous language per bounded context.</w:t>
              <w:br/>
              <w:t>• Do not share mutable database ownership across contexts.</w:t>
              <w:br/>
              <w:t>• Integrate through contracts, events, adapters, and anti-corruption layers.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AIRA modules map to bounded contexts and service ownership.</w:t>
              <w:br/>
              <w:t>• PostgreSQL schemas and Flyway migrations have explicit owners.</w:t>
              <w:br/>
              <w:t>• Cross-context interactions use OpenAPI, AsyncAPI, CloudEvents, or projections.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4">
              <w:r>
                <w:rPr>
                  <w:color w:val="0563C1"/>
                  <w:u w:val="single"/>
                </w:rPr>
                <w:t>Domain-Driven Design - Martin Fowler</w:t>
              </w:r>
            </w:hyperlink>
            <w:r>
              <w:rPr>
                <w:sz w:val="17"/>
              </w:rPr>
              <w:t xml:space="preserve"> (https://martinfowler.com/bliki/DomainDrivenDesign.html)</w:t>
            </w:r>
            <w:r>
              <w:rPr>
                <w:sz w:val="17"/>
              </w:rPr>
              <w:br/>
            </w:r>
            <w:hyperlink r:id="rId15">
              <w:r>
                <w:rPr>
                  <w:color w:val="0563C1"/>
                  <w:u w:val="single"/>
                </w:rPr>
                <w:t>Bounded Context - Martin Fowler</w:t>
              </w:r>
            </w:hyperlink>
            <w:r>
              <w:rPr>
                <w:sz w:val="17"/>
              </w:rPr>
              <w:t xml:space="preserve"> (https://martinfowler.com/bliki/BoundedContext.html)</w:t>
            </w:r>
          </w:p>
        </w:tc>
      </w:tr>
    </w:tbl>
    <w:p>
      <w:pPr>
        <w:pStyle w:val="Heading2"/>
      </w:pPr>
      <w:r>
        <w:t>P04 - Ports and Adapters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Keep the application core independent from delivery channels and external dependencies.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Define inbound ports for use cases and outbound ports for dependencies.</w:t>
              <w:br/>
              <w:t>• Implement adapters for REST, Kafka, database, OpenKM, LiteLLM, Temporal, Flowable, and external APIs.</w:t>
              <w:br/>
              <w:t>• Use contract tests to prove adapters obey ports.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OpenKM, Kafka, Vault, LiteLLM, Keycloak, and PostgreSQL are adapters, not domain dependencies.</w:t>
              <w:br/>
              <w:t>• Business logic uses framework context and ports only.</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6">
              <w:r>
                <w:rPr>
                  <w:color w:val="0563C1"/>
                  <w:u w:val="single"/>
                </w:rPr>
                <w:t>Hexagonal Architecture - Alistair Cockburn</w:t>
              </w:r>
            </w:hyperlink>
            <w:r>
              <w:rPr>
                <w:sz w:val="17"/>
              </w:rPr>
              <w:t xml:space="preserve"> (https://alistair.cockburn.us/hexagonal-architecture)</w:t>
            </w:r>
          </w:p>
        </w:tc>
      </w:tr>
    </w:tbl>
    <w:p>
      <w:pPr>
        <w:pStyle w:val="Heading2"/>
      </w:pPr>
      <w:r>
        <w:t>P05 - DRY, KISS, YAGNI</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Reduce duplicate logic, unnecessary complexity, and speculative features.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Standardize repeated enterprise concerns as platform functions.</w:t>
              <w:br/>
              <w:t>• Prefer simple deterministic designs over clever abstractions.</w:t>
              <w:br/>
              <w:t>• Avoid building features until a real requirement, test, or risk justifies them.</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MicroFunction framework owns reusable plumbing.</w:t>
              <w:br/>
              <w:t>• Developers add STP-BUS-* logic only for genuine business gaps.</w:t>
              <w:br/>
              <w:t>• Review rejects duplicate validation, audit, logging, retry, and security plumbing.</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7">
              <w:r>
                <w:rPr>
                  <w:color w:val="0563C1"/>
                  <w:u w:val="single"/>
                </w:rPr>
                <w:t>DRY - The Pragmatic Programmer</w:t>
              </w:r>
            </w:hyperlink>
            <w:r>
              <w:rPr>
                <w:sz w:val="17"/>
              </w:rPr>
              <w:t xml:space="preserve"> (https://pragprog.com/titles/tpp20/the-pragmatic-programmer-20th-anniversary-edition/)</w:t>
            </w:r>
            <w:r>
              <w:rPr>
                <w:sz w:val="17"/>
              </w:rPr>
              <w:br/>
            </w:r>
            <w:hyperlink r:id="rId18">
              <w:r>
                <w:rPr>
                  <w:color w:val="0563C1"/>
                  <w:u w:val="single"/>
                </w:rPr>
                <w:t>YAGNI - Martin Fowler</w:t>
              </w:r>
            </w:hyperlink>
            <w:r>
              <w:rPr>
                <w:sz w:val="17"/>
              </w:rPr>
              <w:t xml:space="preserve"> (https://martinfowler.com/bliki/Yagni.html)</w:t>
            </w:r>
          </w:p>
        </w:tc>
      </w:tr>
    </w:tbl>
    <w:p>
      <w:pPr>
        <w:pStyle w:val="Heading2"/>
      </w:pPr>
      <w:r>
        <w:t>P06 - Idempotency by Design</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Ensure retries, replay, and duplicate requests do not create duplicate business effects.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Use idempotency keys, request hashes, processed-event registries, and natural-key constraints.</w:t>
              <w:br/>
              <w:t>• Make mutation paths retry-safe before enabling automatic retry.</w:t>
              <w:br/>
              <w:t>• Record original safe response for legitimate duplicate submissions.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Mutating MicroFunction transactions declare idempotency and error policy.</w:t>
              <w:br/>
              <w:t>• Kafka consumers, Temporal workflows, and REST commands are deduplicated.</w:t>
              <w:br/>
              <w:t>• Idempotency evidence appears in audit and tests.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19">
              <w:r>
                <w:rPr>
                  <w:color w:val="0563C1"/>
                  <w:u w:val="single"/>
                </w:rPr>
                <w:t>RFC 9110 - HTTP Semantics</w:t>
              </w:r>
            </w:hyperlink>
            <w:r>
              <w:rPr>
                <w:sz w:val="17"/>
              </w:rPr>
              <w:t xml:space="preserve"> (https://www.rfc-editor.org/rfc/rfc9110)</w:t>
            </w:r>
            <w:r>
              <w:rPr>
                <w:sz w:val="17"/>
              </w:rPr>
              <w:br/>
            </w:r>
            <w:hyperlink r:id="rId20">
              <w:r>
                <w:rPr>
                  <w:color w:val="0563C1"/>
                  <w:u w:val="single"/>
                </w:rPr>
                <w:t>Stripe Idempotent Requests</w:t>
              </w:r>
            </w:hyperlink>
            <w:r>
              <w:rPr>
                <w:sz w:val="17"/>
              </w:rPr>
              <w:t xml:space="preserve"> (https://docs.stripe.com/api/idempotent_requests)</w:t>
            </w:r>
          </w:p>
        </w:tc>
      </w:tr>
    </w:tbl>
    <w:p>
      <w:pPr>
        <w:pStyle w:val="Heading2"/>
      </w:pPr>
      <w:r>
        <w:t>P07 - Determinism and Reproducibility</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Make builds, tests, environments, and AI evaluations repeatable and evidence-producing.</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Pin dependencies and tool versions.</w:t>
              <w:br/>
              <w:t>• Use deterministic tests with controlled clocks, random seeds, fixtures, and network mocks.</w:t>
              <w:br/>
              <w:t>• Build from Golden Source and produce signed provenance.</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Greenfield environments are rebuilt from clean baselines.</w:t>
              <w:br/>
              <w:t>• CI evidence includes dependency lock, SBOM, artifact digest, and test reports.</w:t>
              <w:br/>
              <w:t>• AI evaluations use versioned golden datasets.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1">
              <w:r>
                <w:rPr>
                  <w:color w:val="0563C1"/>
                  <w:u w:val="single"/>
                </w:rPr>
                <w:t>Reproducible Builds</w:t>
              </w:r>
            </w:hyperlink>
            <w:r>
              <w:rPr>
                <w:sz w:val="17"/>
              </w:rPr>
              <w:t xml:space="preserve"> (https://reproducible-builds.org/)</w:t>
            </w:r>
            <w:r>
              <w:rPr>
                <w:sz w:val="17"/>
              </w:rPr>
              <w:br/>
            </w:r>
            <w:hyperlink r:id="rId22">
              <w:r>
                <w:rPr>
                  <w:color w:val="0563C1"/>
                  <w:u w:val="single"/>
                </w:rPr>
                <w:t>SLSA Framework</w:t>
              </w:r>
            </w:hyperlink>
            <w:r>
              <w:rPr>
                <w:sz w:val="17"/>
              </w:rPr>
              <w:t xml:space="preserve"> (https://slsa.dev/)</w:t>
            </w:r>
          </w:p>
        </w:tc>
      </w:tr>
    </w:tbl>
    <w:p>
      <w:pPr>
        <w:pStyle w:val="Heading2"/>
      </w:pPr>
      <w:r>
        <w:t>P08 - Fail-Safe, Not Fail-Open</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Block protected actions when critical controls are unavailable or uncertain.</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Default deny when identity, policy, guardrail, routing, or audit status is unknown.</w:t>
              <w:br/>
              <w:t>• Return safe errors without leaking internals.</w:t>
              <w:br/>
              <w:t>• Avoid bypass flags for guardrails, OPA, Harness, Vault, or audit.</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If OPA, Vault, Keycloak, LiteLLM, NeMo Guardrails, Harness, or audit is unavailable, protected operations are blocked.</w:t>
              <w:br/>
              <w:t>• Failure paths are tested and evidenced.</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3">
              <w:r>
                <w:rPr>
                  <w:color w:val="0563C1"/>
                  <w:u w:val="single"/>
                </w:rPr>
                <w:t>OWASP Authentication Cheat Sheet</w:t>
              </w:r>
            </w:hyperlink>
            <w:r>
              <w:rPr>
                <w:sz w:val="17"/>
              </w:rPr>
              <w:t xml:space="preserve"> (https://cheatsheetseries.owasp.org/cheatsheets/Authentication_Cheat_Sheet.html)</w:t>
            </w:r>
            <w:r>
              <w:rPr>
                <w:sz w:val="17"/>
              </w:rPr>
              <w:br/>
            </w:r>
            <w:hyperlink r:id="rId24">
              <w:r>
                <w:rPr>
                  <w:color w:val="0563C1"/>
                  <w:u w:val="single"/>
                </w:rPr>
                <w:t>NIST SP 800-53 Security Controls</w:t>
              </w:r>
            </w:hyperlink>
            <w:r>
              <w:rPr>
                <w:sz w:val="17"/>
              </w:rPr>
              <w:t xml:space="preserve"> (https://csrc.nist.gov/publications/detail/sp/800-53/rev-5/final)</w:t>
            </w:r>
          </w:p>
        </w:tc>
      </w:tr>
    </w:tbl>
    <w:p>
      <w:pPr>
        <w:pStyle w:val="Heading2"/>
      </w:pPr>
      <w:r>
        <w:t>P09 - Human-in-the-Loop</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Keep named human accountability for high-impact, low-confidence, risky, or regulated actions.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Require human review for high-risk AI outputs and production-impacting changes.</w:t>
              <w:br/>
              <w:t>• Route approvals through Flowable or equivalent workflow evidence.</w:t>
              <w:br/>
              <w:t>• Keep AI recommendation separate from execution authority.</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Hermes may reason; Harness executes after SBAC, OPA, trust, classification, and approval.</w:t>
              <w:br/>
              <w:t>• Auto-Heal and Auto-Improve produce candidates, not unreviewed production changes.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5">
              <w:r>
                <w:rPr>
                  <w:color w:val="0563C1"/>
                  <w:u w:val="single"/>
                </w:rPr>
                <w:t>NIST AI Risk Management Framework</w:t>
              </w:r>
            </w:hyperlink>
            <w:r>
              <w:rPr>
                <w:sz w:val="17"/>
              </w:rPr>
              <w:t xml:space="preserve"> (https://www.nist.gov/itl/ai-risk-management-framework)</w:t>
            </w:r>
            <w:r>
              <w:rPr>
                <w:sz w:val="17"/>
              </w:rPr>
              <w:br/>
            </w:r>
            <w:hyperlink r:id="rId26">
              <w:r>
                <w:rPr>
                  <w:color w:val="0563C1"/>
                  <w:u w:val="single"/>
                </w:rPr>
                <w:t>EU AI Act - European Commission</w:t>
              </w:r>
            </w:hyperlink>
            <w:r>
              <w:rPr>
                <w:sz w:val="17"/>
              </w:rPr>
              <w:t xml:space="preserve"> (https://digital-strategy.ec.europa.eu/en/policies/regulatory-framework-ai)</w:t>
            </w:r>
          </w:p>
        </w:tc>
      </w:tr>
    </w:tbl>
    <w:p>
      <w:pPr>
        <w:pStyle w:val="Heading2"/>
      </w:pPr>
      <w:r>
        <w:t>P10 - Least Privilege / SBAC</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Grant only the access, skill, scope, and duration required for the task.</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Use named identities, MFA, least privilege, short-lived access, and periodic access review.</w:t>
              <w:br/>
              <w:t>• Apply RBAC/ABAC for people and SBAC for AI/human skills.</w:t>
              <w:br/>
              <w:t>• Validate privileged actions through policy-as-code.</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Developers, services, and AI agents use named accounts and bounded scopes.</w:t>
              <w:br/>
              <w:t>• SBAC gates agent actions by approved skill, trust score, classification, and risk tier.</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4">
              <w:r>
                <w:rPr>
                  <w:color w:val="0563C1"/>
                  <w:u w:val="single"/>
                </w:rPr>
                <w:t>NIST SP 800-53 AC-6 Least Privilege</w:t>
              </w:r>
            </w:hyperlink>
            <w:r>
              <w:rPr>
                <w:sz w:val="17"/>
              </w:rPr>
              <w:t xml:space="preserve"> (https://csrc.nist.gov/publications/detail/sp/800-53/rev-5/final)</w:t>
            </w:r>
            <w:r>
              <w:rPr>
                <w:sz w:val="17"/>
              </w:rPr>
              <w:br/>
            </w:r>
            <w:hyperlink r:id="rId27">
              <w:r>
                <w:rPr>
                  <w:color w:val="0563C1"/>
                  <w:u w:val="single"/>
                </w:rPr>
                <w:t>OWASP ASVS</w:t>
              </w:r>
            </w:hyperlink>
            <w:r>
              <w:rPr>
                <w:sz w:val="17"/>
              </w:rPr>
              <w:t xml:space="preserve"> (https://owasp.org/www-project-application-security-verification-standard/)</w:t>
            </w:r>
          </w:p>
        </w:tc>
      </w:tr>
    </w:tbl>
    <w:p>
      <w:pPr>
        <w:pStyle w:val="Heading2"/>
      </w:pPr>
      <w:r>
        <w:t>P11 - Separation of Duties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Prevent one person, role, service, or AI agent from initiating, approving, and executing high-risk change alone.</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Separate maker, checker, approver, deployer, and auditor responsibilities.</w:t>
              <w:br/>
              <w:t>• Require CODEOWNERS and reviewer independence for high-risk areas.</w:t>
              <w:br/>
              <w:t>• Use workflow evidence for exceptions and approvals.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AI cannot approve its own PR or execute production changes.</w:t>
              <w:br/>
              <w:t>• Architecture, security, data, and operations approvals are separated where required.</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4">
              <w:r>
                <w:rPr>
                  <w:color w:val="0563C1"/>
                  <w:u w:val="single"/>
                </w:rPr>
                <w:t>NIST SP 800-53 AC-5 Separation of Duties</w:t>
              </w:r>
            </w:hyperlink>
            <w:r>
              <w:rPr>
                <w:sz w:val="17"/>
              </w:rPr>
              <w:t xml:space="preserve"> (https://csrc.nist.gov/publications/detail/sp/800-53/rev-5/final)</w:t>
            </w:r>
            <w:r>
              <w:rPr>
                <w:sz w:val="17"/>
              </w:rPr>
              <w:br/>
            </w:r>
            <w:hyperlink r:id="rId28">
              <w:r>
                <w:rPr>
                  <w:color w:val="0563C1"/>
                  <w:u w:val="single"/>
                </w:rPr>
                <w:t>CIS Controls</w:t>
              </w:r>
            </w:hyperlink>
            <w:r>
              <w:rPr>
                <w:sz w:val="17"/>
              </w:rPr>
              <w:t xml:space="preserve"> (https://www.cisecurity.org/controls)</w:t>
            </w:r>
          </w:p>
        </w:tc>
      </w:tr>
    </w:tbl>
    <w:p>
      <w:pPr>
        <w:pStyle w:val="Heading2"/>
      </w:pPr>
      <w:r>
        <w:t>P12 - Observability by Design</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Design traceability, metrics, logs, audit, and AI telemetry before production use.</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Emit traces, metrics, logs, and audit events with correlation IDs.</w:t>
              <w:br/>
              <w:t>• Redact secrets and PII from telemetry.</w:t>
              <w:br/>
              <w:t>• Define SLOs, dashboards, alerts, and evidence paths.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OpenTelemetry, Prometheus, Loki, Tempo, Grafana, Sentry, SigNoz, and audit stores are part of the design.</w:t>
              <w:br/>
              <w:t>• Every critical flow can be reconstructed through trace_id and evidence references.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9">
              <w:r>
                <w:rPr>
                  <w:color w:val="0563C1"/>
                  <w:u w:val="single"/>
                </w:rPr>
                <w:t>OpenTelemetry</w:t>
              </w:r>
            </w:hyperlink>
            <w:r>
              <w:rPr>
                <w:sz w:val="17"/>
              </w:rPr>
              <w:t xml:space="preserve"> (https://opentelemetry.io/)</w:t>
            </w:r>
            <w:r>
              <w:rPr>
                <w:sz w:val="17"/>
              </w:rPr>
              <w:br/>
            </w:r>
            <w:hyperlink r:id="rId30">
              <w:r>
                <w:rPr>
                  <w:color w:val="0563C1"/>
                  <w:u w:val="single"/>
                </w:rPr>
                <w:t>Google SRE Book - Monitoring Distributed Systems</w:t>
              </w:r>
            </w:hyperlink>
            <w:r>
              <w:rPr>
                <w:sz w:val="17"/>
              </w:rPr>
              <w:t xml:space="preserve"> (https://sre.google/sre-book/monitoring-distributed-systems/)</w:t>
            </w:r>
            <w:r>
              <w:rPr>
                <w:sz w:val="17"/>
              </w:rPr>
              <w:br/>
            </w:r>
            <w:hyperlink r:id="rId44">
              <w:r>
                <w:rPr>
                  <w:color w:val="0563C1"/>
                  <w:u w:val="single"/>
                </w:rPr>
                <w:t>SigNoz Documentation</w:t>
              </w:r>
            </w:hyperlink>
            <w:r>
              <w:rPr>
                <w:sz w:val="17"/>
              </w:rPr>
              <w:t xml:space="preserve"> (https://signoz.io/docs/)</w:t>
            </w:r>
          </w:p>
        </w:tc>
      </w:tr>
    </w:tbl>
    <w:p>
      <w:pPr>
        <w:pStyle w:val="Heading2"/>
      </w:pPr>
      <w:r>
        <w:t>P13 - Policy as Code</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Express security, compliance, architecture, and deployment rules as reviewable code.</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Write policies in OPA/Rego or approved policy engines.</w:t>
              <w:br/>
              <w:t>• Test policies with positive and negative cases.</w:t>
              <w:br/>
              <w:t>• Run policy checks locally and in CI/CD.</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OPA/Conftest gates repository, model routing, Kubernetes, CI/CD, secrets, and Harness actions.</w:t>
              <w:br/>
              <w:t>• Policy changes are reviewed like source code.</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31">
              <w:r>
                <w:rPr>
                  <w:color w:val="0563C1"/>
                  <w:u w:val="single"/>
                </w:rPr>
                <w:t>Open Policy Agent</w:t>
              </w:r>
            </w:hyperlink>
            <w:r>
              <w:rPr>
                <w:sz w:val="17"/>
              </w:rPr>
              <w:t xml:space="preserve"> (https://www.openpolicyagent.org/)</w:t>
            </w:r>
            <w:r>
              <w:rPr>
                <w:sz w:val="17"/>
              </w:rPr>
              <w:br/>
            </w:r>
            <w:hyperlink r:id="rId32">
              <w:r>
                <w:rPr>
                  <w:color w:val="0563C1"/>
                  <w:u w:val="single"/>
                </w:rPr>
                <w:t>Conftest</w:t>
              </w:r>
            </w:hyperlink>
            <w:r>
              <w:rPr>
                <w:sz w:val="17"/>
              </w:rPr>
              <w:t xml:space="preserve"> (https://www.conftest.dev/)</w:t>
            </w:r>
          </w:p>
        </w:tc>
      </w:tr>
    </w:tbl>
    <w:p>
      <w:pPr>
        <w:pStyle w:val="Heading2"/>
      </w:pPr>
      <w:r>
        <w:t>P14 - Testability by Design</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Make code, configuration, workflows, and AI behavior easy to test deterministically.</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Use dependency injection, ports, deterministic fixtures, and isolated units.</w:t>
              <w:br/>
              <w:t>• Write tests before or with implementation.</w:t>
              <w:br/>
              <w:t>• Test success, error, security, idempotency, and rollback paths.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TDD and red-green-refactor are mandatory where feasible.</w:t>
              <w:br/>
              <w:t>• Architecture fitness, contract, security, unit, component, E2E, and AI evaluations produce evidence.</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33">
              <w:r>
                <w:rPr>
                  <w:color w:val="0563C1"/>
                  <w:u w:val="single"/>
                </w:rPr>
                <w:t>Martin Fowler - Test Pyramid</w:t>
              </w:r>
            </w:hyperlink>
            <w:r>
              <w:rPr>
                <w:sz w:val="17"/>
              </w:rPr>
              <w:t xml:space="preserve"> (https://martinfowler.com/bliki/TestPyramid.html)</w:t>
            </w:r>
            <w:r>
              <w:rPr>
                <w:sz w:val="17"/>
              </w:rPr>
              <w:br/>
            </w:r>
            <w:hyperlink r:id="rId34">
              <w:r>
                <w:rPr>
                  <w:color w:val="0563C1"/>
                  <w:u w:val="single"/>
                </w:rPr>
                <w:t>JUnit 5 User Guide</w:t>
              </w:r>
            </w:hyperlink>
            <w:r>
              <w:rPr>
                <w:sz w:val="17"/>
              </w:rPr>
              <w:t xml:space="preserve"> (https://junit.org/junit5/docs/current/user-guide/)</w:t>
            </w:r>
          </w:p>
        </w:tc>
      </w:tr>
    </w:tbl>
    <w:p>
      <w:pPr>
        <w:pStyle w:val="Heading2"/>
      </w:pPr>
      <w:r>
        <w:t>P15 - Secure by Design</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Build security into architecture, code, identity, data, AI, and operations from the start.</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Threat-model high-risk capabilities.</w:t>
              <w:br/>
              <w:t>• Use secure defaults, input validation, output encoding, secrets management, mTLS, and least privilege.</w:t>
              <w:br/>
              <w:t>• Scan code, dependencies, containers, IaC, and secrets in CI/CD.</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AIRA uses Keycloak/AD, Vault/OpenBao, SPIFFE/SVID, OPA, SBAC, Guardrails, and audit evidence.</w:t>
              <w:br/>
              <w:t>• Security is part of Definition of Done.</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35">
              <w:r>
                <w:rPr>
                  <w:color w:val="0563C1"/>
                  <w:u w:val="single"/>
                </w:rPr>
                <w:t>CISA Secure by Design</w:t>
              </w:r>
            </w:hyperlink>
            <w:r>
              <w:rPr>
                <w:sz w:val="17"/>
              </w:rPr>
              <w:t xml:space="preserve"> (https://www.cisa.gov/securebydesign)</w:t>
            </w:r>
            <w:r>
              <w:rPr>
                <w:sz w:val="17"/>
              </w:rPr>
              <w:br/>
            </w:r>
            <w:hyperlink r:id="rId36">
              <w:r>
                <w:rPr>
                  <w:color w:val="0563C1"/>
                  <w:u w:val="single"/>
                </w:rPr>
                <w:t>NIST SSDF SP 800-218</w:t>
              </w:r>
            </w:hyperlink>
            <w:r>
              <w:rPr>
                <w:sz w:val="17"/>
              </w:rPr>
              <w:t xml:space="preserve"> (https://csrc.nist.gov/publications/detail/sp/800-218/final)</w:t>
            </w:r>
            <w:r>
              <w:rPr>
                <w:sz w:val="17"/>
              </w:rPr>
              <w:br/>
            </w:r>
            <w:hyperlink r:id="rId27">
              <w:r>
                <w:rPr>
                  <w:color w:val="0563C1"/>
                  <w:u w:val="single"/>
                </w:rPr>
                <w:t>OWASP ASVS</w:t>
              </w:r>
            </w:hyperlink>
            <w:r>
              <w:rPr>
                <w:sz w:val="17"/>
              </w:rPr>
              <w:t xml:space="preserve"> (https://owasp.org/www-project-application-security-verification-standard/)</w:t>
            </w:r>
          </w:p>
        </w:tc>
      </w:tr>
    </w:tbl>
    <w:p>
      <w:pPr>
        <w:pStyle w:val="Heading2"/>
      </w:pPr>
      <w:r>
        <w:t>P16 - Resilience Patterns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Protect user experience and data correctness despite dependency failure, latency, retries, and partial outage.</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Use timeouts, retries with backoff, circuit breakers, bulkheads, rate limits, fallback, outbox, saga, and DLQ.</w:t>
              <w:br/>
              <w:t>• Avoid retry storms and uncontrolled cascading failure.</w:t>
              <w:br/>
              <w:t>• Test degradation and recovery paths.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Resilience4j, Temporal, Kafka DLQ, transactional outbox, and compensation are standard patterns.</w:t>
              <w:br/>
              <w:t>• Resilience behavior is declared in MicroFunction policies.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37">
              <w:r>
                <w:rPr>
                  <w:color w:val="0563C1"/>
                  <w:u w:val="single"/>
                </w:rPr>
                <w:t>Microsoft Cloud Design Patterns</w:t>
              </w:r>
            </w:hyperlink>
            <w:r>
              <w:rPr>
                <w:sz w:val="17"/>
              </w:rPr>
              <w:t xml:space="preserve"> (https://learn.microsoft.com/azure/architecture/patterns/)</w:t>
            </w:r>
            <w:r>
              <w:rPr>
                <w:sz w:val="17"/>
              </w:rPr>
              <w:br/>
            </w:r>
            <w:hyperlink r:id="rId38">
              <w:r>
                <w:rPr>
                  <w:color w:val="0563C1"/>
                  <w:u w:val="single"/>
                </w:rPr>
                <w:t>Resilience4j Documentation</w:t>
              </w:r>
            </w:hyperlink>
            <w:r>
              <w:rPr>
                <w:sz w:val="17"/>
              </w:rPr>
              <w:t xml:space="preserve"> (https://resilience4j.readme.io/)</w:t>
            </w:r>
          </w:p>
        </w:tc>
      </w:tr>
    </w:tbl>
    <w:p>
      <w:pPr>
        <w:pStyle w:val="Heading2"/>
      </w:pPr>
      <w:r>
        <w:t>P17 - Architectural Fitness Functions</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Continuously test whether the architecture still satisfies its required qualities.</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Define executable checks for dependency direction, layering, security, migration rules, and model-routing constraints.</w:t>
              <w:br/>
              <w:t>• Run fitness functions in CI/CD.</w:t>
              <w:br/>
              <w:t>• Treat failing architecture checks as defects.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AIRA uses fitness functions to enforce Clean Architecture, DDD boundaries, no direct model calls, no forbidden dependencies, and evidence completeness.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39">
              <w:r>
                <w:rPr>
                  <w:color w:val="0563C1"/>
                  <w:u w:val="single"/>
                </w:rPr>
                <w:t>Thoughtworks - Evolutionary Architecture</w:t>
              </w:r>
            </w:hyperlink>
            <w:r>
              <w:rPr>
                <w:sz w:val="17"/>
              </w:rPr>
              <w:t xml:space="preserve"> (https://www.thoughtworks.com/insights/books/building-evolutionary-architectures)</w:t>
            </w:r>
            <w:r>
              <w:rPr>
                <w:sz w:val="17"/>
              </w:rPr>
              <w:br/>
            </w:r>
            <w:hyperlink r:id="rId40">
              <w:r>
                <w:rPr>
                  <w:color w:val="0563C1"/>
                  <w:u w:val="single"/>
                </w:rPr>
                <w:t>Neal Ford - Evolutionary Architecture</w:t>
              </w:r>
            </w:hyperlink>
            <w:r>
              <w:rPr>
                <w:sz w:val="17"/>
              </w:rPr>
              <w:t xml:space="preserve"> (https://nealford.com/books/building-evolutionary-architectures/)</w:t>
            </w:r>
          </w:p>
        </w:tc>
      </w:tr>
    </w:tbl>
    <w:p>
      <w:pPr>
        <w:pStyle w:val="Heading2"/>
      </w:pPr>
      <w:r>
        <w:t>P18 - Progressive Autonomy</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Increase automation authority gradually based on evidence, bounded scope, trust, and risk.</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Start with recommend-only AI behavior.</w:t>
              <w:br/>
              <w:t>• Promote to draft, test, propose PR, and limited execution only after evidence thresholds are met.</w:t>
              <w:br/>
              <w:t>• Decay trust after incidents or stale skills.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Agent trust is skill-based, scoped, decaying, and mediated by Harness.</w:t>
              <w:br/>
              <w:t>• Autonomy never bypasses human accountability for high-impact actions.</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5">
              <w:r>
                <w:rPr>
                  <w:color w:val="0563C1"/>
                  <w:u w:val="single"/>
                </w:rPr>
                <w:t>NIST AI RMF</w:t>
              </w:r>
            </w:hyperlink>
            <w:r>
              <w:rPr>
                <w:sz w:val="17"/>
              </w:rPr>
              <w:t xml:space="preserve"> (https://www.nist.gov/itl/ai-risk-management-framework)</w:t>
            </w:r>
            <w:r>
              <w:rPr>
                <w:sz w:val="17"/>
              </w:rPr>
              <w:br/>
            </w:r>
            <w:hyperlink r:id="rId41">
              <w:r>
                <w:rPr>
                  <w:color w:val="0563C1"/>
                  <w:u w:val="single"/>
                </w:rPr>
                <w:t>NIST AI 600-1 Generative AI Profile</w:t>
              </w:r>
            </w:hyperlink>
            <w:r>
              <w:rPr>
                <w:sz w:val="17"/>
              </w:rPr>
              <w:t xml:space="preserve"> (https://www.nist.gov/itl/ai-risk-management-framework/generative-artificial-intelligence)</w:t>
            </w:r>
          </w:p>
        </w:tc>
      </w:tr>
    </w:tbl>
    <w:p>
      <w:pPr>
        <w:pStyle w:val="Heading2"/>
      </w:pPr>
      <w:r>
        <w:t>P19 - Reversibility / Rollbackability</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Make changes recoverable through rollback, forward-fix, compensation, or reprocessing.</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Define rollback, forward-fix, or compensation before release.</w:t>
              <w:br/>
              <w:t>• Use GitOps, versioned migrations, feature flags, and outbox/replay where appropriate.</w:t>
              <w:br/>
              <w:t>• Practice recovery in non-production.</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Argo CD, Kubernetes, Flyway, Temporal compensation, DLQ replay, and cache rebuild are governed recovery mechanisms.</w:t>
              <w:br/>
              <w:t>• No change is complete without a rework or rollback path.</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42">
              <w:r>
                <w:rPr>
                  <w:color w:val="0563C1"/>
                  <w:u w:val="single"/>
                </w:rPr>
                <w:t>Kubernetes Deployments</w:t>
              </w:r>
            </w:hyperlink>
            <w:r>
              <w:rPr>
                <w:sz w:val="17"/>
              </w:rPr>
              <w:t xml:space="preserve"> (https://kubernetes.io/docs/concepts/workloads/controllers/deployment/)</w:t>
            </w:r>
            <w:r>
              <w:rPr>
                <w:sz w:val="17"/>
              </w:rPr>
              <w:br/>
            </w:r>
            <w:hyperlink r:id="rId43">
              <w:r>
                <w:rPr>
                  <w:color w:val="0563C1"/>
                  <w:u w:val="single"/>
                </w:rPr>
                <w:t>Argo CD Documentation</w:t>
              </w:r>
            </w:hyperlink>
            <w:r>
              <w:rPr>
                <w:sz w:val="17"/>
              </w:rPr>
              <w:t xml:space="preserve"> (https://argo-cd.readthedocs.io/)</w:t>
            </w:r>
          </w:p>
        </w:tc>
      </w:tr>
    </w:tbl>
    <w:p>
      <w:pPr>
        <w:pStyle w:val="Heading2"/>
      </w:pPr>
      <w:r>
        <w:t>P20 - AVCI</w:t>
      </w:r>
    </w:p>
    <w:tbl>
      <w:tblPr>
        <w:tblW w:type="auto" w:w="0"/>
        <w:tblLayout w:type="autofit"/>
        <w:tblLook w:firstColumn="1" w:firstRow="1" w:lastColumn="0" w:lastRow="0" w:noHBand="0" w:noVBand="1" w:val="04A0"/>
        <w:jc w:val="center"/>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D9EAF7"/>
            <w:vAlign w:val="top"/>
          </w:tcPr>
          <w:p>
            <w:pPr>
              <w:spacing w:after="20"/>
            </w:pPr>
            <w:r>
              <w:rPr>
                <w:sz w:val="17"/>
              </w:rPr>
              <w:t>Intent</w:t>
            </w:r>
          </w:p>
        </w:tc>
        <w:tc>
          <w:tcPr>
            <w:tcW w:type="dxa" w:w="5184"/>
            <w:vAlign w:val="top"/>
          </w:tcPr>
          <w:p>
            <w:pPr>
              <w:spacing w:after="20"/>
            </w:pPr>
            <w:r>
              <w:rPr>
                <w:sz w:val="17"/>
              </w:rPr>
              <w:t>Make every input, component, process, output, and improvement attributable, verifiable, classifiable, and improvable.</w:t>
            </w:r>
          </w:p>
        </w:tc>
      </w:tr>
      <w:tr>
        <w:tc>
          <w:tcPr>
            <w:tcW w:type="dxa" w:w="5184"/>
            <w:shd w:fill="D9EAF7"/>
            <w:vAlign w:val="top"/>
          </w:tcPr>
          <w:p>
            <w:pPr>
              <w:spacing w:after="20"/>
            </w:pPr>
            <w:r>
              <w:rPr>
                <w:sz w:val="17"/>
              </w:rPr>
              <w:t>Implementation Guidelines</w:t>
            </w:r>
          </w:p>
        </w:tc>
        <w:tc>
          <w:tcPr>
            <w:tcW w:type="dxa" w:w="5184"/>
            <w:vAlign w:val="top"/>
          </w:tcPr>
          <w:p>
            <w:pPr>
              <w:spacing w:after="20"/>
            </w:pPr>
            <w:r>
              <w:rPr>
                <w:sz w:val="17"/>
              </w:rPr>
              <w:t>• Record owner, source, reason, version, evidence, classification, and improvement path.</w:t>
              <w:br/>
              <w:t>• Block production readiness when any AVCI property is missing.</w:t>
              <w:br/>
              <w:t>• Apply AVCI to human work, automation, and AI outputs.</w:t>
            </w:r>
          </w:p>
        </w:tc>
      </w:tr>
      <w:tr>
        <w:tc>
          <w:tcPr>
            <w:tcW w:type="dxa" w:w="5184"/>
            <w:shd w:fill="D9EAF7"/>
            <w:vAlign w:val="top"/>
          </w:tcPr>
          <w:p>
            <w:pPr>
              <w:spacing w:after="20"/>
            </w:pPr>
            <w:r>
              <w:rPr>
                <w:sz w:val="17"/>
              </w:rPr>
              <w:t>AIRA Enforcement Notes</w:t>
            </w:r>
          </w:p>
        </w:tc>
        <w:tc>
          <w:tcPr>
            <w:tcW w:type="dxa" w:w="5184"/>
            <w:vAlign w:val="top"/>
          </w:tcPr>
          <w:p>
            <w:pPr>
              <w:spacing w:after="20"/>
            </w:pPr>
            <w:r>
              <w:rPr>
                <w:sz w:val="17"/>
              </w:rPr>
              <w:t>• AVCI is the universal AIRA quality gate for code, prompts, models, configs, data, tests, evidence, and decisions.</w:t>
              <w:br/>
              <w:t>• PR/MR templates, evidence packs, and review gates enforce AVCI by construction.</w:t>
            </w:r>
          </w:p>
        </w:tc>
      </w:tr>
      <w:tr>
        <w:tc>
          <w:tcPr>
            <w:tcW w:type="dxa" w:w="5184"/>
            <w:shd w:fill="D9EAF7"/>
            <w:vAlign w:val="top"/>
          </w:tcPr>
          <w:p>
            <w:pPr>
              <w:spacing w:after="20"/>
            </w:pPr>
            <w:r>
              <w:rPr>
                <w:sz w:val="17"/>
              </w:rPr>
              <w:t>Reference Websites</w:t>
            </w:r>
          </w:p>
        </w:tc>
        <w:tc>
          <w:tcPr>
            <w:tcW w:type="dxa" w:w="5184"/>
            <w:vAlign w:val="top"/>
          </w:tcPr>
          <w:p>
            <w:pPr>
              <w:spacing w:after="20"/>
            </w:pPr>
            <w:hyperlink r:id="rId25">
              <w:r>
                <w:rPr>
                  <w:color w:val="0563C1"/>
                  <w:u w:val="single"/>
                </w:rPr>
                <w:t>NIST AI RMF</w:t>
              </w:r>
            </w:hyperlink>
            <w:r>
              <w:rPr>
                <w:sz w:val="17"/>
              </w:rPr>
              <w:t xml:space="preserve"> (https://www.nist.gov/itl/ai-risk-management-framework)</w:t>
            </w:r>
            <w:r>
              <w:rPr>
                <w:sz w:val="17"/>
              </w:rPr>
              <w:br/>
            </w:r>
            <w:hyperlink r:id="rId36">
              <w:r>
                <w:rPr>
                  <w:color w:val="0563C1"/>
                  <w:u w:val="single"/>
                </w:rPr>
                <w:t>NIST SSDF SP 800-218</w:t>
              </w:r>
            </w:hyperlink>
            <w:r>
              <w:rPr>
                <w:sz w:val="17"/>
              </w:rPr>
              <w:t xml:space="preserve"> (https://csrc.nist.gov/publications/detail/sp/800-218/final)</w:t>
            </w:r>
            <w:r>
              <w:rPr>
                <w:sz w:val="17"/>
              </w:rPr>
              <w:br/>
            </w:r>
            <w:hyperlink r:id="rId45">
              <w:r>
                <w:rPr>
                  <w:color w:val="0563C1"/>
                  <w:u w:val="single"/>
                </w:rPr>
                <w:t>ISO/IEC 27001 overview</w:t>
              </w:r>
            </w:hyperlink>
            <w:r>
              <w:rPr>
                <w:sz w:val="17"/>
              </w:rPr>
              <w:t xml:space="preserve"> (https://www.iso.org/isoiec-27001-information-security.html)</w:t>
            </w:r>
          </w:p>
        </w:tc>
      </w:tr>
    </w:tbl>
    <w:p>
      <w:pPr>
        <w:pStyle w:val="Heading1"/>
      </w:pPr>
      <w:r>
        <w:t>5. AIRA Enforcement Rules</w:t>
      </w:r>
    </w:p>
    <w:tbl>
      <w:tblPr>
        <w:tblW w:type="auto" w:w="0"/>
        <w:tblLayout w:type="autofit"/>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3456"/>
        <w:gridCol w:w="3456"/>
        <w:gridCol w:w="3456"/>
      </w:tblGrid>
      <w:tr>
        <w:tc>
          <w:tcPr>
            <w:tcW w:type="dxa" w:w="3456"/>
            <w:shd w:fill="1F4E79"/>
          </w:tcPr>
          <w:p>
            <w:r>
              <w:rPr>
                <w:b/>
                <w:color w:val="FFFFFF"/>
              </w:rPr>
              <w:t>Rule ID</w:t>
            </w:r>
          </w:p>
        </w:tc>
        <w:tc>
          <w:tcPr>
            <w:tcW w:type="dxa" w:w="3456"/>
            <w:shd w:fill="1F4E79"/>
          </w:tcPr>
          <w:p>
            <w:r>
              <w:rPr>
                <w:b/>
                <w:color w:val="FFFFFF"/>
              </w:rPr>
              <w:t>Rule</w:t>
            </w:r>
          </w:p>
        </w:tc>
        <w:tc>
          <w:tcPr>
            <w:tcW w:type="dxa" w:w="3456"/>
            <w:shd w:fill="1F4E79"/>
          </w:tcPr>
          <w:p>
            <w:r>
              <w:rPr>
                <w:b/>
                <w:color w:val="FFFFFF"/>
              </w:rPr>
              <w:t>Minimum Enforcement</w:t>
            </w:r>
          </w:p>
        </w:tc>
      </w:tr>
      <w:tr>
        <w:tc>
          <w:tcPr>
            <w:tcW w:type="dxa" w:w="3456"/>
            <w:shd w:fill="EAF2F8"/>
          </w:tcPr>
          <w:p>
            <w:r>
              <w:t>ER-01</w:t>
            </w:r>
          </w:p>
        </w:tc>
        <w:tc>
          <w:tcPr>
            <w:tcW w:type="dxa" w:w="3456"/>
          </w:tcPr>
          <w:p>
            <w:r>
              <w:t>PR/MR Principle Declaration</w:t>
            </w:r>
          </w:p>
        </w:tc>
        <w:tc>
          <w:tcPr>
            <w:tcW w:type="dxa" w:w="3456"/>
          </w:tcPr>
          <w:p>
            <w:r>
              <w:t>Non-trivial changes must declare relevant principle impacts, especially SOLID, security, testability, observability, rollback, and AVCI.</w:t>
            </w:r>
          </w:p>
        </w:tc>
      </w:tr>
      <w:tr>
        <w:tc>
          <w:tcPr>
            <w:tcW w:type="dxa" w:w="3456"/>
            <w:shd w:fill="EAF2F8"/>
          </w:tcPr>
          <w:p>
            <w:r>
              <w:t>ER-02</w:t>
            </w:r>
          </w:p>
        </w:tc>
        <w:tc>
          <w:tcPr>
            <w:tcW w:type="dxa" w:w="3456"/>
          </w:tcPr>
          <w:p>
            <w:r>
              <w:t>Architecture Fitness Functions</w:t>
            </w:r>
          </w:p>
        </w:tc>
        <w:tc>
          <w:tcPr>
            <w:tcW w:type="dxa" w:w="3456"/>
          </w:tcPr>
          <w:p>
            <w:r>
              <w:t>Executable checks must enforce boundary rules such as no direct model provider calls, no forbidden dependencies, no cross-context database writes, and evidence completeness.</w:t>
            </w:r>
          </w:p>
        </w:tc>
      </w:tr>
      <w:tr>
        <w:tc>
          <w:tcPr>
            <w:tcW w:type="dxa" w:w="3456"/>
            <w:shd w:fill="EAF2F8"/>
          </w:tcPr>
          <w:p>
            <w:r>
              <w:t>ER-03</w:t>
            </w:r>
          </w:p>
        </w:tc>
        <w:tc>
          <w:tcPr>
            <w:tcW w:type="dxa" w:w="3456"/>
          </w:tcPr>
          <w:p>
            <w:r>
              <w:t>AI-Assisted Work Control</w:t>
            </w:r>
          </w:p>
        </w:tc>
        <w:tc>
          <w:tcPr>
            <w:tcW w:type="dxa" w:w="3456"/>
          </w:tcPr>
          <w:p>
            <w:r>
              <w:t>AI-generated code, tests, prompts, summaries, and remediation proposals are advisory until verified by a named human and passed through required gates.</w:t>
            </w:r>
          </w:p>
        </w:tc>
      </w:tr>
      <w:tr>
        <w:tc>
          <w:tcPr>
            <w:tcW w:type="dxa" w:w="3456"/>
            <w:shd w:fill="EAF2F8"/>
          </w:tcPr>
          <w:p>
            <w:r>
              <w:t>ER-04</w:t>
            </w:r>
          </w:p>
        </w:tc>
        <w:tc>
          <w:tcPr>
            <w:tcW w:type="dxa" w:w="3456"/>
          </w:tcPr>
          <w:p>
            <w:r>
              <w:t>Auto-Heal / Auto-Learn / Auto-Improve Constraint</w:t>
            </w:r>
          </w:p>
        </w:tc>
        <w:tc>
          <w:tcPr>
            <w:tcW w:type="dxa" w:w="3456"/>
          </w:tcPr>
          <w:p>
            <w:r>
              <w:t>Automated improvement loops must preserve or improve all 20 principles. They cannot trade security, evidence, or reversibility for speed.</w:t>
            </w:r>
          </w:p>
        </w:tc>
      </w:tr>
      <w:tr>
        <w:tc>
          <w:tcPr>
            <w:tcW w:type="dxa" w:w="3456"/>
            <w:shd w:fill="EAF2F8"/>
          </w:tcPr>
          <w:p>
            <w:r>
              <w:t>ER-05</w:t>
            </w:r>
          </w:p>
        </w:tc>
        <w:tc>
          <w:tcPr>
            <w:tcW w:type="dxa" w:w="3456"/>
          </w:tcPr>
          <w:p>
            <w:r>
              <w:t>Waiver Discipline</w:t>
            </w:r>
          </w:p>
        </w:tc>
        <w:tc>
          <w:tcPr>
            <w:tcW w:type="dxa" w:w="3456"/>
          </w:tcPr>
          <w:p>
            <w:r>
              <w:t>Any intentional deviation requires owner, reason, risk, expiry, compensating control, approver, and improvement path.</w:t>
            </w:r>
          </w:p>
        </w:tc>
      </w:tr>
      <w:tr>
        <w:tc>
          <w:tcPr>
            <w:tcW w:type="dxa" w:w="3456"/>
            <w:shd w:fill="EAF2F8"/>
          </w:tcPr>
          <w:p>
            <w:r>
              <w:t>ER-06</w:t>
            </w:r>
          </w:p>
        </w:tc>
        <w:tc>
          <w:tcPr>
            <w:tcW w:type="dxa" w:w="3456"/>
          </w:tcPr>
          <w:p>
            <w:r>
              <w:t>Reference Currency</w:t>
            </w:r>
          </w:p>
        </w:tc>
        <w:tc>
          <w:tcPr>
            <w:tcW w:type="dxa" w:w="3456"/>
          </w:tcPr>
          <w:p>
            <w:r>
              <w:t>Website references must be reviewed quarterly and whenever a cited standard is materially updated or deprecated.</w:t>
            </w:r>
          </w:p>
        </w:tc>
      </w:tr>
    </w:tbl>
    <w:p>
      <w:pPr>
        <w:pStyle w:val="Heading1"/>
      </w:pPr>
      <w:r>
        <w:t>6. Recommended Reference Maintenance Procedure</w:t>
      </w:r>
    </w:p>
    <w:p>
      <w:pPr>
        <w:pStyle w:val="ListBullet"/>
      </w:pPr>
      <w:r>
        <w:t>Quarterly, confirm each reference URL is still reachable and still represents the intended principle.</w:t>
      </w:r>
    </w:p>
    <w:p>
      <w:pPr>
        <w:pStyle w:val="ListBullet"/>
      </w:pPr>
      <w:r>
        <w:t>When a reference changes materially, create a TDL or documentation update and update this reference library.</w:t>
      </w:r>
    </w:p>
    <w:p>
      <w:pPr>
        <w:pStyle w:val="ListBullet"/>
      </w:pPr>
      <w:r>
        <w:t>When a principle is used as an architecture fitness function, record the CI check, rule ID, and failure action.</w:t>
      </w:r>
    </w:p>
    <w:p>
      <w:pPr>
        <w:pStyle w:val="ListBullet"/>
      </w:pPr>
      <w:r>
        <w:t>Retire weak or stale references through supersedence; do not silently overwrite the historical reason for the prior reference.</w:t>
      </w:r>
    </w:p>
    <w:p>
      <w:pPr>
        <w:pStyle w:val="ListBullet"/>
      </w:pPr>
      <w:r>
        <w:t>Keep a plain-language explanation for developers, not only academic or standards-based wording.</w:t>
      </w:r>
    </w:p>
    <w:p>
      <w:pPr>
        <w:pStyle w:val="Heading1"/>
      </w:pPr>
      <w:r>
        <w:t>Appendix A. Quick Checklist</w:t>
      </w:r>
    </w:p>
    <w:tbl>
      <w:tblPr>
        <w:tblW w:type="auto" w:w="0"/>
        <w:tblLayout w:type="autofit"/>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2592"/>
        <w:gridCol w:w="2592"/>
        <w:gridCol w:w="2592"/>
        <w:gridCol w:w="2592"/>
      </w:tblGrid>
      <w:tr>
        <w:tc>
          <w:tcPr>
            <w:tcW w:type="dxa" w:w="2592"/>
            <w:shd w:fill="1F4E79"/>
          </w:tcPr>
          <w:p>
            <w:r>
              <w:rPr>
                <w:b/>
                <w:color w:val="FFFFFF"/>
              </w:rPr>
              <w:t>Review Area</w:t>
            </w:r>
          </w:p>
        </w:tc>
        <w:tc>
          <w:tcPr>
            <w:tcW w:type="dxa" w:w="2592"/>
            <w:shd w:fill="1F4E79"/>
          </w:tcPr>
          <w:p>
            <w:r>
              <w:rPr>
                <w:b/>
                <w:color w:val="FFFFFF"/>
              </w:rPr>
              <w:t>Question</w:t>
            </w:r>
          </w:p>
        </w:tc>
        <w:tc>
          <w:tcPr>
            <w:tcW w:type="dxa" w:w="2592"/>
            <w:shd w:fill="1F4E79"/>
          </w:tcPr>
          <w:p>
            <w:r>
              <w:rPr>
                <w:b/>
                <w:color w:val="FFFFFF"/>
              </w:rPr>
              <w:t>Relevant Principles</w:t>
            </w:r>
          </w:p>
        </w:tc>
        <w:tc>
          <w:tcPr>
            <w:tcW w:type="dxa" w:w="2592"/>
            <w:shd w:fill="1F4E79"/>
          </w:tcPr>
          <w:p>
            <w:r>
              <w:rPr>
                <w:b/>
                <w:color w:val="FFFFFF"/>
              </w:rPr>
              <w:t>Evidence Expected</w:t>
            </w:r>
          </w:p>
        </w:tc>
      </w:tr>
      <w:tr>
        <w:tc>
          <w:tcPr>
            <w:tcW w:type="dxa" w:w="2592"/>
            <w:shd w:fill="EAF2F8"/>
          </w:tcPr>
          <w:p>
            <w:r>
              <w:t>Design</w:t>
            </w:r>
          </w:p>
        </w:tc>
        <w:tc>
          <w:tcPr>
            <w:tcW w:type="dxa" w:w="2592"/>
          </w:tcPr>
          <w:p>
            <w:r>
              <w:t>Are responsibilities small, bounded, and aligned to domain ownership?</w:t>
            </w:r>
          </w:p>
        </w:tc>
        <w:tc>
          <w:tcPr>
            <w:tcW w:type="dxa" w:w="2592"/>
          </w:tcPr>
          <w:p>
            <w:r>
              <w:t>P01, P02, P03, P04</w:t>
            </w:r>
          </w:p>
        </w:tc>
        <w:tc>
          <w:tcPr>
            <w:tcW w:type="dxa" w:w="2592"/>
          </w:tcPr>
          <w:p>
            <w:r>
              <w:t>ADR/TDL, diagram, package/dependency checks.</w:t>
            </w:r>
          </w:p>
        </w:tc>
      </w:tr>
      <w:tr>
        <w:tc>
          <w:tcPr>
            <w:tcW w:type="dxa" w:w="2592"/>
            <w:shd w:fill="EAF2F8"/>
          </w:tcPr>
          <w:p>
            <w:r>
              <w:t>Implementation</w:t>
            </w:r>
          </w:p>
        </w:tc>
        <w:tc>
          <w:tcPr>
            <w:tcW w:type="dxa" w:w="2592"/>
          </w:tcPr>
          <w:p>
            <w:r>
              <w:t>Is logic simple, testable, deterministic, and not duplicated?</w:t>
            </w:r>
          </w:p>
        </w:tc>
        <w:tc>
          <w:tcPr>
            <w:tcW w:type="dxa" w:w="2592"/>
          </w:tcPr>
          <w:p>
            <w:r>
              <w:t>P01, P05, P07, P14</w:t>
            </w:r>
          </w:p>
        </w:tc>
        <w:tc>
          <w:tcPr>
            <w:tcW w:type="dxa" w:w="2592"/>
          </w:tcPr>
          <w:p>
            <w:r>
              <w:t>Unit tests, mutation/coverage, architecture checks.</w:t>
            </w:r>
          </w:p>
        </w:tc>
      </w:tr>
      <w:tr>
        <w:tc>
          <w:tcPr>
            <w:tcW w:type="dxa" w:w="2592"/>
            <w:shd w:fill="EAF2F8"/>
          </w:tcPr>
          <w:p>
            <w:r>
              <w:t>Mutation and workflow</w:t>
            </w:r>
          </w:p>
        </w:tc>
        <w:tc>
          <w:tcPr>
            <w:tcW w:type="dxa" w:w="2592"/>
          </w:tcPr>
          <w:p>
            <w:r>
              <w:t>Can duplicate requests, retries, and failures be handled safely?</w:t>
            </w:r>
          </w:p>
        </w:tc>
        <w:tc>
          <w:tcPr>
            <w:tcW w:type="dxa" w:w="2592"/>
          </w:tcPr>
          <w:p>
            <w:r>
              <w:t>P06, P16, P19</w:t>
            </w:r>
          </w:p>
        </w:tc>
        <w:tc>
          <w:tcPr>
            <w:tcW w:type="dxa" w:w="2592"/>
          </w:tcPr>
          <w:p>
            <w:r>
              <w:t>Idempotency tests, workflow history, compensation evidence.</w:t>
            </w:r>
          </w:p>
        </w:tc>
      </w:tr>
      <w:tr>
        <w:tc>
          <w:tcPr>
            <w:tcW w:type="dxa" w:w="2592"/>
            <w:shd w:fill="EAF2F8"/>
          </w:tcPr>
          <w:p>
            <w:r>
              <w:t>Security</w:t>
            </w:r>
          </w:p>
        </w:tc>
        <w:tc>
          <w:tcPr>
            <w:tcW w:type="dxa" w:w="2592"/>
          </w:tcPr>
          <w:p>
            <w:r>
              <w:t>Does access fail closed and follow least privilege and separation of duties?</w:t>
            </w:r>
          </w:p>
        </w:tc>
        <w:tc>
          <w:tcPr>
            <w:tcW w:type="dxa" w:w="2592"/>
          </w:tcPr>
          <w:p>
            <w:r>
              <w:t>P08, P10, P11, P15</w:t>
            </w:r>
          </w:p>
        </w:tc>
        <w:tc>
          <w:tcPr>
            <w:tcW w:type="dxa" w:w="2592"/>
          </w:tcPr>
          <w:p>
            <w:r>
              <w:t>OPA/SBAC results, security scans, reviewer approval.</w:t>
            </w:r>
          </w:p>
        </w:tc>
      </w:tr>
      <w:tr>
        <w:tc>
          <w:tcPr>
            <w:tcW w:type="dxa" w:w="2592"/>
            <w:shd w:fill="EAF2F8"/>
          </w:tcPr>
          <w:p>
            <w:r>
              <w:t>Operations</w:t>
            </w:r>
          </w:p>
        </w:tc>
        <w:tc>
          <w:tcPr>
            <w:tcW w:type="dxa" w:w="2592"/>
          </w:tcPr>
          <w:p>
            <w:r>
              <w:t>Can the action be observed, traced, reverted, and improved?</w:t>
            </w:r>
          </w:p>
        </w:tc>
        <w:tc>
          <w:tcPr>
            <w:tcW w:type="dxa" w:w="2592"/>
          </w:tcPr>
          <w:p>
            <w:r>
              <w:t>P12, P16, P19, P20</w:t>
            </w:r>
          </w:p>
        </w:tc>
        <w:tc>
          <w:tcPr>
            <w:tcW w:type="dxa" w:w="2592"/>
          </w:tcPr>
          <w:p>
            <w:r>
              <w:t>Trace IDs, dashboards, runbooks, rollback/replay evidence.</w:t>
            </w:r>
          </w:p>
        </w:tc>
      </w:tr>
      <w:tr>
        <w:tc>
          <w:tcPr>
            <w:tcW w:type="dxa" w:w="2592"/>
            <w:shd w:fill="EAF2F8"/>
          </w:tcPr>
          <w:p>
            <w:r>
              <w:t>AI governance</w:t>
            </w:r>
          </w:p>
        </w:tc>
        <w:tc>
          <w:tcPr>
            <w:tcW w:type="dxa" w:w="2592"/>
          </w:tcPr>
          <w:p>
            <w:r>
              <w:t>Is autonomy progressive, human-accountable, and classification-aware?</w:t>
            </w:r>
          </w:p>
        </w:tc>
        <w:tc>
          <w:tcPr>
            <w:tcW w:type="dxa" w:w="2592"/>
          </w:tcPr>
          <w:p>
            <w:r>
              <w:t>P09, P10, P18, P20</w:t>
            </w:r>
          </w:p>
        </w:tc>
        <w:tc>
          <w:tcPr>
            <w:tcW w:type="dxa" w:w="2592"/>
          </w:tcPr>
          <w:p>
            <w:r>
              <w:t>Guardrail result, model route, Harness decision, human approval.</w:t>
            </w:r>
          </w:p>
        </w:tc>
      </w:tr>
    </w:tbl>
    <w:p>
      <w:pPr>
        <w:pStyle w:val="Heading1"/>
      </w:pPr>
      <w:r>
        <w:t>Appendix B. Website Reference Register</w:t>
      </w:r>
    </w:p>
    <w:p>
      <w:pPr>
        <w:pStyle w:val="BodyText"/>
      </w:pPr>
      <w:r>
        <w:t>The following websites are consolidated for developer reference. The links should be validated during each quarterly review.</w:t>
      </w:r>
    </w:p>
    <w:tbl>
      <w:tblPr>
        <w:tblW w:type="auto" w:w="0"/>
        <w:tblLayout w:type="autofit"/>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2592"/>
        <w:gridCol w:w="2592"/>
        <w:gridCol w:w="2592"/>
        <w:gridCol w:w="2592"/>
      </w:tblGrid>
      <w:tr>
        <w:tc>
          <w:tcPr>
            <w:tcW w:type="dxa" w:w="2592"/>
            <w:shd w:fill="1F4E79"/>
          </w:tcPr>
          <w:p>
            <w:r>
              <w:rPr>
                <w:b/>
                <w:color w:val="FFFFFF"/>
              </w:rPr>
              <w:t>Principle ID</w:t>
            </w:r>
          </w:p>
        </w:tc>
        <w:tc>
          <w:tcPr>
            <w:tcW w:type="dxa" w:w="2592"/>
            <w:shd w:fill="1F4E79"/>
          </w:tcPr>
          <w:p>
            <w:r>
              <w:rPr>
                <w:b/>
                <w:color w:val="FFFFFF"/>
              </w:rPr>
              <w:t>Reference Name</w:t>
            </w:r>
          </w:p>
        </w:tc>
        <w:tc>
          <w:tcPr>
            <w:tcW w:type="dxa" w:w="2592"/>
            <w:shd w:fill="1F4E79"/>
          </w:tcPr>
          <w:p>
            <w:r>
              <w:rPr>
                <w:b/>
                <w:color w:val="FFFFFF"/>
              </w:rPr>
              <w:t>Website</w:t>
            </w:r>
          </w:p>
        </w:tc>
        <w:tc>
          <w:tcPr>
            <w:tcW w:type="dxa" w:w="2592"/>
            <w:shd w:fill="1F4E79"/>
          </w:tcPr>
          <w:p>
            <w:r>
              <w:rPr>
                <w:b/>
                <w:color w:val="FFFFFF"/>
              </w:rPr>
              <w:t>Use</w:t>
            </w:r>
          </w:p>
        </w:tc>
      </w:tr>
      <w:tr>
        <w:tc>
          <w:tcPr>
            <w:tcW w:type="dxa" w:w="2592"/>
            <w:shd w:fill="EAF2F8"/>
          </w:tcPr>
          <w:p>
            <w:r>
              <w:rPr>
                <w:sz w:val="15"/>
              </w:rPr>
              <w:t>P01</w:t>
            </w:r>
          </w:p>
        </w:tc>
        <w:tc>
          <w:tcPr>
            <w:tcW w:type="dxa" w:w="2592"/>
          </w:tcPr>
          <w:p>
            <w:r>
              <w:rPr>
                <w:sz w:val="15"/>
              </w:rPr>
              <w:t>Robert C. Martin - Design Principles and Design Patterns</w:t>
            </w:r>
          </w:p>
        </w:tc>
        <w:tc>
          <w:tcPr>
            <w:tcW w:type="dxa" w:w="2592"/>
          </w:tcPr>
          <w:p>
            <w:hyperlink r:id="rId11">
              <w:r>
                <w:rPr>
                  <w:color w:val="0563C1"/>
                  <w:u w:val="single"/>
                </w:rPr>
                <w:t>https://staff.cs.utu.fi/~jounsmed/doos_06/material/DesignPrinciplesAndPatterns.pdf</w:t>
              </w:r>
            </w:hyperlink>
          </w:p>
        </w:tc>
        <w:tc>
          <w:tcPr>
            <w:tcW w:type="dxa" w:w="2592"/>
          </w:tcPr>
          <w:p>
            <w:r>
              <w:rPr>
                <w:sz w:val="15"/>
              </w:rPr>
              <w:t>Reference for SOLID</w:t>
            </w:r>
          </w:p>
        </w:tc>
      </w:tr>
      <w:tr>
        <w:tc>
          <w:tcPr>
            <w:tcW w:type="dxa" w:w="2592"/>
            <w:shd w:fill="EAF2F8"/>
          </w:tcPr>
          <w:p>
            <w:r>
              <w:rPr>
                <w:sz w:val="15"/>
              </w:rPr>
              <w:t>P01</w:t>
            </w:r>
          </w:p>
        </w:tc>
        <w:tc>
          <w:tcPr>
            <w:tcW w:type="dxa" w:w="2592"/>
          </w:tcPr>
          <w:p>
            <w:r>
              <w:rPr>
                <w:sz w:val="15"/>
              </w:rPr>
              <w:t>SOLID overview - DigitalOcean</w:t>
            </w:r>
          </w:p>
        </w:tc>
        <w:tc>
          <w:tcPr>
            <w:tcW w:type="dxa" w:w="2592"/>
          </w:tcPr>
          <w:p>
            <w:hyperlink r:id="rId12">
              <w:r>
                <w:rPr>
                  <w:color w:val="0563C1"/>
                  <w:u w:val="single"/>
                </w:rPr>
                <w:t>https://www.digitalocean.com/community/conceptual-articles/s-o-l-i-d-the-first-five-principles-of-object-oriented-design</w:t>
              </w:r>
            </w:hyperlink>
          </w:p>
        </w:tc>
        <w:tc>
          <w:tcPr>
            <w:tcW w:type="dxa" w:w="2592"/>
          </w:tcPr>
          <w:p>
            <w:r>
              <w:rPr>
                <w:sz w:val="15"/>
              </w:rPr>
              <w:t>Reference for SOLID</w:t>
            </w:r>
          </w:p>
        </w:tc>
      </w:tr>
      <w:tr>
        <w:tc>
          <w:tcPr>
            <w:tcW w:type="dxa" w:w="2592"/>
            <w:shd w:fill="EAF2F8"/>
          </w:tcPr>
          <w:p>
            <w:r>
              <w:rPr>
                <w:sz w:val="15"/>
              </w:rPr>
              <w:t>P02</w:t>
            </w:r>
          </w:p>
        </w:tc>
        <w:tc>
          <w:tcPr>
            <w:tcW w:type="dxa" w:w="2592"/>
          </w:tcPr>
          <w:p>
            <w:r>
              <w:rPr>
                <w:sz w:val="15"/>
              </w:rPr>
              <w:t>Clean Architecture - Clean Coder Blog</w:t>
            </w:r>
          </w:p>
        </w:tc>
        <w:tc>
          <w:tcPr>
            <w:tcW w:type="dxa" w:w="2592"/>
          </w:tcPr>
          <w:p>
            <w:hyperlink r:id="rId13">
              <w:r>
                <w:rPr>
                  <w:color w:val="0563C1"/>
                  <w:u w:val="single"/>
                </w:rPr>
                <w:t>https://blog.cleancoder.com/uncle-bob/2012/08/13/the-clean-architecture.html</w:t>
              </w:r>
            </w:hyperlink>
          </w:p>
        </w:tc>
        <w:tc>
          <w:tcPr>
            <w:tcW w:type="dxa" w:w="2592"/>
          </w:tcPr>
          <w:p>
            <w:r>
              <w:rPr>
                <w:sz w:val="15"/>
              </w:rPr>
              <w:t>Reference for Clean Architecture</w:t>
            </w:r>
          </w:p>
        </w:tc>
      </w:tr>
      <w:tr>
        <w:tc>
          <w:tcPr>
            <w:tcW w:type="dxa" w:w="2592"/>
            <w:shd w:fill="EAF2F8"/>
          </w:tcPr>
          <w:p>
            <w:r>
              <w:rPr>
                <w:sz w:val="15"/>
              </w:rPr>
              <w:t>P03</w:t>
            </w:r>
          </w:p>
        </w:tc>
        <w:tc>
          <w:tcPr>
            <w:tcW w:type="dxa" w:w="2592"/>
          </w:tcPr>
          <w:p>
            <w:r>
              <w:rPr>
                <w:sz w:val="15"/>
              </w:rPr>
              <w:t>Domain-Driven Design - Martin Fowler</w:t>
            </w:r>
          </w:p>
        </w:tc>
        <w:tc>
          <w:tcPr>
            <w:tcW w:type="dxa" w:w="2592"/>
          </w:tcPr>
          <w:p>
            <w:hyperlink r:id="rId14">
              <w:r>
                <w:rPr>
                  <w:color w:val="0563C1"/>
                  <w:u w:val="single"/>
                </w:rPr>
                <w:t>https://martinfowler.com/bliki/DomainDrivenDesign.html</w:t>
              </w:r>
            </w:hyperlink>
          </w:p>
        </w:tc>
        <w:tc>
          <w:tcPr>
            <w:tcW w:type="dxa" w:w="2592"/>
          </w:tcPr>
          <w:p>
            <w:r>
              <w:rPr>
                <w:sz w:val="15"/>
              </w:rPr>
              <w:t>Reference for DDD / Bounded Contexts</w:t>
            </w:r>
          </w:p>
        </w:tc>
      </w:tr>
      <w:tr>
        <w:tc>
          <w:tcPr>
            <w:tcW w:type="dxa" w:w="2592"/>
            <w:shd w:fill="EAF2F8"/>
          </w:tcPr>
          <w:p>
            <w:r>
              <w:rPr>
                <w:sz w:val="15"/>
              </w:rPr>
              <w:t>P03</w:t>
            </w:r>
          </w:p>
        </w:tc>
        <w:tc>
          <w:tcPr>
            <w:tcW w:type="dxa" w:w="2592"/>
          </w:tcPr>
          <w:p>
            <w:r>
              <w:rPr>
                <w:sz w:val="15"/>
              </w:rPr>
              <w:t>Bounded Context - Martin Fowler</w:t>
            </w:r>
          </w:p>
        </w:tc>
        <w:tc>
          <w:tcPr>
            <w:tcW w:type="dxa" w:w="2592"/>
          </w:tcPr>
          <w:p>
            <w:hyperlink r:id="rId15">
              <w:r>
                <w:rPr>
                  <w:color w:val="0563C1"/>
                  <w:u w:val="single"/>
                </w:rPr>
                <w:t>https://martinfowler.com/bliki/BoundedContext.html</w:t>
              </w:r>
            </w:hyperlink>
          </w:p>
        </w:tc>
        <w:tc>
          <w:tcPr>
            <w:tcW w:type="dxa" w:w="2592"/>
          </w:tcPr>
          <w:p>
            <w:r>
              <w:rPr>
                <w:sz w:val="15"/>
              </w:rPr>
              <w:t>Reference for DDD / Bounded Contexts</w:t>
            </w:r>
          </w:p>
        </w:tc>
      </w:tr>
      <w:tr>
        <w:tc>
          <w:tcPr>
            <w:tcW w:type="dxa" w:w="2592"/>
            <w:shd w:fill="EAF2F8"/>
          </w:tcPr>
          <w:p>
            <w:r>
              <w:rPr>
                <w:sz w:val="15"/>
              </w:rPr>
              <w:t>P04</w:t>
            </w:r>
          </w:p>
        </w:tc>
        <w:tc>
          <w:tcPr>
            <w:tcW w:type="dxa" w:w="2592"/>
          </w:tcPr>
          <w:p>
            <w:r>
              <w:rPr>
                <w:sz w:val="15"/>
              </w:rPr>
              <w:t>Hexagonal Architecture - Alistair Cockburn</w:t>
            </w:r>
          </w:p>
        </w:tc>
        <w:tc>
          <w:tcPr>
            <w:tcW w:type="dxa" w:w="2592"/>
          </w:tcPr>
          <w:p>
            <w:hyperlink r:id="rId16">
              <w:r>
                <w:rPr>
                  <w:color w:val="0563C1"/>
                  <w:u w:val="single"/>
                </w:rPr>
                <w:t>https://alistair.cockburn.us/hexagonal-architecture</w:t>
              </w:r>
            </w:hyperlink>
          </w:p>
        </w:tc>
        <w:tc>
          <w:tcPr>
            <w:tcW w:type="dxa" w:w="2592"/>
          </w:tcPr>
          <w:p>
            <w:r>
              <w:rPr>
                <w:sz w:val="15"/>
              </w:rPr>
              <w:t>Reference for Ports and Adapters</w:t>
            </w:r>
          </w:p>
        </w:tc>
      </w:tr>
      <w:tr>
        <w:tc>
          <w:tcPr>
            <w:tcW w:type="dxa" w:w="2592"/>
            <w:shd w:fill="EAF2F8"/>
          </w:tcPr>
          <w:p>
            <w:r>
              <w:rPr>
                <w:sz w:val="15"/>
              </w:rPr>
              <w:t>P05</w:t>
            </w:r>
          </w:p>
        </w:tc>
        <w:tc>
          <w:tcPr>
            <w:tcW w:type="dxa" w:w="2592"/>
          </w:tcPr>
          <w:p>
            <w:r>
              <w:rPr>
                <w:sz w:val="15"/>
              </w:rPr>
              <w:t>DRY - The Pragmatic Programmer</w:t>
            </w:r>
          </w:p>
        </w:tc>
        <w:tc>
          <w:tcPr>
            <w:tcW w:type="dxa" w:w="2592"/>
          </w:tcPr>
          <w:p>
            <w:hyperlink r:id="rId17">
              <w:r>
                <w:rPr>
                  <w:color w:val="0563C1"/>
                  <w:u w:val="single"/>
                </w:rPr>
                <w:t>https://pragprog.com/titles/tpp20/the-pragmatic-programmer-20th-anniversary-edition/</w:t>
              </w:r>
            </w:hyperlink>
          </w:p>
        </w:tc>
        <w:tc>
          <w:tcPr>
            <w:tcW w:type="dxa" w:w="2592"/>
          </w:tcPr>
          <w:p>
            <w:r>
              <w:rPr>
                <w:sz w:val="15"/>
              </w:rPr>
              <w:t>Reference for DRY, KISS, YAGNI</w:t>
            </w:r>
          </w:p>
        </w:tc>
      </w:tr>
      <w:tr>
        <w:tc>
          <w:tcPr>
            <w:tcW w:type="dxa" w:w="2592"/>
            <w:shd w:fill="EAF2F8"/>
          </w:tcPr>
          <w:p>
            <w:r>
              <w:rPr>
                <w:sz w:val="15"/>
              </w:rPr>
              <w:t>P05</w:t>
            </w:r>
          </w:p>
        </w:tc>
        <w:tc>
          <w:tcPr>
            <w:tcW w:type="dxa" w:w="2592"/>
          </w:tcPr>
          <w:p>
            <w:r>
              <w:rPr>
                <w:sz w:val="15"/>
              </w:rPr>
              <w:t>YAGNI - Martin Fowler</w:t>
            </w:r>
          </w:p>
        </w:tc>
        <w:tc>
          <w:tcPr>
            <w:tcW w:type="dxa" w:w="2592"/>
          </w:tcPr>
          <w:p>
            <w:hyperlink r:id="rId18">
              <w:r>
                <w:rPr>
                  <w:color w:val="0563C1"/>
                  <w:u w:val="single"/>
                </w:rPr>
                <w:t>https://martinfowler.com/bliki/Yagni.html</w:t>
              </w:r>
            </w:hyperlink>
          </w:p>
        </w:tc>
        <w:tc>
          <w:tcPr>
            <w:tcW w:type="dxa" w:w="2592"/>
          </w:tcPr>
          <w:p>
            <w:r>
              <w:rPr>
                <w:sz w:val="15"/>
              </w:rPr>
              <w:t>Reference for DRY, KISS, YAGNI</w:t>
            </w:r>
          </w:p>
        </w:tc>
      </w:tr>
      <w:tr>
        <w:tc>
          <w:tcPr>
            <w:tcW w:type="dxa" w:w="2592"/>
            <w:shd w:fill="EAF2F8"/>
          </w:tcPr>
          <w:p>
            <w:r>
              <w:rPr>
                <w:sz w:val="15"/>
              </w:rPr>
              <w:t>P06</w:t>
            </w:r>
          </w:p>
        </w:tc>
        <w:tc>
          <w:tcPr>
            <w:tcW w:type="dxa" w:w="2592"/>
          </w:tcPr>
          <w:p>
            <w:r>
              <w:rPr>
                <w:sz w:val="15"/>
              </w:rPr>
              <w:t>RFC 9110 - HTTP Semantics</w:t>
            </w:r>
          </w:p>
        </w:tc>
        <w:tc>
          <w:tcPr>
            <w:tcW w:type="dxa" w:w="2592"/>
          </w:tcPr>
          <w:p>
            <w:hyperlink r:id="rId19">
              <w:r>
                <w:rPr>
                  <w:color w:val="0563C1"/>
                  <w:u w:val="single"/>
                </w:rPr>
                <w:t>https://www.rfc-editor.org/rfc/rfc9110</w:t>
              </w:r>
            </w:hyperlink>
          </w:p>
        </w:tc>
        <w:tc>
          <w:tcPr>
            <w:tcW w:type="dxa" w:w="2592"/>
          </w:tcPr>
          <w:p>
            <w:r>
              <w:rPr>
                <w:sz w:val="15"/>
              </w:rPr>
              <w:t>Reference for Idempotency by Design</w:t>
            </w:r>
          </w:p>
        </w:tc>
      </w:tr>
      <w:tr>
        <w:tc>
          <w:tcPr>
            <w:tcW w:type="dxa" w:w="2592"/>
            <w:shd w:fill="EAF2F8"/>
          </w:tcPr>
          <w:p>
            <w:r>
              <w:rPr>
                <w:sz w:val="15"/>
              </w:rPr>
              <w:t>P06</w:t>
            </w:r>
          </w:p>
        </w:tc>
        <w:tc>
          <w:tcPr>
            <w:tcW w:type="dxa" w:w="2592"/>
          </w:tcPr>
          <w:p>
            <w:r>
              <w:rPr>
                <w:sz w:val="15"/>
              </w:rPr>
              <w:t>Stripe Idempotent Requests</w:t>
            </w:r>
          </w:p>
        </w:tc>
        <w:tc>
          <w:tcPr>
            <w:tcW w:type="dxa" w:w="2592"/>
          </w:tcPr>
          <w:p>
            <w:hyperlink r:id="rId20">
              <w:r>
                <w:rPr>
                  <w:color w:val="0563C1"/>
                  <w:u w:val="single"/>
                </w:rPr>
                <w:t>https://docs.stripe.com/api/idempotent_requests</w:t>
              </w:r>
            </w:hyperlink>
          </w:p>
        </w:tc>
        <w:tc>
          <w:tcPr>
            <w:tcW w:type="dxa" w:w="2592"/>
          </w:tcPr>
          <w:p>
            <w:r>
              <w:rPr>
                <w:sz w:val="15"/>
              </w:rPr>
              <w:t>Reference for Idempotency by Design</w:t>
            </w:r>
          </w:p>
        </w:tc>
      </w:tr>
      <w:tr>
        <w:tc>
          <w:tcPr>
            <w:tcW w:type="dxa" w:w="2592"/>
            <w:shd w:fill="EAF2F8"/>
          </w:tcPr>
          <w:p>
            <w:r>
              <w:rPr>
                <w:sz w:val="15"/>
              </w:rPr>
              <w:t>P07</w:t>
            </w:r>
          </w:p>
        </w:tc>
        <w:tc>
          <w:tcPr>
            <w:tcW w:type="dxa" w:w="2592"/>
          </w:tcPr>
          <w:p>
            <w:r>
              <w:rPr>
                <w:sz w:val="15"/>
              </w:rPr>
              <w:t>Reproducible Builds</w:t>
            </w:r>
          </w:p>
        </w:tc>
        <w:tc>
          <w:tcPr>
            <w:tcW w:type="dxa" w:w="2592"/>
          </w:tcPr>
          <w:p>
            <w:hyperlink r:id="rId21">
              <w:r>
                <w:rPr>
                  <w:color w:val="0563C1"/>
                  <w:u w:val="single"/>
                </w:rPr>
                <w:t>https://reproducible-builds.org/</w:t>
              </w:r>
            </w:hyperlink>
          </w:p>
        </w:tc>
        <w:tc>
          <w:tcPr>
            <w:tcW w:type="dxa" w:w="2592"/>
          </w:tcPr>
          <w:p>
            <w:r>
              <w:rPr>
                <w:sz w:val="15"/>
              </w:rPr>
              <w:t>Reference for Determinism and Reproducibility</w:t>
            </w:r>
          </w:p>
        </w:tc>
      </w:tr>
      <w:tr>
        <w:tc>
          <w:tcPr>
            <w:tcW w:type="dxa" w:w="2592"/>
            <w:shd w:fill="EAF2F8"/>
          </w:tcPr>
          <w:p>
            <w:r>
              <w:rPr>
                <w:sz w:val="15"/>
              </w:rPr>
              <w:t>P07</w:t>
            </w:r>
          </w:p>
        </w:tc>
        <w:tc>
          <w:tcPr>
            <w:tcW w:type="dxa" w:w="2592"/>
          </w:tcPr>
          <w:p>
            <w:r>
              <w:rPr>
                <w:sz w:val="15"/>
              </w:rPr>
              <w:t>SLSA Framework</w:t>
            </w:r>
          </w:p>
        </w:tc>
        <w:tc>
          <w:tcPr>
            <w:tcW w:type="dxa" w:w="2592"/>
          </w:tcPr>
          <w:p>
            <w:hyperlink r:id="rId22">
              <w:r>
                <w:rPr>
                  <w:color w:val="0563C1"/>
                  <w:u w:val="single"/>
                </w:rPr>
                <w:t>https://slsa.dev/</w:t>
              </w:r>
            </w:hyperlink>
          </w:p>
        </w:tc>
        <w:tc>
          <w:tcPr>
            <w:tcW w:type="dxa" w:w="2592"/>
          </w:tcPr>
          <w:p>
            <w:r>
              <w:rPr>
                <w:sz w:val="15"/>
              </w:rPr>
              <w:t>Reference for Determinism and Reproducibility</w:t>
            </w:r>
          </w:p>
        </w:tc>
      </w:tr>
      <w:tr>
        <w:tc>
          <w:tcPr>
            <w:tcW w:type="dxa" w:w="2592"/>
            <w:shd w:fill="EAF2F8"/>
          </w:tcPr>
          <w:p>
            <w:r>
              <w:rPr>
                <w:sz w:val="15"/>
              </w:rPr>
              <w:t>P08</w:t>
            </w:r>
          </w:p>
        </w:tc>
        <w:tc>
          <w:tcPr>
            <w:tcW w:type="dxa" w:w="2592"/>
          </w:tcPr>
          <w:p>
            <w:r>
              <w:rPr>
                <w:sz w:val="15"/>
              </w:rPr>
              <w:t>OWASP Authentication Cheat Sheet</w:t>
            </w:r>
          </w:p>
        </w:tc>
        <w:tc>
          <w:tcPr>
            <w:tcW w:type="dxa" w:w="2592"/>
          </w:tcPr>
          <w:p>
            <w:hyperlink r:id="rId23">
              <w:r>
                <w:rPr>
                  <w:color w:val="0563C1"/>
                  <w:u w:val="single"/>
                </w:rPr>
                <w:t>https://cheatsheetseries.owasp.org/cheatsheets/Authentication_Cheat_Sheet.html</w:t>
              </w:r>
            </w:hyperlink>
          </w:p>
        </w:tc>
        <w:tc>
          <w:tcPr>
            <w:tcW w:type="dxa" w:w="2592"/>
          </w:tcPr>
          <w:p>
            <w:r>
              <w:rPr>
                <w:sz w:val="15"/>
              </w:rPr>
              <w:t>Reference for Fail-Safe, Not Fail-Open</w:t>
            </w:r>
          </w:p>
        </w:tc>
      </w:tr>
      <w:tr>
        <w:tc>
          <w:tcPr>
            <w:tcW w:type="dxa" w:w="2592"/>
            <w:shd w:fill="EAF2F8"/>
          </w:tcPr>
          <w:p>
            <w:r>
              <w:rPr>
                <w:sz w:val="15"/>
              </w:rPr>
              <w:t>P08</w:t>
            </w:r>
          </w:p>
        </w:tc>
        <w:tc>
          <w:tcPr>
            <w:tcW w:type="dxa" w:w="2592"/>
          </w:tcPr>
          <w:p>
            <w:r>
              <w:rPr>
                <w:sz w:val="15"/>
              </w:rPr>
              <w:t>NIST SP 800-53 Security Controls</w:t>
            </w:r>
          </w:p>
        </w:tc>
        <w:tc>
          <w:tcPr>
            <w:tcW w:type="dxa" w:w="2592"/>
          </w:tcPr>
          <w:p>
            <w:hyperlink r:id="rId24">
              <w:r>
                <w:rPr>
                  <w:color w:val="0563C1"/>
                  <w:u w:val="single"/>
                </w:rPr>
                <w:t>https://csrc.nist.gov/publications/detail/sp/800-53/rev-5/final</w:t>
              </w:r>
            </w:hyperlink>
          </w:p>
        </w:tc>
        <w:tc>
          <w:tcPr>
            <w:tcW w:type="dxa" w:w="2592"/>
          </w:tcPr>
          <w:p>
            <w:r>
              <w:rPr>
                <w:sz w:val="15"/>
              </w:rPr>
              <w:t>Reference for Fail-Safe, Not Fail-Open</w:t>
            </w:r>
          </w:p>
        </w:tc>
      </w:tr>
      <w:tr>
        <w:tc>
          <w:tcPr>
            <w:tcW w:type="dxa" w:w="2592"/>
            <w:shd w:fill="EAF2F8"/>
          </w:tcPr>
          <w:p>
            <w:r>
              <w:rPr>
                <w:sz w:val="15"/>
              </w:rPr>
              <w:t>P09</w:t>
            </w:r>
          </w:p>
        </w:tc>
        <w:tc>
          <w:tcPr>
            <w:tcW w:type="dxa" w:w="2592"/>
          </w:tcPr>
          <w:p>
            <w:r>
              <w:rPr>
                <w:sz w:val="15"/>
              </w:rPr>
              <w:t>NIST AI Risk Management Framework</w:t>
            </w:r>
          </w:p>
        </w:tc>
        <w:tc>
          <w:tcPr>
            <w:tcW w:type="dxa" w:w="2592"/>
          </w:tcPr>
          <w:p>
            <w:hyperlink r:id="rId25">
              <w:r>
                <w:rPr>
                  <w:color w:val="0563C1"/>
                  <w:u w:val="single"/>
                </w:rPr>
                <w:t>https://www.nist.gov/itl/ai-risk-management-framework</w:t>
              </w:r>
            </w:hyperlink>
          </w:p>
        </w:tc>
        <w:tc>
          <w:tcPr>
            <w:tcW w:type="dxa" w:w="2592"/>
          </w:tcPr>
          <w:p>
            <w:r>
              <w:rPr>
                <w:sz w:val="15"/>
              </w:rPr>
              <w:t>Reference for Human-in-the-Loop</w:t>
            </w:r>
          </w:p>
        </w:tc>
      </w:tr>
      <w:tr>
        <w:tc>
          <w:tcPr>
            <w:tcW w:type="dxa" w:w="2592"/>
            <w:shd w:fill="EAF2F8"/>
          </w:tcPr>
          <w:p>
            <w:r>
              <w:rPr>
                <w:sz w:val="15"/>
              </w:rPr>
              <w:t>P09</w:t>
            </w:r>
          </w:p>
        </w:tc>
        <w:tc>
          <w:tcPr>
            <w:tcW w:type="dxa" w:w="2592"/>
          </w:tcPr>
          <w:p>
            <w:r>
              <w:rPr>
                <w:sz w:val="15"/>
              </w:rPr>
              <w:t>EU AI Act - European Commission</w:t>
            </w:r>
          </w:p>
        </w:tc>
        <w:tc>
          <w:tcPr>
            <w:tcW w:type="dxa" w:w="2592"/>
          </w:tcPr>
          <w:p>
            <w:hyperlink r:id="rId26">
              <w:r>
                <w:rPr>
                  <w:color w:val="0563C1"/>
                  <w:u w:val="single"/>
                </w:rPr>
                <w:t>https://digital-strategy.ec.europa.eu/en/policies/regulatory-framework-ai</w:t>
              </w:r>
            </w:hyperlink>
          </w:p>
        </w:tc>
        <w:tc>
          <w:tcPr>
            <w:tcW w:type="dxa" w:w="2592"/>
          </w:tcPr>
          <w:p>
            <w:r>
              <w:rPr>
                <w:sz w:val="15"/>
              </w:rPr>
              <w:t>Reference for Human-in-the-Loop</w:t>
            </w:r>
          </w:p>
        </w:tc>
      </w:tr>
      <w:tr>
        <w:tc>
          <w:tcPr>
            <w:tcW w:type="dxa" w:w="2592"/>
            <w:shd w:fill="EAF2F8"/>
          </w:tcPr>
          <w:p>
            <w:r>
              <w:rPr>
                <w:sz w:val="15"/>
              </w:rPr>
              <w:t>P10</w:t>
            </w:r>
          </w:p>
        </w:tc>
        <w:tc>
          <w:tcPr>
            <w:tcW w:type="dxa" w:w="2592"/>
          </w:tcPr>
          <w:p>
            <w:r>
              <w:rPr>
                <w:sz w:val="15"/>
              </w:rPr>
              <w:t>NIST SP 800-53 AC-6 Least Privilege</w:t>
            </w:r>
          </w:p>
        </w:tc>
        <w:tc>
          <w:tcPr>
            <w:tcW w:type="dxa" w:w="2592"/>
          </w:tcPr>
          <w:p>
            <w:hyperlink r:id="rId24">
              <w:r>
                <w:rPr>
                  <w:color w:val="0563C1"/>
                  <w:u w:val="single"/>
                </w:rPr>
                <w:t>https://csrc.nist.gov/publications/detail/sp/800-53/rev-5/final</w:t>
              </w:r>
            </w:hyperlink>
          </w:p>
        </w:tc>
        <w:tc>
          <w:tcPr>
            <w:tcW w:type="dxa" w:w="2592"/>
          </w:tcPr>
          <w:p>
            <w:r>
              <w:rPr>
                <w:sz w:val="15"/>
              </w:rPr>
              <w:t>Reference for Least Privilege / SBAC</w:t>
            </w:r>
          </w:p>
        </w:tc>
      </w:tr>
      <w:tr>
        <w:tc>
          <w:tcPr>
            <w:tcW w:type="dxa" w:w="2592"/>
            <w:shd w:fill="EAF2F8"/>
          </w:tcPr>
          <w:p>
            <w:r>
              <w:rPr>
                <w:sz w:val="15"/>
              </w:rPr>
              <w:t>P10</w:t>
            </w:r>
          </w:p>
        </w:tc>
        <w:tc>
          <w:tcPr>
            <w:tcW w:type="dxa" w:w="2592"/>
          </w:tcPr>
          <w:p>
            <w:r>
              <w:rPr>
                <w:sz w:val="15"/>
              </w:rPr>
              <w:t>OWASP ASVS</w:t>
            </w:r>
          </w:p>
        </w:tc>
        <w:tc>
          <w:tcPr>
            <w:tcW w:type="dxa" w:w="2592"/>
          </w:tcPr>
          <w:p>
            <w:hyperlink r:id="rId27">
              <w:r>
                <w:rPr>
                  <w:color w:val="0563C1"/>
                  <w:u w:val="single"/>
                </w:rPr>
                <w:t>https://owasp.org/www-project-application-security-verification-standard/</w:t>
              </w:r>
            </w:hyperlink>
          </w:p>
        </w:tc>
        <w:tc>
          <w:tcPr>
            <w:tcW w:type="dxa" w:w="2592"/>
          </w:tcPr>
          <w:p>
            <w:r>
              <w:rPr>
                <w:sz w:val="15"/>
              </w:rPr>
              <w:t>Reference for Least Privilege / SBAC</w:t>
            </w:r>
          </w:p>
        </w:tc>
      </w:tr>
      <w:tr>
        <w:tc>
          <w:tcPr>
            <w:tcW w:type="dxa" w:w="2592"/>
            <w:shd w:fill="EAF2F8"/>
          </w:tcPr>
          <w:p>
            <w:r>
              <w:rPr>
                <w:sz w:val="15"/>
              </w:rPr>
              <w:t>P11</w:t>
            </w:r>
          </w:p>
        </w:tc>
        <w:tc>
          <w:tcPr>
            <w:tcW w:type="dxa" w:w="2592"/>
          </w:tcPr>
          <w:p>
            <w:r>
              <w:rPr>
                <w:sz w:val="15"/>
              </w:rPr>
              <w:t>NIST SP 800-53 AC-5 Separation of Duties</w:t>
            </w:r>
          </w:p>
        </w:tc>
        <w:tc>
          <w:tcPr>
            <w:tcW w:type="dxa" w:w="2592"/>
          </w:tcPr>
          <w:p>
            <w:hyperlink r:id="rId24">
              <w:r>
                <w:rPr>
                  <w:color w:val="0563C1"/>
                  <w:u w:val="single"/>
                </w:rPr>
                <w:t>https://csrc.nist.gov/publications/detail/sp/800-53/rev-5/final</w:t>
              </w:r>
            </w:hyperlink>
          </w:p>
        </w:tc>
        <w:tc>
          <w:tcPr>
            <w:tcW w:type="dxa" w:w="2592"/>
          </w:tcPr>
          <w:p>
            <w:r>
              <w:rPr>
                <w:sz w:val="15"/>
              </w:rPr>
              <w:t>Reference for Separation of Duties</w:t>
            </w:r>
          </w:p>
        </w:tc>
      </w:tr>
      <w:tr>
        <w:tc>
          <w:tcPr>
            <w:tcW w:type="dxa" w:w="2592"/>
            <w:shd w:fill="EAF2F8"/>
          </w:tcPr>
          <w:p>
            <w:r>
              <w:rPr>
                <w:sz w:val="15"/>
              </w:rPr>
              <w:t>P11</w:t>
            </w:r>
          </w:p>
        </w:tc>
        <w:tc>
          <w:tcPr>
            <w:tcW w:type="dxa" w:w="2592"/>
          </w:tcPr>
          <w:p>
            <w:r>
              <w:rPr>
                <w:sz w:val="15"/>
              </w:rPr>
              <w:t>CIS Controls</w:t>
            </w:r>
          </w:p>
        </w:tc>
        <w:tc>
          <w:tcPr>
            <w:tcW w:type="dxa" w:w="2592"/>
          </w:tcPr>
          <w:p>
            <w:hyperlink r:id="rId28">
              <w:r>
                <w:rPr>
                  <w:color w:val="0563C1"/>
                  <w:u w:val="single"/>
                </w:rPr>
                <w:t>https://www.cisecurity.org/controls</w:t>
              </w:r>
            </w:hyperlink>
          </w:p>
        </w:tc>
        <w:tc>
          <w:tcPr>
            <w:tcW w:type="dxa" w:w="2592"/>
          </w:tcPr>
          <w:p>
            <w:r>
              <w:rPr>
                <w:sz w:val="15"/>
              </w:rPr>
              <w:t>Reference for Separation of Duties</w:t>
            </w:r>
          </w:p>
        </w:tc>
      </w:tr>
      <w:tr>
        <w:tc>
          <w:tcPr>
            <w:tcW w:type="dxa" w:w="2592"/>
            <w:shd w:fill="EAF2F8"/>
          </w:tcPr>
          <w:p>
            <w:r>
              <w:rPr>
                <w:sz w:val="15"/>
              </w:rPr>
              <w:t>P12</w:t>
            </w:r>
          </w:p>
        </w:tc>
        <w:tc>
          <w:tcPr>
            <w:tcW w:type="dxa" w:w="2592"/>
          </w:tcPr>
          <w:p>
            <w:r>
              <w:rPr>
                <w:sz w:val="15"/>
              </w:rPr>
              <w:t>OpenTelemetry</w:t>
            </w:r>
          </w:p>
        </w:tc>
        <w:tc>
          <w:tcPr>
            <w:tcW w:type="dxa" w:w="2592"/>
          </w:tcPr>
          <w:p>
            <w:hyperlink r:id="rId29">
              <w:r>
                <w:rPr>
                  <w:color w:val="0563C1"/>
                  <w:u w:val="single"/>
                </w:rPr>
                <w:t>https://opentelemetry.io/</w:t>
              </w:r>
            </w:hyperlink>
          </w:p>
        </w:tc>
        <w:tc>
          <w:tcPr>
            <w:tcW w:type="dxa" w:w="2592"/>
          </w:tcPr>
          <w:p>
            <w:r>
              <w:rPr>
                <w:sz w:val="15"/>
              </w:rPr>
              <w:t>Reference for Observability by Design</w:t>
            </w:r>
          </w:p>
        </w:tc>
      </w:tr>
      <w:tr>
        <w:tc>
          <w:tcPr>
            <w:tcW w:type="dxa" w:w="2592"/>
            <w:shd w:fill="EAF2F8"/>
          </w:tcPr>
          <w:p>
            <w:r>
              <w:rPr>
                <w:sz w:val="15"/>
              </w:rPr>
              <w:t>P12</w:t>
            </w:r>
          </w:p>
        </w:tc>
        <w:tc>
          <w:tcPr>
            <w:tcW w:type="dxa" w:w="2592"/>
          </w:tcPr>
          <w:p>
            <w:r>
              <w:rPr>
                <w:sz w:val="15"/>
              </w:rPr>
              <w:t>Google SRE Book - Monitoring Distributed Systems</w:t>
            </w:r>
          </w:p>
        </w:tc>
        <w:tc>
          <w:tcPr>
            <w:tcW w:type="dxa" w:w="2592"/>
          </w:tcPr>
          <w:p>
            <w:hyperlink r:id="rId30">
              <w:r>
                <w:rPr>
                  <w:color w:val="0563C1"/>
                  <w:u w:val="single"/>
                </w:rPr>
                <w:t>https://sre.google/sre-book/monitoring-distributed-systems/</w:t>
              </w:r>
            </w:hyperlink>
          </w:p>
        </w:tc>
        <w:tc>
          <w:tcPr>
            <w:tcW w:type="dxa" w:w="2592"/>
          </w:tcPr>
          <w:p>
            <w:r>
              <w:rPr>
                <w:sz w:val="15"/>
              </w:rPr>
              <w:t>Reference for Observability by Design</w:t>
            </w:r>
          </w:p>
        </w:tc>
      </w:tr>
      <w:tr>
        <w:tc>
          <w:tcPr>
            <w:tcW w:type="dxa" w:w="2592"/>
            <w:shd w:fill="EAF2F8"/>
          </w:tcPr>
          <w:p>
            <w:r>
              <w:rPr>
                <w:sz w:val="15"/>
              </w:rPr>
              <w:t>P12</w:t>
            </w:r>
          </w:p>
        </w:tc>
        <w:tc>
          <w:tcPr>
            <w:tcW w:type="dxa" w:w="2592"/>
          </w:tcPr>
          <w:p>
            <w:r>
              <w:rPr>
                <w:sz w:val="15"/>
              </w:rPr>
              <w:t>SigNoz Documentation</w:t>
            </w:r>
          </w:p>
        </w:tc>
        <w:tc>
          <w:tcPr>
            <w:tcW w:type="dxa" w:w="2592"/>
          </w:tcPr>
          <w:p>
            <w:hyperlink r:id="rId44">
              <w:r>
                <w:rPr>
                  <w:color w:val="0563C1"/>
                  <w:u w:val="single"/>
                </w:rPr>
                <w:t>https://signoz.io/docs/</w:t>
              </w:r>
            </w:hyperlink>
          </w:p>
        </w:tc>
        <w:tc>
          <w:tcPr>
            <w:tcW w:type="dxa" w:w="2592"/>
          </w:tcPr>
          <w:p>
            <w:r>
              <w:rPr>
                <w:sz w:val="15"/>
              </w:rPr>
              <w:t>Reference for Observability by Design</w:t>
            </w:r>
          </w:p>
        </w:tc>
      </w:tr>
      <w:tr>
        <w:tc>
          <w:tcPr>
            <w:tcW w:type="dxa" w:w="2592"/>
            <w:shd w:fill="EAF2F8"/>
          </w:tcPr>
          <w:p>
            <w:r>
              <w:rPr>
                <w:sz w:val="15"/>
              </w:rPr>
              <w:t>P13</w:t>
            </w:r>
          </w:p>
        </w:tc>
        <w:tc>
          <w:tcPr>
            <w:tcW w:type="dxa" w:w="2592"/>
          </w:tcPr>
          <w:p>
            <w:r>
              <w:rPr>
                <w:sz w:val="15"/>
              </w:rPr>
              <w:t>Open Policy Agent</w:t>
            </w:r>
          </w:p>
        </w:tc>
        <w:tc>
          <w:tcPr>
            <w:tcW w:type="dxa" w:w="2592"/>
          </w:tcPr>
          <w:p>
            <w:hyperlink r:id="rId31">
              <w:r>
                <w:rPr>
                  <w:color w:val="0563C1"/>
                  <w:u w:val="single"/>
                </w:rPr>
                <w:t>https://www.openpolicyagent.org/</w:t>
              </w:r>
            </w:hyperlink>
          </w:p>
        </w:tc>
        <w:tc>
          <w:tcPr>
            <w:tcW w:type="dxa" w:w="2592"/>
          </w:tcPr>
          <w:p>
            <w:r>
              <w:rPr>
                <w:sz w:val="15"/>
              </w:rPr>
              <w:t>Reference for Policy as Code</w:t>
            </w:r>
          </w:p>
        </w:tc>
      </w:tr>
      <w:tr>
        <w:tc>
          <w:tcPr>
            <w:tcW w:type="dxa" w:w="2592"/>
            <w:shd w:fill="EAF2F8"/>
          </w:tcPr>
          <w:p>
            <w:r>
              <w:rPr>
                <w:sz w:val="15"/>
              </w:rPr>
              <w:t>P13</w:t>
            </w:r>
          </w:p>
        </w:tc>
        <w:tc>
          <w:tcPr>
            <w:tcW w:type="dxa" w:w="2592"/>
          </w:tcPr>
          <w:p>
            <w:r>
              <w:rPr>
                <w:sz w:val="15"/>
              </w:rPr>
              <w:t>Conftest</w:t>
            </w:r>
          </w:p>
        </w:tc>
        <w:tc>
          <w:tcPr>
            <w:tcW w:type="dxa" w:w="2592"/>
          </w:tcPr>
          <w:p>
            <w:hyperlink r:id="rId32">
              <w:r>
                <w:rPr>
                  <w:color w:val="0563C1"/>
                  <w:u w:val="single"/>
                </w:rPr>
                <w:t>https://www.conftest.dev/</w:t>
              </w:r>
            </w:hyperlink>
          </w:p>
        </w:tc>
        <w:tc>
          <w:tcPr>
            <w:tcW w:type="dxa" w:w="2592"/>
          </w:tcPr>
          <w:p>
            <w:r>
              <w:rPr>
                <w:sz w:val="15"/>
              </w:rPr>
              <w:t>Reference for Policy as Code</w:t>
            </w:r>
          </w:p>
        </w:tc>
      </w:tr>
      <w:tr>
        <w:tc>
          <w:tcPr>
            <w:tcW w:type="dxa" w:w="2592"/>
            <w:shd w:fill="EAF2F8"/>
          </w:tcPr>
          <w:p>
            <w:r>
              <w:rPr>
                <w:sz w:val="15"/>
              </w:rPr>
              <w:t>P14</w:t>
            </w:r>
          </w:p>
        </w:tc>
        <w:tc>
          <w:tcPr>
            <w:tcW w:type="dxa" w:w="2592"/>
          </w:tcPr>
          <w:p>
            <w:r>
              <w:rPr>
                <w:sz w:val="15"/>
              </w:rPr>
              <w:t>Martin Fowler - Test Pyramid</w:t>
            </w:r>
          </w:p>
        </w:tc>
        <w:tc>
          <w:tcPr>
            <w:tcW w:type="dxa" w:w="2592"/>
          </w:tcPr>
          <w:p>
            <w:hyperlink r:id="rId33">
              <w:r>
                <w:rPr>
                  <w:color w:val="0563C1"/>
                  <w:u w:val="single"/>
                </w:rPr>
                <w:t>https://martinfowler.com/bliki/TestPyramid.html</w:t>
              </w:r>
            </w:hyperlink>
          </w:p>
        </w:tc>
        <w:tc>
          <w:tcPr>
            <w:tcW w:type="dxa" w:w="2592"/>
          </w:tcPr>
          <w:p>
            <w:r>
              <w:rPr>
                <w:sz w:val="15"/>
              </w:rPr>
              <w:t>Reference for Testability by Design</w:t>
            </w:r>
          </w:p>
        </w:tc>
      </w:tr>
      <w:tr>
        <w:tc>
          <w:tcPr>
            <w:tcW w:type="dxa" w:w="2592"/>
            <w:shd w:fill="EAF2F8"/>
          </w:tcPr>
          <w:p>
            <w:r>
              <w:rPr>
                <w:sz w:val="15"/>
              </w:rPr>
              <w:t>P14</w:t>
            </w:r>
          </w:p>
        </w:tc>
        <w:tc>
          <w:tcPr>
            <w:tcW w:type="dxa" w:w="2592"/>
          </w:tcPr>
          <w:p>
            <w:r>
              <w:rPr>
                <w:sz w:val="15"/>
              </w:rPr>
              <w:t>JUnit 5 User Guide</w:t>
            </w:r>
          </w:p>
        </w:tc>
        <w:tc>
          <w:tcPr>
            <w:tcW w:type="dxa" w:w="2592"/>
          </w:tcPr>
          <w:p>
            <w:hyperlink r:id="rId34">
              <w:r>
                <w:rPr>
                  <w:color w:val="0563C1"/>
                  <w:u w:val="single"/>
                </w:rPr>
                <w:t>https://junit.org/junit5/docs/current/user-guide/</w:t>
              </w:r>
            </w:hyperlink>
          </w:p>
        </w:tc>
        <w:tc>
          <w:tcPr>
            <w:tcW w:type="dxa" w:w="2592"/>
          </w:tcPr>
          <w:p>
            <w:r>
              <w:rPr>
                <w:sz w:val="15"/>
              </w:rPr>
              <w:t>Reference for Testability by Design</w:t>
            </w:r>
          </w:p>
        </w:tc>
      </w:tr>
      <w:tr>
        <w:tc>
          <w:tcPr>
            <w:tcW w:type="dxa" w:w="2592"/>
            <w:shd w:fill="EAF2F8"/>
          </w:tcPr>
          <w:p>
            <w:r>
              <w:rPr>
                <w:sz w:val="15"/>
              </w:rPr>
              <w:t>P15</w:t>
            </w:r>
          </w:p>
        </w:tc>
        <w:tc>
          <w:tcPr>
            <w:tcW w:type="dxa" w:w="2592"/>
          </w:tcPr>
          <w:p>
            <w:r>
              <w:rPr>
                <w:sz w:val="15"/>
              </w:rPr>
              <w:t>CISA Secure by Design</w:t>
            </w:r>
          </w:p>
        </w:tc>
        <w:tc>
          <w:tcPr>
            <w:tcW w:type="dxa" w:w="2592"/>
          </w:tcPr>
          <w:p>
            <w:hyperlink r:id="rId35">
              <w:r>
                <w:rPr>
                  <w:color w:val="0563C1"/>
                  <w:u w:val="single"/>
                </w:rPr>
                <w:t>https://www.cisa.gov/securebydesign</w:t>
              </w:r>
            </w:hyperlink>
          </w:p>
        </w:tc>
        <w:tc>
          <w:tcPr>
            <w:tcW w:type="dxa" w:w="2592"/>
          </w:tcPr>
          <w:p>
            <w:r>
              <w:rPr>
                <w:sz w:val="15"/>
              </w:rPr>
              <w:t>Reference for Secure by Design</w:t>
            </w:r>
          </w:p>
        </w:tc>
      </w:tr>
      <w:tr>
        <w:tc>
          <w:tcPr>
            <w:tcW w:type="dxa" w:w="2592"/>
            <w:shd w:fill="EAF2F8"/>
          </w:tcPr>
          <w:p>
            <w:r>
              <w:rPr>
                <w:sz w:val="15"/>
              </w:rPr>
              <w:t>P15</w:t>
            </w:r>
          </w:p>
        </w:tc>
        <w:tc>
          <w:tcPr>
            <w:tcW w:type="dxa" w:w="2592"/>
          </w:tcPr>
          <w:p>
            <w:r>
              <w:rPr>
                <w:sz w:val="15"/>
              </w:rPr>
              <w:t>NIST SSDF SP 800-218</w:t>
            </w:r>
          </w:p>
        </w:tc>
        <w:tc>
          <w:tcPr>
            <w:tcW w:type="dxa" w:w="2592"/>
          </w:tcPr>
          <w:p>
            <w:hyperlink r:id="rId36">
              <w:r>
                <w:rPr>
                  <w:color w:val="0563C1"/>
                  <w:u w:val="single"/>
                </w:rPr>
                <w:t>https://csrc.nist.gov/publications/detail/sp/800-218/final</w:t>
              </w:r>
            </w:hyperlink>
          </w:p>
        </w:tc>
        <w:tc>
          <w:tcPr>
            <w:tcW w:type="dxa" w:w="2592"/>
          </w:tcPr>
          <w:p>
            <w:r>
              <w:rPr>
                <w:sz w:val="15"/>
              </w:rPr>
              <w:t>Reference for Secure by Design</w:t>
            </w:r>
          </w:p>
        </w:tc>
      </w:tr>
      <w:tr>
        <w:tc>
          <w:tcPr>
            <w:tcW w:type="dxa" w:w="2592"/>
            <w:shd w:fill="EAF2F8"/>
          </w:tcPr>
          <w:p>
            <w:r>
              <w:rPr>
                <w:sz w:val="15"/>
              </w:rPr>
              <w:t>P15</w:t>
            </w:r>
          </w:p>
        </w:tc>
        <w:tc>
          <w:tcPr>
            <w:tcW w:type="dxa" w:w="2592"/>
          </w:tcPr>
          <w:p>
            <w:r>
              <w:rPr>
                <w:sz w:val="15"/>
              </w:rPr>
              <w:t>OWASP ASVS</w:t>
            </w:r>
          </w:p>
        </w:tc>
        <w:tc>
          <w:tcPr>
            <w:tcW w:type="dxa" w:w="2592"/>
          </w:tcPr>
          <w:p>
            <w:hyperlink r:id="rId27">
              <w:r>
                <w:rPr>
                  <w:color w:val="0563C1"/>
                  <w:u w:val="single"/>
                </w:rPr>
                <w:t>https://owasp.org/www-project-application-security-verification-standard/</w:t>
              </w:r>
            </w:hyperlink>
          </w:p>
        </w:tc>
        <w:tc>
          <w:tcPr>
            <w:tcW w:type="dxa" w:w="2592"/>
          </w:tcPr>
          <w:p>
            <w:r>
              <w:rPr>
                <w:sz w:val="15"/>
              </w:rPr>
              <w:t>Reference for Secure by Design</w:t>
            </w:r>
          </w:p>
        </w:tc>
      </w:tr>
      <w:tr>
        <w:tc>
          <w:tcPr>
            <w:tcW w:type="dxa" w:w="2592"/>
            <w:shd w:fill="EAF2F8"/>
          </w:tcPr>
          <w:p>
            <w:r>
              <w:rPr>
                <w:sz w:val="15"/>
              </w:rPr>
              <w:t>P16</w:t>
            </w:r>
          </w:p>
        </w:tc>
        <w:tc>
          <w:tcPr>
            <w:tcW w:type="dxa" w:w="2592"/>
          </w:tcPr>
          <w:p>
            <w:r>
              <w:rPr>
                <w:sz w:val="15"/>
              </w:rPr>
              <w:t>Microsoft Cloud Design Patterns</w:t>
            </w:r>
          </w:p>
        </w:tc>
        <w:tc>
          <w:tcPr>
            <w:tcW w:type="dxa" w:w="2592"/>
          </w:tcPr>
          <w:p>
            <w:hyperlink r:id="rId37">
              <w:r>
                <w:rPr>
                  <w:color w:val="0563C1"/>
                  <w:u w:val="single"/>
                </w:rPr>
                <w:t>https://learn.microsoft.com/azure/architecture/patterns/</w:t>
              </w:r>
            </w:hyperlink>
          </w:p>
        </w:tc>
        <w:tc>
          <w:tcPr>
            <w:tcW w:type="dxa" w:w="2592"/>
          </w:tcPr>
          <w:p>
            <w:r>
              <w:rPr>
                <w:sz w:val="15"/>
              </w:rPr>
              <w:t>Reference for Resilience Patterns</w:t>
            </w:r>
          </w:p>
        </w:tc>
      </w:tr>
      <w:tr>
        <w:tc>
          <w:tcPr>
            <w:tcW w:type="dxa" w:w="2592"/>
            <w:shd w:fill="EAF2F8"/>
          </w:tcPr>
          <w:p>
            <w:r>
              <w:rPr>
                <w:sz w:val="15"/>
              </w:rPr>
              <w:t>P16</w:t>
            </w:r>
          </w:p>
        </w:tc>
        <w:tc>
          <w:tcPr>
            <w:tcW w:type="dxa" w:w="2592"/>
          </w:tcPr>
          <w:p>
            <w:r>
              <w:rPr>
                <w:sz w:val="15"/>
              </w:rPr>
              <w:t>Resilience4j Documentation</w:t>
            </w:r>
          </w:p>
        </w:tc>
        <w:tc>
          <w:tcPr>
            <w:tcW w:type="dxa" w:w="2592"/>
          </w:tcPr>
          <w:p>
            <w:hyperlink r:id="rId38">
              <w:r>
                <w:rPr>
                  <w:color w:val="0563C1"/>
                  <w:u w:val="single"/>
                </w:rPr>
                <w:t>https://resilience4j.readme.io/</w:t>
              </w:r>
            </w:hyperlink>
          </w:p>
        </w:tc>
        <w:tc>
          <w:tcPr>
            <w:tcW w:type="dxa" w:w="2592"/>
          </w:tcPr>
          <w:p>
            <w:r>
              <w:rPr>
                <w:sz w:val="15"/>
              </w:rPr>
              <w:t>Reference for Resilience Patterns</w:t>
            </w:r>
          </w:p>
        </w:tc>
      </w:tr>
      <w:tr>
        <w:tc>
          <w:tcPr>
            <w:tcW w:type="dxa" w:w="2592"/>
            <w:shd w:fill="EAF2F8"/>
          </w:tcPr>
          <w:p>
            <w:r>
              <w:rPr>
                <w:sz w:val="15"/>
              </w:rPr>
              <w:t>P17</w:t>
            </w:r>
          </w:p>
        </w:tc>
        <w:tc>
          <w:tcPr>
            <w:tcW w:type="dxa" w:w="2592"/>
          </w:tcPr>
          <w:p>
            <w:r>
              <w:rPr>
                <w:sz w:val="15"/>
              </w:rPr>
              <w:t>Thoughtworks - Evolutionary Architecture</w:t>
            </w:r>
          </w:p>
        </w:tc>
        <w:tc>
          <w:tcPr>
            <w:tcW w:type="dxa" w:w="2592"/>
          </w:tcPr>
          <w:p>
            <w:hyperlink r:id="rId39">
              <w:r>
                <w:rPr>
                  <w:color w:val="0563C1"/>
                  <w:u w:val="single"/>
                </w:rPr>
                <w:t>https://www.thoughtworks.com/insights/books/building-evolutionary-architectures</w:t>
              </w:r>
            </w:hyperlink>
          </w:p>
        </w:tc>
        <w:tc>
          <w:tcPr>
            <w:tcW w:type="dxa" w:w="2592"/>
          </w:tcPr>
          <w:p>
            <w:r>
              <w:rPr>
                <w:sz w:val="15"/>
              </w:rPr>
              <w:t>Reference for Architectural Fitness Functions</w:t>
            </w:r>
          </w:p>
        </w:tc>
      </w:tr>
      <w:tr>
        <w:tc>
          <w:tcPr>
            <w:tcW w:type="dxa" w:w="2592"/>
            <w:shd w:fill="EAF2F8"/>
          </w:tcPr>
          <w:p>
            <w:r>
              <w:rPr>
                <w:sz w:val="15"/>
              </w:rPr>
              <w:t>P17</w:t>
            </w:r>
          </w:p>
        </w:tc>
        <w:tc>
          <w:tcPr>
            <w:tcW w:type="dxa" w:w="2592"/>
          </w:tcPr>
          <w:p>
            <w:r>
              <w:rPr>
                <w:sz w:val="15"/>
              </w:rPr>
              <w:t>Neal Ford - Evolutionary Architecture</w:t>
            </w:r>
          </w:p>
        </w:tc>
        <w:tc>
          <w:tcPr>
            <w:tcW w:type="dxa" w:w="2592"/>
          </w:tcPr>
          <w:p>
            <w:hyperlink r:id="rId40">
              <w:r>
                <w:rPr>
                  <w:color w:val="0563C1"/>
                  <w:u w:val="single"/>
                </w:rPr>
                <w:t>https://nealford.com/books/building-evolutionary-architectures/</w:t>
              </w:r>
            </w:hyperlink>
          </w:p>
        </w:tc>
        <w:tc>
          <w:tcPr>
            <w:tcW w:type="dxa" w:w="2592"/>
          </w:tcPr>
          <w:p>
            <w:r>
              <w:rPr>
                <w:sz w:val="15"/>
              </w:rPr>
              <w:t>Reference for Architectural Fitness Functions</w:t>
            </w:r>
          </w:p>
        </w:tc>
      </w:tr>
      <w:tr>
        <w:tc>
          <w:tcPr>
            <w:tcW w:type="dxa" w:w="2592"/>
            <w:shd w:fill="EAF2F8"/>
          </w:tcPr>
          <w:p>
            <w:r>
              <w:rPr>
                <w:sz w:val="15"/>
              </w:rPr>
              <w:t>P18</w:t>
            </w:r>
          </w:p>
        </w:tc>
        <w:tc>
          <w:tcPr>
            <w:tcW w:type="dxa" w:w="2592"/>
          </w:tcPr>
          <w:p>
            <w:r>
              <w:rPr>
                <w:sz w:val="15"/>
              </w:rPr>
              <w:t>NIST AI RMF</w:t>
            </w:r>
          </w:p>
        </w:tc>
        <w:tc>
          <w:tcPr>
            <w:tcW w:type="dxa" w:w="2592"/>
          </w:tcPr>
          <w:p>
            <w:hyperlink r:id="rId25">
              <w:r>
                <w:rPr>
                  <w:color w:val="0563C1"/>
                  <w:u w:val="single"/>
                </w:rPr>
                <w:t>https://www.nist.gov/itl/ai-risk-management-framework</w:t>
              </w:r>
            </w:hyperlink>
          </w:p>
        </w:tc>
        <w:tc>
          <w:tcPr>
            <w:tcW w:type="dxa" w:w="2592"/>
          </w:tcPr>
          <w:p>
            <w:r>
              <w:rPr>
                <w:sz w:val="15"/>
              </w:rPr>
              <w:t>Reference for Progressive Autonomy</w:t>
            </w:r>
          </w:p>
        </w:tc>
      </w:tr>
      <w:tr>
        <w:tc>
          <w:tcPr>
            <w:tcW w:type="dxa" w:w="2592"/>
            <w:shd w:fill="EAF2F8"/>
          </w:tcPr>
          <w:p>
            <w:r>
              <w:rPr>
                <w:sz w:val="15"/>
              </w:rPr>
              <w:t>P18</w:t>
            </w:r>
          </w:p>
        </w:tc>
        <w:tc>
          <w:tcPr>
            <w:tcW w:type="dxa" w:w="2592"/>
          </w:tcPr>
          <w:p>
            <w:r>
              <w:rPr>
                <w:sz w:val="15"/>
              </w:rPr>
              <w:t>NIST AI 600-1 Generative AI Profile</w:t>
            </w:r>
          </w:p>
        </w:tc>
        <w:tc>
          <w:tcPr>
            <w:tcW w:type="dxa" w:w="2592"/>
          </w:tcPr>
          <w:p>
            <w:hyperlink r:id="rId41">
              <w:r>
                <w:rPr>
                  <w:color w:val="0563C1"/>
                  <w:u w:val="single"/>
                </w:rPr>
                <w:t>https://www.nist.gov/itl/ai-risk-management-framework/generative-artificial-intelligence</w:t>
              </w:r>
            </w:hyperlink>
          </w:p>
        </w:tc>
        <w:tc>
          <w:tcPr>
            <w:tcW w:type="dxa" w:w="2592"/>
          </w:tcPr>
          <w:p>
            <w:r>
              <w:rPr>
                <w:sz w:val="15"/>
              </w:rPr>
              <w:t>Reference for Progressive Autonomy</w:t>
            </w:r>
          </w:p>
        </w:tc>
      </w:tr>
      <w:tr>
        <w:tc>
          <w:tcPr>
            <w:tcW w:type="dxa" w:w="2592"/>
            <w:shd w:fill="EAF2F8"/>
          </w:tcPr>
          <w:p>
            <w:r>
              <w:rPr>
                <w:sz w:val="15"/>
              </w:rPr>
              <w:t>P19</w:t>
            </w:r>
          </w:p>
        </w:tc>
        <w:tc>
          <w:tcPr>
            <w:tcW w:type="dxa" w:w="2592"/>
          </w:tcPr>
          <w:p>
            <w:r>
              <w:rPr>
                <w:sz w:val="15"/>
              </w:rPr>
              <w:t>Kubernetes Deployments</w:t>
            </w:r>
          </w:p>
        </w:tc>
        <w:tc>
          <w:tcPr>
            <w:tcW w:type="dxa" w:w="2592"/>
          </w:tcPr>
          <w:p>
            <w:hyperlink r:id="rId42">
              <w:r>
                <w:rPr>
                  <w:color w:val="0563C1"/>
                  <w:u w:val="single"/>
                </w:rPr>
                <w:t>https://kubernetes.io/docs/concepts/workloads/controllers/deployment/</w:t>
              </w:r>
            </w:hyperlink>
          </w:p>
        </w:tc>
        <w:tc>
          <w:tcPr>
            <w:tcW w:type="dxa" w:w="2592"/>
          </w:tcPr>
          <w:p>
            <w:r>
              <w:rPr>
                <w:sz w:val="15"/>
              </w:rPr>
              <w:t>Reference for Reversibility / Rollbackability</w:t>
            </w:r>
          </w:p>
        </w:tc>
      </w:tr>
      <w:tr>
        <w:tc>
          <w:tcPr>
            <w:tcW w:type="dxa" w:w="2592"/>
            <w:shd w:fill="EAF2F8"/>
          </w:tcPr>
          <w:p>
            <w:r>
              <w:rPr>
                <w:sz w:val="15"/>
              </w:rPr>
              <w:t>P19</w:t>
            </w:r>
          </w:p>
        </w:tc>
        <w:tc>
          <w:tcPr>
            <w:tcW w:type="dxa" w:w="2592"/>
          </w:tcPr>
          <w:p>
            <w:r>
              <w:rPr>
                <w:sz w:val="15"/>
              </w:rPr>
              <w:t>Argo CD Documentation</w:t>
            </w:r>
          </w:p>
        </w:tc>
        <w:tc>
          <w:tcPr>
            <w:tcW w:type="dxa" w:w="2592"/>
          </w:tcPr>
          <w:p>
            <w:hyperlink r:id="rId43">
              <w:r>
                <w:rPr>
                  <w:color w:val="0563C1"/>
                  <w:u w:val="single"/>
                </w:rPr>
                <w:t>https://argo-cd.readthedocs.io/</w:t>
              </w:r>
            </w:hyperlink>
          </w:p>
        </w:tc>
        <w:tc>
          <w:tcPr>
            <w:tcW w:type="dxa" w:w="2592"/>
          </w:tcPr>
          <w:p>
            <w:r>
              <w:rPr>
                <w:sz w:val="15"/>
              </w:rPr>
              <w:t>Reference for Reversibility / Rollbackability</w:t>
            </w:r>
          </w:p>
        </w:tc>
      </w:tr>
      <w:tr>
        <w:tc>
          <w:tcPr>
            <w:tcW w:type="dxa" w:w="2592"/>
            <w:shd w:fill="EAF2F8"/>
          </w:tcPr>
          <w:p>
            <w:r>
              <w:rPr>
                <w:sz w:val="15"/>
              </w:rPr>
              <w:t>P20</w:t>
            </w:r>
          </w:p>
        </w:tc>
        <w:tc>
          <w:tcPr>
            <w:tcW w:type="dxa" w:w="2592"/>
          </w:tcPr>
          <w:p>
            <w:r>
              <w:rPr>
                <w:sz w:val="15"/>
              </w:rPr>
              <w:t>NIST AI RMF</w:t>
            </w:r>
          </w:p>
        </w:tc>
        <w:tc>
          <w:tcPr>
            <w:tcW w:type="dxa" w:w="2592"/>
          </w:tcPr>
          <w:p>
            <w:hyperlink r:id="rId25">
              <w:r>
                <w:rPr>
                  <w:color w:val="0563C1"/>
                  <w:u w:val="single"/>
                </w:rPr>
                <w:t>https://www.nist.gov/itl/ai-risk-management-framework</w:t>
              </w:r>
            </w:hyperlink>
          </w:p>
        </w:tc>
        <w:tc>
          <w:tcPr>
            <w:tcW w:type="dxa" w:w="2592"/>
          </w:tcPr>
          <w:p>
            <w:r>
              <w:rPr>
                <w:sz w:val="15"/>
              </w:rPr>
              <w:t>Reference for AVCI</w:t>
            </w:r>
          </w:p>
        </w:tc>
      </w:tr>
      <w:tr>
        <w:tc>
          <w:tcPr>
            <w:tcW w:type="dxa" w:w="2592"/>
            <w:shd w:fill="EAF2F8"/>
          </w:tcPr>
          <w:p>
            <w:r>
              <w:rPr>
                <w:sz w:val="15"/>
              </w:rPr>
              <w:t>P20</w:t>
            </w:r>
          </w:p>
        </w:tc>
        <w:tc>
          <w:tcPr>
            <w:tcW w:type="dxa" w:w="2592"/>
          </w:tcPr>
          <w:p>
            <w:r>
              <w:rPr>
                <w:sz w:val="15"/>
              </w:rPr>
              <w:t>NIST SSDF SP 800-218</w:t>
            </w:r>
          </w:p>
        </w:tc>
        <w:tc>
          <w:tcPr>
            <w:tcW w:type="dxa" w:w="2592"/>
          </w:tcPr>
          <w:p>
            <w:hyperlink r:id="rId36">
              <w:r>
                <w:rPr>
                  <w:color w:val="0563C1"/>
                  <w:u w:val="single"/>
                </w:rPr>
                <w:t>https://csrc.nist.gov/publications/detail/sp/800-218/final</w:t>
              </w:r>
            </w:hyperlink>
          </w:p>
        </w:tc>
        <w:tc>
          <w:tcPr>
            <w:tcW w:type="dxa" w:w="2592"/>
          </w:tcPr>
          <w:p>
            <w:r>
              <w:rPr>
                <w:sz w:val="15"/>
              </w:rPr>
              <w:t>Reference for AVCI</w:t>
            </w:r>
          </w:p>
        </w:tc>
      </w:tr>
      <w:tr>
        <w:tc>
          <w:tcPr>
            <w:tcW w:type="dxa" w:w="2592"/>
            <w:shd w:fill="EAF2F8"/>
          </w:tcPr>
          <w:p>
            <w:r>
              <w:rPr>
                <w:sz w:val="15"/>
              </w:rPr>
              <w:t>P20</w:t>
            </w:r>
          </w:p>
        </w:tc>
        <w:tc>
          <w:tcPr>
            <w:tcW w:type="dxa" w:w="2592"/>
          </w:tcPr>
          <w:p>
            <w:r>
              <w:rPr>
                <w:sz w:val="15"/>
              </w:rPr>
              <w:t>ISO/IEC 27001 overview</w:t>
            </w:r>
          </w:p>
        </w:tc>
        <w:tc>
          <w:tcPr>
            <w:tcW w:type="dxa" w:w="2592"/>
          </w:tcPr>
          <w:p>
            <w:hyperlink r:id="rId45">
              <w:r>
                <w:rPr>
                  <w:color w:val="0563C1"/>
                  <w:u w:val="single"/>
                </w:rPr>
                <w:t>https://www.iso.org/isoiec-27001-information-security.html</w:t>
              </w:r>
            </w:hyperlink>
          </w:p>
        </w:tc>
        <w:tc>
          <w:tcPr>
            <w:tcW w:type="dxa" w:w="2592"/>
          </w:tcPr>
          <w:p>
            <w:r>
              <w:rPr>
                <w:sz w:val="15"/>
              </w:rPr>
              <w:t>Reference for AVCI</w:t>
            </w:r>
          </w:p>
        </w:tc>
      </w:tr>
    </w:tbl>
    <w:p>
      <w:pPr>
        <w:pStyle w:val="Heading1"/>
      </w:pPr>
      <w:r>
        <w:t>Appendix C. AVCI Compliance Summary</w:t>
      </w:r>
    </w:p>
    <w:tbl>
      <w:tblPr>
        <w:tblW w:type="auto" w:w="0"/>
        <w:tblLayout w:type="autofit"/>
        <w:tblLook w:firstColumn="1" w:firstRow="1" w:lastColumn="0" w:lastRow="0" w:noHBand="0" w:noVBand="1" w:val="04A0"/>
        <w:tblBorders>
          <w:top w:val="single" w:sz="6" w:space="0" w:color="B7C6D9"/>
          <w:left w:val="single" w:sz="6" w:space="0" w:color="B7C6D9"/>
          <w:bottom w:val="single" w:sz="6" w:space="0" w:color="B7C6D9"/>
          <w:right w:val="single" w:sz="6" w:space="0" w:color="B7C6D9"/>
          <w:insideH w:val="single" w:sz="6" w:space="0" w:color="B7C6D9"/>
          <w:insideV w:val="single" w:sz="6" w:space="0" w:color="B7C6D9"/>
        </w:tblBorders>
      </w:tblPr>
      <w:tblGrid>
        <w:gridCol w:w="5184"/>
        <w:gridCol w:w="5184"/>
      </w:tblGrid>
      <w:tr>
        <w:tc>
          <w:tcPr>
            <w:tcW w:type="dxa" w:w="5184"/>
            <w:shd w:fill="1F4E79"/>
          </w:tcPr>
          <w:p>
            <w:r>
              <w:rPr>
                <w:b/>
                <w:color w:val="FFFFFF"/>
              </w:rPr>
              <w:t>AVCI Property</w:t>
            </w:r>
          </w:p>
        </w:tc>
        <w:tc>
          <w:tcPr>
            <w:tcW w:type="dxa" w:w="5184"/>
            <w:shd w:fill="1F4E79"/>
          </w:tcPr>
          <w:p>
            <w:r>
              <w:rPr>
                <w:b/>
                <w:color w:val="FFFFFF"/>
              </w:rPr>
              <w:t>Compliance Statement</w:t>
            </w:r>
          </w:p>
        </w:tc>
      </w:tr>
      <w:tr>
        <w:tc>
          <w:tcPr>
            <w:tcW w:type="dxa" w:w="5184"/>
            <w:shd w:fill="EAF2F8"/>
          </w:tcPr>
          <w:p>
            <w:r>
              <w:t>Attributable</w:t>
            </w:r>
          </w:p>
        </w:tc>
        <w:tc>
          <w:tcPr>
            <w:tcW w:type="dxa" w:w="5184"/>
          </w:tcPr>
          <w:p>
            <w:r>
              <w:t>This reference library is owned by the Solutions Architecture Office / IT Head and links each principle to source references and AIRA enforcement expectations.</w:t>
            </w:r>
          </w:p>
        </w:tc>
      </w:tr>
      <w:tr>
        <w:tc>
          <w:tcPr>
            <w:tcW w:type="dxa" w:w="5184"/>
            <w:shd w:fill="EAF2F8"/>
          </w:tcPr>
          <w:p>
            <w:r>
              <w:t>Verifiable</w:t>
            </w:r>
          </w:p>
        </w:tc>
        <w:tc>
          <w:tcPr>
            <w:tcW w:type="dxa" w:w="5184"/>
          </w:tcPr>
          <w:p>
            <w:r>
              <w:t>Principle use is verifiable through PR/MR summaries, ADR/TDL references, CI/CD gates, architecture fitness functions, tests, and review records.</w:t>
            </w:r>
          </w:p>
        </w:tc>
      </w:tr>
      <w:tr>
        <w:tc>
          <w:tcPr>
            <w:tcW w:type="dxa" w:w="5184"/>
            <w:shd w:fill="EAF2F8"/>
          </w:tcPr>
          <w:p>
            <w:r>
              <w:t>Classifiable</w:t>
            </w:r>
          </w:p>
        </w:tc>
        <w:tc>
          <w:tcPr>
            <w:tcW w:type="dxa" w:w="5184"/>
          </w:tcPr>
          <w:p>
            <w:r>
              <w:t>The document is classified as INTERNAL CONFIDENTIAL. Individual references are public, but AIRA-specific enforcement notes and governance mapping are internal.</w:t>
            </w:r>
          </w:p>
        </w:tc>
      </w:tr>
      <w:tr>
        <w:tc>
          <w:tcPr>
            <w:tcW w:type="dxa" w:w="5184"/>
            <w:shd w:fill="EAF2F8"/>
          </w:tcPr>
          <w:p>
            <w:r>
              <w:t>Improvable</w:t>
            </w:r>
          </w:p>
        </w:tc>
        <w:tc>
          <w:tcPr>
            <w:tcW w:type="dxa" w:w="5184"/>
          </w:tcPr>
          <w:p>
            <w:r>
              <w:t>The library has a quarterly review cadence and should be updated when principles, source references, AIRA standards, or architecture fitness functions change.</w:t>
            </w:r>
          </w:p>
        </w:tc>
      </w:tr>
    </w:tbl>
    <w:p>
      <w:pPr>
        <w:jc w:val="center"/>
      </w:pPr>
      <w:r>
        <w:rPr>
          <w:b/>
          <w:color w:val="0B1F4D"/>
        </w:rPr>
        <w:t>End of Document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46A"/>
        <w:sz w:val="16"/>
      </w:rPr>
      <w:t xml:space="preserve">AIRA | INTERNAL CONFIDENTIAL | v1.0 | Page </w:t>
    </w:r>
    <w:r>
      <w:rPr>
        <w:color w:val="44546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546A"/>
        <w:sz w:val="16"/>
      </w:rPr>
      <w:t>AIRA-DOC-028 | Enterprise Design Principles &amp; SOLID Enforcement Layer Reference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857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ff.cs.utu.fi/~jounsmed/doos_06/material/DesignPrinciplesAndPatterns.pdf" TargetMode="External"/><Relationship Id="rId12" Type="http://schemas.openxmlformats.org/officeDocument/2006/relationships/hyperlink" Target="https://www.digitalocean.com/community/conceptual-articles/s-o-l-i-d-the-first-five-principles-of-object-oriented-design" TargetMode="External"/><Relationship Id="rId13" Type="http://schemas.openxmlformats.org/officeDocument/2006/relationships/hyperlink" Target="https://blog.cleancoder.com/uncle-bob/2012/08/13/the-clean-architecture.html" TargetMode="External"/><Relationship Id="rId14" Type="http://schemas.openxmlformats.org/officeDocument/2006/relationships/hyperlink" Target="https://martinfowler.com/bliki/DomainDrivenDesign.html" TargetMode="External"/><Relationship Id="rId15" Type="http://schemas.openxmlformats.org/officeDocument/2006/relationships/hyperlink" Target="https://martinfowler.com/bliki/BoundedContext.html" TargetMode="External"/><Relationship Id="rId16" Type="http://schemas.openxmlformats.org/officeDocument/2006/relationships/hyperlink" Target="https://alistair.cockburn.us/hexagonal-architecture" TargetMode="External"/><Relationship Id="rId17" Type="http://schemas.openxmlformats.org/officeDocument/2006/relationships/hyperlink" Target="https://pragprog.com/titles/tpp20/the-pragmatic-programmer-20th-anniversary-edition/" TargetMode="External"/><Relationship Id="rId18" Type="http://schemas.openxmlformats.org/officeDocument/2006/relationships/hyperlink" Target="https://martinfowler.com/bliki/Yagni.html" TargetMode="External"/><Relationship Id="rId19" Type="http://schemas.openxmlformats.org/officeDocument/2006/relationships/hyperlink" Target="https://www.rfc-editor.org/rfc/rfc9110" TargetMode="External"/><Relationship Id="rId20" Type="http://schemas.openxmlformats.org/officeDocument/2006/relationships/hyperlink" Target="https://docs.stripe.com/api/idempotent_requests" TargetMode="External"/><Relationship Id="rId21" Type="http://schemas.openxmlformats.org/officeDocument/2006/relationships/hyperlink" Target="https://reproducible-builds.org/" TargetMode="External"/><Relationship Id="rId22" Type="http://schemas.openxmlformats.org/officeDocument/2006/relationships/hyperlink" Target="https://slsa.dev/" TargetMode="External"/><Relationship Id="rId23" Type="http://schemas.openxmlformats.org/officeDocument/2006/relationships/hyperlink" Target="https://cheatsheetseries.owasp.org/cheatsheets/Authentication_Cheat_Sheet.html" TargetMode="External"/><Relationship Id="rId24" Type="http://schemas.openxmlformats.org/officeDocument/2006/relationships/hyperlink" Target="https://csrc.nist.gov/publications/detail/sp/800-53/rev-5/final"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digital-strategy.ec.europa.eu/en/policies/regulatory-framework-ai" TargetMode="External"/><Relationship Id="rId27" Type="http://schemas.openxmlformats.org/officeDocument/2006/relationships/hyperlink" Target="https://owasp.org/www-project-application-security-verification-standard/" TargetMode="External"/><Relationship Id="rId28" Type="http://schemas.openxmlformats.org/officeDocument/2006/relationships/hyperlink" Target="https://www.cisecurity.org/controls" TargetMode="External"/><Relationship Id="rId29" Type="http://schemas.openxmlformats.org/officeDocument/2006/relationships/hyperlink" Target="https://opentelemetry.io/" TargetMode="External"/><Relationship Id="rId30" Type="http://schemas.openxmlformats.org/officeDocument/2006/relationships/hyperlink" Target="https://sre.google/sre-book/monitoring-distributed-systems/" TargetMode="External"/><Relationship Id="rId31" Type="http://schemas.openxmlformats.org/officeDocument/2006/relationships/hyperlink" Target="https://www.openpolicyagent.org/" TargetMode="External"/><Relationship Id="rId32" Type="http://schemas.openxmlformats.org/officeDocument/2006/relationships/hyperlink" Target="https://www.conftest.dev/" TargetMode="External"/><Relationship Id="rId33" Type="http://schemas.openxmlformats.org/officeDocument/2006/relationships/hyperlink" Target="https://martinfowler.com/bliki/TestPyramid.html" TargetMode="External"/><Relationship Id="rId34" Type="http://schemas.openxmlformats.org/officeDocument/2006/relationships/hyperlink" Target="https://junit.org/junit5/docs/current/user-guide/" TargetMode="External"/><Relationship Id="rId35" Type="http://schemas.openxmlformats.org/officeDocument/2006/relationships/hyperlink" Target="https://www.cisa.gov/securebydesign" TargetMode="External"/><Relationship Id="rId36" Type="http://schemas.openxmlformats.org/officeDocument/2006/relationships/hyperlink" Target="https://csrc.nist.gov/publications/detail/sp/800-218/final" TargetMode="External"/><Relationship Id="rId37" Type="http://schemas.openxmlformats.org/officeDocument/2006/relationships/hyperlink" Target="https://learn.microsoft.com/azure/architecture/patterns/" TargetMode="External"/><Relationship Id="rId38" Type="http://schemas.openxmlformats.org/officeDocument/2006/relationships/hyperlink" Target="https://resilience4j.readme.io/" TargetMode="External"/><Relationship Id="rId39" Type="http://schemas.openxmlformats.org/officeDocument/2006/relationships/hyperlink" Target="https://www.thoughtworks.com/insights/books/building-evolutionary-architectures" TargetMode="External"/><Relationship Id="rId40" Type="http://schemas.openxmlformats.org/officeDocument/2006/relationships/hyperlink" Target="https://nealford.com/books/building-evolutionary-architectures/" TargetMode="External"/><Relationship Id="rId41" Type="http://schemas.openxmlformats.org/officeDocument/2006/relationships/hyperlink" Target="https://www.nist.gov/itl/ai-risk-management-framework/generative-artificial-intelligence" TargetMode="External"/><Relationship Id="rId42" Type="http://schemas.openxmlformats.org/officeDocument/2006/relationships/hyperlink" Target="https://kubernetes.io/docs/concepts/workloads/controllers/deployment/" TargetMode="External"/><Relationship Id="rId43" Type="http://schemas.openxmlformats.org/officeDocument/2006/relationships/hyperlink" Target="https://argo-cd.readthedocs.io/" TargetMode="External"/><Relationship Id="rId44" Type="http://schemas.openxmlformats.org/officeDocument/2006/relationships/hyperlink" Target="https://signoz.io/docs/" TargetMode="External"/><Relationship Id="rId45" Type="http://schemas.openxmlformats.org/officeDocument/2006/relationships/hyperlink" Target="https://www.iso.org/isoiec-27001-information-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