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54"/>
        </w:rPr>
        <w:t>AIRA</w:t>
      </w:r>
    </w:p>
    <w:p>
      <w:pPr>
        <w:jc w:val="center"/>
      </w:pPr>
      <w:r>
        <w:rPr>
          <w:rFonts w:ascii="Aptos" w:hAnsi="Aptos" w:eastAsia="Aptos"/>
          <w:b w:val="0"/>
          <w:color w:val="5B9BD5"/>
          <w:sz w:val="28"/>
        </w:rPr>
        <w:t>AI-Native Enterprise Platform</w:t>
      </w:r>
    </w:p>
    <w:p/>
    <w:p>
      <w:pPr>
        <w:pStyle w:val="Title"/>
        <w:jc w:val="center"/>
      </w:pPr>
      <w:r>
        <w:t>Security, Identity, Secrets, and Access Control Standard</w:t>
      </w:r>
    </w:p>
    <w:p>
      <w:pPr>
        <w:jc w:val="center"/>
      </w:pPr>
      <w:r>
        <w:rPr>
          <w:rFonts w:ascii="Aptos" w:hAnsi="Aptos" w:eastAsia="Aptos"/>
          <w:b w:val="0"/>
          <w:i/>
          <w:color w:val="333333"/>
          <w:sz w:val="17"/>
        </w:rPr>
        <w:t>Zero Trust · Keycloak / AD · Vault · SPIFFE/SVID · SBAC + RBAC + ABAC + OPA · SOLID/AVCI-Governed</w:t>
      </w:r>
    </w:p>
    <w:p>
      <w:pPr>
        <w:jc w:val="center"/>
      </w:pPr>
      <w:r>
        <w:rPr>
          <w:rFonts w:ascii="Aptos" w:hAnsi="Aptos" w:eastAsia="Aptos"/>
          <w:b/>
          <w:color w:val="1F4E79"/>
          <w:sz w:val="18"/>
        </w:rPr>
        <w:t>Version 2.0 · April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E2F0D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203864"/>
                <w:sz w:val="17"/>
              </w:rPr>
              <w:t>Mandatory Security Principle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Aptos"/>
                <w:sz w:val="14"/>
              </w:rPr>
              <w:t>Security is not an optional review stage. Every AIRA identity, service, MicroFunction, prompt, model route, secret, policy, tool action, workflow, data store, and operational process must be least-privilege, policy-governed, fail-closed, observable, reversible where applicable, and AVCI-evidenced by construction.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Property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Value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Document ID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AIRA-DOC-017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Document Title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AIRA Security, Identity, Secrets, and Access Control Standard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Version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v2.0 - Enterprise Design Principles and SOLID Enforcement Revision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Supersedes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17-AIRA_Security_Identity_Secrets_and_Access_Control_Standard_v1.0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Status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FOR ARCHITECTURE REVIEW BOARD / ENGINEERING ADOPTION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Classification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CONFIDENTIAL - Internal Use Only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Owner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Solutions Architecture Office / Security Architecture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Co-Owners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Security Administrator · System Administrator · DevSecOps Lead · Software Development Lead · DBA · QA Lead · AI Governance Lead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Audience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Solutions Architect, Software Developers, Security Administrator, System Administrator, DBA, DevSecOps, Internal Audit, Compliance, AI Engineers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Effective Date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On CAB / Architecture Review Board approval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Review Cadence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Quarterly; unscheduled on material identity, secrets, AI, threat, regulatory, or technology-stack change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Primary Decision Inputs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ADR-AIRA-2026-001; AIRA Cross-Document Revision Control Matrix v1.0; 01A Enterprise Design Principles and SOLID Enforcement Layer v1.0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Companion Documents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01 AVCI Engineering Standard v3.0; 01A Enterprise Design Principles v1.0; 02 Engineering Blueprint v5.0; 03 Developer Guide v4.0; 04 Technology Stack v8.0; 05 Information Nervous System v4.0; 06 CLAUDE.md Reference v3.0; 07 Skills Framework v3.0; 08 Unit Testing Standard v3.0; 09 Greenfield Environment Standard v3.0; 10/10A/10B/10C/10D MicroFunction documents; 11 DevSecOps Standard v3.0; 12 Rollout Pack v3.0; 13 Knowledge Governance v2.0; 14 ADR/TDL v2.0; 15 API Contract v2.0; 16 Database Standard v2.0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Compliance Scope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ISO/IEC 27001:2022 · CIS Controls v8.1 · NIST SP 800-207 · NIST CSF 2.0 · NIST SSDF · NIST AI RMF · OWASP ASVS 5.0.0 · SOC 2 · BSP IT Risk · SLSA Build Level 3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Purpose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Define mandatory security, identity, secrets, workload identity, access-control, AI agent execution, policy-as-code, audit, break-glass, and evidence controls used by AIRA applications and infrastructure.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00" w:after="40"/>
      </w:pPr>
      <w:r>
        <w:t>Table of Contents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1. Executive Summary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2. Purpose, Scope, and Authority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3. Non-Negotiable Security Principles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4. Reference Security Architecture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5. Enterprise Design Principles and SOLID Enforcement for Security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6. Identity and Authentication Standard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7. Authorization Standard: RBAC, ABAC, SBAC, and OPA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8. Secrets, Keys, Certificates, and Vault Governance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9. Workload Identity, mTLS, and Service-to-Service Trust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10. Classification, Data Handling, Logging, and Model Routing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11. Application, API, MicroFunction, and Database Security Patterns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12. AI Agent Execution Security and Harness Boundary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13. DevSecOps Security Gates and Architecture Fitness Functions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14. Observability, Audit Evidence, Incident Response, and Break-Glass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15. Auto-Heal, Auto-Learn, and Auto-Improve Security Governance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16. Roles, RACI, and Operating Procedures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17. Implementation Roadmap and Acceptance Criteria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18. AVCI Compliance Summary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Appendix A. Access Request Checklist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Appendix B. OPA Policy Skeleton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Appendix C. Security PR/MR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FF2CC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203864"/>
                <w:sz w:val="17"/>
              </w:rPr>
              <w:t>Word TOC Note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Aptos"/>
                <w:sz w:val="14"/>
              </w:rPr>
              <w:t>This document uses a static table of contents for deterministic rendering. A dynamic Word TOC may be inserted before final publication if required.</w:t>
            </w:r>
          </w:p>
        </w:tc>
      </w:tr>
    </w:tbl>
    <w:p/>
    <w:p>
      <w:pPr>
        <w:pStyle w:val="Heading1"/>
        <w:keepNext/>
        <w:spacing w:before="100" w:after="40"/>
      </w:pPr>
      <w:r>
        <w:t>1. Executive Summary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AIRA is a regulated, AI-native enterprise platform. Security must be embedded into identity, authorization, secrets, workload identity, service-to-service trust, AI agent execution, logging, evidence, incident response, and operational recovery from the first line of code.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Version 2.0 upgrades the security baseline by incorporating the Enterprise Design Principles and SOLID Enforcement Layer. Security controls must preserve Clean Architecture boundaries, DDD ownership, ports-and-adapters separation, least privilege, separation of duties, fail-closed behavior, testability, observability, reversibility, and AVCI evidence.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Security Area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AIRA v2.0 Standard Position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Identity Provider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Keycloak federated to corporate Active Directory / enterprise IdP. No local application passwords except controlled break-glass accounts.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Authentication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OIDC/OAuth 2.x patterns with MFA, PKCE where applicable, short-lived tokens, token audience validation, and session evidence.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Authorization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RBAC for coarse roles, ABAC for contextual conditions, SBAC for human/AI skills, and OPA for policy-as-code decisions.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Secrets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Vault or approved enterprise secrets manager controls dynamic/leased secrets, PKI, encryption material, and secret access evidence.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Workload Identity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SPIFFE IDs and SVIDs for service identity; mTLS for service-to-service communication; static shared credentials rejected.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AI Agent Execution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Hermes may reason; Harness executes; OPA decides; SBAC and trust score gate actions; humans approve high-impact actions.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Audit Evidence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Every access decision records actor, subject, resource, action, decision, policy version, classification, and trace_id.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DDEBF7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203864"/>
                <w:sz w:val="17"/>
              </w:rPr>
              <w:t>Security Architecture Rule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Aptos"/>
                <w:sz w:val="14"/>
              </w:rPr>
              <w:t>AI may recommend, draft, analyze, or classify security work. It must not approve access, bypass policy, expose secrets, execute production-impacting actions, suppress evidence, or weaken security posture.</w:t>
            </w:r>
          </w:p>
        </w:tc>
      </w:tr>
    </w:tbl>
    <w:p/>
    <w:p>
      <w:pPr>
        <w:pStyle w:val="Heading1"/>
        <w:keepNext/>
        <w:spacing w:before="100" w:after="40"/>
      </w:pPr>
      <w:r>
        <w:t>2. Purpose, Scope, and Authority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This document gives developers, administrators, security engineers, and AI governance owners a single security design standard for implementing AIRA applications and infrastructure. It translates policy into concrete engineering patterns: identity propagation, token validation, authorization checks, secret retrieval, audit records, service trust, MicroFunction execution control, and AI agent action governance.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In Scope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Out of Scope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All AIRA applications, services, MicroFunctions, APIs, workflows, integrations, prompt repositories, model-routing configuration, and AI orchestration components.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Physical facilities security except where referenced by compliance evidence.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Human users, administrators, developers, approvers, auditors, service accounts, workload identities, CI identities, and AI agents.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Detailed firewall rule implementation, which belongs to infrastructure/security operations runbooks.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Authentication, authorization, secrets, service identity, mTLS, policy-as-code, break-glass, audit evidence, and classification-aware routing.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Business-specific role design, which must be owned by the business domain and implemented under this standard.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Development, test, UAT, staging, production, incident response, and maintenance workflows.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General HR policy except where access approval, onboarding, and offboarding evidence is required.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Authority Level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Document / Control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Security Concern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L0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AIRA Consolidated Architecture Blueprint / Architecture Board decisions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End-to-end platform security posture, trust boundaries, and architecture exceptions.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L1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Engineering Blueprint v5.0 and DevSecOps Standard v3.0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Service boundaries, secure lifecycle, promotion gates, evidence regime.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L2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AVCI v3.0 and 01A Enterprise Design Principles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Universal quality, SOLID, security posture, testability, reversibility, evidence.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L2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This Security Standard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Identity, secrets, access control, workload trust, AI execution security, break-glass.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L3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CLAUDE.md, OPA, CI/CD, CODEOWNERS, Harness, Vault policies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Executable controls and repository-specific enforcement.</w:t>
            </w:r>
          </w:p>
        </w:tc>
      </w:tr>
    </w:tbl>
    <w:p/>
    <w:p>
      <w:pPr>
        <w:pStyle w:val="Heading1"/>
        <w:keepNext/>
        <w:spacing w:before="100" w:after="40"/>
      </w:pPr>
      <w:r>
        <w:t>3. Non-Negotiable Security Principles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936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ID</w:t>
            </w:r>
          </w:p>
        </w:tc>
        <w:tc>
          <w:tcPr>
            <w:tcW w:type="dxa" w:w="2088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Principle</w:t>
            </w:r>
          </w:p>
        </w:tc>
        <w:tc>
          <w:tcPr>
            <w:tcW w:type="dxa" w:w="6336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Engineering Meaning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SEC-01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Zero Trust by Default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No user, service, agent, device, network segment, or environment is trusted implicitly. Every request is authenticated, authorized, classified, logged, and trace-correlated.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SEC-02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Named Accountability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Human access is tied to one named person. Shared accounts are prohibited except approved break-glass with dual approval and post-use review.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SEC-03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Least Privilege and Just-in-Time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Users, services, agents, and pipelines receive only the authority required, for the shortest viable time, with revocation evidence.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SEC-04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Policy as Code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Authorization rules, admission controls, access decisions, model-routing rules, and guardrail approvals are reviewed policy artifacts.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SEC-05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No Secret Exposure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Secrets never appear in Git, prompts, wiki pages, logs, traces, errors, screenshots, test fixtures, or documents.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SEC-06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Workload Identity over Static Credentials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Service identity uses SPIFFE/SVID or approved short-lived workload credentials. Static credentials require waiver and rotation evidence.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SEC-07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Classification Drives Controls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Public, Internal, Confidential, and Restricted classifications determine routing, encryption, logging, retention, approval, and AI use.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SEC-08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AI Actions Are Mediated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AI agents cannot directly execute tools. Harness mediates identity, skill, trust, policy, scope, approval, and audit.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SEC-09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Fail Closed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If OPA, Vault, Keycloak, Harness, NeMo Guardrails, LiteLLM, or audit evidence pipeline is unavailable, protected actions are blocked.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SEC-10</w:t>
            </w:r>
          </w:p>
        </w:tc>
        <w:tc>
          <w:tcPr>
            <w:tcW w:type="dxa" w:w="2088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AVCI Evidence on Every Control</w:t>
            </w:r>
          </w:p>
        </w:tc>
        <w:tc>
          <w:tcPr>
            <w:tcW w:type="dxa" w:w="6336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Every access decision and security control must be attributable, verifiable, classifiable, and improvable.</w:t>
            </w:r>
          </w:p>
        </w:tc>
      </w:tr>
    </w:tbl>
    <w:p/>
    <w:p>
      <w:pPr>
        <w:pStyle w:val="Heading1"/>
        <w:keepNext/>
        <w:spacing w:before="100" w:after="40"/>
      </w:pPr>
      <w:r>
        <w:t>4. Reference Security Architecture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AIRA uses layered enforcement. Gateway controls do not replace service controls; service controls do not replace data controls; AI guardrails do not replace OPA; and OPA decisions do not replace human accountability for high-impact actions.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Layer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Primary Controls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Mandatory Evidence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Identity Layer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Keycloak, corporate AD/IdP, MFA, group/role mapping, device posture where available.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User ID, realm, groups, MFA status, token issuer, login event, revocation event.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Gateway Layer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TLS, JWT validation, audience validation, rate limiting, WAF/API policies, trace_id injection.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Request ID, actor, tenant, route, decision, rate-limit result, security headers.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Service Layer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Spring Security, resource authorization, OPA client, MicroFunction envelope, method security.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Subject, action, resource, policy version, classification, decision, trace_id.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Data Layer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RLS, schema ownership, encryption, audit columns, least-privilege DB roles.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Tenant_id, actor_id, transaction_id, mutation history, migration version.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Secrets Layer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Vault dynamic secrets, leases, rotation, PKI, transit encryption, sealed secret workflow.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Secret path, lease ID, TTL, accessor, rotation event, revocation event.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Workload Layer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SPIFFE IDs, SVIDs, mTLS, service mesh/network policy, short-lived certificates.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SPIFFE ID, certificate serial, trust domain, workload attestation event.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AI Execution Layer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Harness, SBAC, OPA, trust scoring, NeMo Guardrails, LiteLLM routing.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Agent ID, skill, trust score, model alias, guardrail result, approval, action result.</w:t>
            </w:r>
          </w:p>
        </w:tc>
      </w:tr>
    </w:tbl>
    <w:p/>
    <w:p>
      <w:pPr>
        <w:pStyle w:val="Heading1"/>
        <w:keepNext/>
        <w:spacing w:before="100" w:after="40"/>
      </w:pPr>
      <w:r>
        <w:t>5. Enterprise Design Principles and SOLID Enforcement for Security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Security implementation must preserve the 20 Enterprise Design Principles. Security features are not exempt from SOLID or Clean Architecture; they must be modular, testable, observable, and reversible like any other production capability.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Principle Group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Security Enforcement Meaning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SOLID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Security services, authorization evaluators, secret adapters, token validators, and audit writers must have single responsibility, stable contracts, substitutable implementations, segregated interfaces, and dependency inversion.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Clean Architecture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Domain logic must not depend directly on Keycloak, Vault, OPA, Kafka, database drivers, or model providers. Security dependencies enter through ports/adapters.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DDD / Bounded Contexts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Business roles, permissions, data classification, and ownership are defined within bounded contexts; cross-context privilege expansion requires ADR or approved policy.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Ports and Adapters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Identity, policy, secrets, workload identity, audit, and notification integrations are adapters behind ports; provider-specific code does not leak into domain services.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DRY, KISS, YAGNI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No duplicated custom authorization logic, secret-loading logic, or error-mapping logic in each service. Use framework controls unless justified.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Idempotency / Determinism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Access grants, secret rotations, policy bundles, and remediation actions must be retry-safe and produce reproducible evidence.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Fail-Safe / Human-in-the-Loop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High-impact and low-confidence actions require human approval. Protected operations block when controls are unavailable.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Least Privilege / SBAC / Separation of Duties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Authority is scoped by role, context, skill, trust, and task; requester, approver, executor, and reviewer duties are separated.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Observability / Policy as Code / Testability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Security decisions are logged, metrics-ready, policy-tested, CI-gated, and verifiable through architecture fitness functions.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Secure by Design / Resilience / Reversibility / AVCI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Security is embedded in design, resilient to dependency failure, reversible through revocation and rollback where possible, and evidenced under AVCI.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CE4D6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203864"/>
                <w:sz w:val="17"/>
              </w:rPr>
              <w:t>Security SOLID Rule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Aptos"/>
                <w:sz w:val="14"/>
              </w:rPr>
              <w:t>No security feature may be accepted if it introduces hidden coupling, duplicated privilege logic, direct provider dependency in domain code, untestable policy behavior, unobservable access decisions, or irreversible privilege expansion.</w:t>
            </w:r>
          </w:p>
        </w:tc>
      </w:tr>
    </w:tbl>
    <w:p/>
    <w:p>
      <w:pPr>
        <w:pStyle w:val="Heading1"/>
        <w:keepNext/>
        <w:spacing w:before="100" w:after="40"/>
      </w:pPr>
      <w:r>
        <w:t>6. Identity and Authentication Standard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Control Area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Mandatory Rule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Evidence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Human Identity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Use named accounts federated through Keycloak and corporate AD/IdP. Shared accounts are prohibited except break-glass.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User lifecycle record, group mapping, MFA status, access approval.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MFA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MFA is mandatory for privileged roles, administrators, developers, repository access, CI/CD, cloud/AI workspaces, and security tools.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MFA enrollment report, exception register.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Session Control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Sessions use short-lived tokens, refresh policies, inactivity timeout, revocation support, and device/context checks where available.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Token policy, revocation evidence, session audit.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Application Authentication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OIDC/OAuth resource server pattern; validate issuer, audience, signature, expiry, and required claims.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Security tests, OPA decision evidence, API contract section.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Service Accounts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Service accounts are named, purpose-bound, owner-assigned, scoped, rotated, and reviewed quarterly.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Owner record, access review, last rotation, policy link.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AI Tool Accounts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ChatGPT, Codex, Claude Code, and other approved AI tooling use named seats only, with classification and workspace controls.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Seat assignment, onboarding acknowledgement, PR/MR AI declaration.</w:t>
            </w:r>
          </w:p>
        </w:tc>
      </w:tr>
    </w:tbl>
    <w:p/>
    <w:p>
      <w:pPr>
        <w:pStyle w:val="Heading1"/>
        <w:keepNext/>
        <w:spacing w:before="100" w:after="40"/>
      </w:pPr>
      <w:r>
        <w:t>7. Authorization Standard: RBAC, ABAC, SBAC, and OPA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AIRA uses layered authorization. RBAC grants coarse role membership, ABAC evaluates contextual attributes, SBAC gates skill-based actions for humans and agents, and OPA provides policy-as-code decisions. Application code must not embed scattered hardcoded authorization decisions.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Authorization Layer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Use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Reject Pattern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RBAC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Coarse human and service roles such as Developer, Approver, DBA, Security Admin, AI Agent Owner.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Role explosion, shared admin role, direct production role by default.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ABAC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Tenant, branch, classification, environment, data domain, time, device posture, risk score, and workflow status.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Authorization based only on UI hiding or frontend checks.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SBAC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Skill-gated actions for humans and AI agents: code review, remediation, security triage, data migration, model route change.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AI agent with unrestricted tool scope or unverified skill.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OPA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Central policy decisions for APIs, tools, CI gates, Kubernetes admission, Harness actions, secrets, and model routing.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Hardcoded if/else policy logic in business code.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Human Approval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Required for high-risk, Confidential/Restricted, destructive, production-impacting, or low-confidence actions.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Auto-approve production changes or self-approval.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package aira.authz</w:t>
              <w:br/>
              <w:br/>
              <w:t>default allow := false</w:t>
              <w:br/>
              <w:br/>
              <w:t>allow {</w:t>
              <w:br/>
              <w:t xml:space="preserve">  input.actor.status == "ACTIVE"</w:t>
              <w:br/>
              <w:t xml:space="preserve">  input.actor.mfa == true</w:t>
              <w:br/>
              <w:t xml:space="preserve">  input.action in input.actor.allowed_actions</w:t>
              <w:br/>
              <w:t xml:space="preserve">  input.resource.classification &lt;= input.actor.classification_ceiling</w:t>
              <w:br/>
              <w:t xml:space="preserve">  input.sbac.skill_status == "ACTIVE"</w:t>
              <w:br/>
              <w:t xml:space="preserve">  input.trust_score &gt;= input.required_trust</w:t>
              <w:br/>
              <w:t xml:space="preserve">  not input.guardrail.blocked</w:t>
              <w:br/>
              <w:t xml:space="preserve">  not input.break_glass_without_approval</w:t>
              <w:br/>
              <w:t>}</w:t>
            </w:r>
          </w:p>
        </w:tc>
      </w:tr>
    </w:tbl>
    <w:p/>
    <w:p>
      <w:pPr>
        <w:pStyle w:val="Heading1"/>
        <w:keepNext/>
        <w:spacing w:before="100" w:after="40"/>
      </w:pPr>
      <w:r>
        <w:t>8. Secrets, Keys, Certificates, and Vault Governance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Control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Standard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Evidence / Gate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Secrets Source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Vault or approved enterprise secrets manager is authoritative. Git, CI variables, prompts, and documentation are not secret stores.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Vault path ownership, lease record, rotation evidence.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Dynamic Secrets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Use leased/dynamic database and service credentials where supported. Static secrets require exception.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Lease TTL, revocation test, rotation schedule.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Secret Injection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Secrets are mounted or injected at runtime through approved mechanisms; never baked into images or committed to repositories.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Image scan, secret scan, deployment manifest review.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Encryption Keys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Keys are owner-assigned, versioned, rotated, access-controlled, and separated by environment and classification.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Key inventory, rotation record, access review.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PKI and Certificates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Short-lived internal certificates use Vault PKI, SPIFFE/SVID, step-ca, or enterprise CA. Manual cert sprawl is prohibited.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Certificate inventory, expiry alert, issuance audit.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Emergency Access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Emergency secret disclosure requires dual approval, time-boxed access, ticket, post-use rotation, and RCA.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Break-glass ticket, approvers, rotation proof.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4CCCC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90000"/>
                <w:sz w:val="17"/>
              </w:rPr>
              <w:t>No Secret Exposure Rule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Aptos"/>
                <w:sz w:val="14"/>
              </w:rPr>
              <w:t>Any secret detected in Git, prompt, log, trace, screenshot, test fixture, wiki page, or document is a security incident and must trigger revocation, rotation, evidence preservation, and post-incident improvement.</w:t>
            </w:r>
          </w:p>
        </w:tc>
      </w:tr>
    </w:tbl>
    <w:p/>
    <w:p>
      <w:pPr>
        <w:pStyle w:val="Heading1"/>
        <w:keepNext/>
        <w:spacing w:before="100" w:after="40"/>
      </w:pPr>
      <w:r>
        <w:t>9. Workload Identity, mTLS, and Service-to-Service Trust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Services must authenticate to each other using workload identity, not static shared secrets. SPIFFE IDs and SVIDs are the preferred pattern for service identity and mTLS trust.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Area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Mandatory Requirement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SPIFFE ID Naming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Each service receives a stable SPIFFE ID tied to environment, namespace, service name, and trust domain.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mTLS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Service-to-service communication must use mTLS where feasible. Plain internal HTTP is not acceptable for protected data paths.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Service Authorization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 valid certificate authenticates the workload; OPA/service policy still authorizes the action.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Certificate Rotation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Certificates are short-lived and rotated automatically. Expiry alerts must be observable.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Network Policy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Kubernetes network policies and ingress/egress rules restrict communication to approved paths.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Evidence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Workload attestation, certificate serial, policy decision, and trace_id are retained for audit.</w:t>
            </w:r>
          </w:p>
        </w:tc>
      </w:tr>
    </w:tbl>
    <w:p/>
    <w:p>
      <w:pPr>
        <w:pStyle w:val="Heading1"/>
        <w:keepNext/>
        <w:spacing w:before="100" w:after="40"/>
      </w:pPr>
      <w:r>
        <w:t>10. Classification, Data Handling, Logging, and Model Routing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Classification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Security Handling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AI / Model Routing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Public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Standard integrity checks, normal logging without secrets, approved public examples.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Approved cloud routes permitted if source and output are non-sensitive.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Internal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Authenticated access, normal enterprise retention, redacted logs.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Approved workspace/cloud route may be permitted subject to policy.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Confidential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Least privilege, masking/redaction, stronger audit, restricted retrieval, explicit sharing control.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Private or approved enterprise route only; no uncontrolled prompt upload.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Restricted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Strongest access control, no raw exposure in logs/prompts/tests, human approval for high-impact use.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On-prem/private model route required unless formal waiver is approved.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990000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Prohibited Data Handling Pattern</w:t>
            </w:r>
          </w:p>
        </w:tc>
        <w:tc>
          <w:tcPr>
            <w:tcW w:type="dxa" w:w="5371"/>
            <w:shd w:fill="990000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Reason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Raw PII or account data in logs, prompts, test fixtures, cache keys, traces, or screenshots.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Creates privacy, leakage, and uncontrolled retrieval risk.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Secrets in examples, documentation, or wiki articles.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Documentation can be indexed and retrieved by AI tools.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Classification omitted from API, event, data, prompt, or audit artifacts.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Routing, retention, logging, and access decisions cannot be enforced.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Direct model-provider call using provider SDK or hardcoded model name.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Bypasses LiteLLM, guardrails, routing, budgets, audit, and classification policy.</w:t>
            </w:r>
          </w:p>
        </w:tc>
      </w:tr>
    </w:tbl>
    <w:p/>
    <w:p>
      <w:pPr>
        <w:pStyle w:val="Heading1"/>
        <w:keepNext/>
        <w:spacing w:before="100" w:after="40"/>
      </w:pPr>
      <w:r>
        <w:t>11. Application, API, MicroFunction, and Database Security Patterns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Component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Mandatory Security Pattern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Gateway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JWT validation, request correlation, rate limiting, TLS, security headers, edge policy, safe error mapping.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API / Service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Method/resource authorization, OPA decision, input validation, output redaction, audit event, no secrets in logs.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MicroFunction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Security, classification, session, SBAC/OPA, idempotency, audit, and error handling are standard steps before business logic.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Database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Least-privilege DB roles, RLS where applicable, classification columns, audit fields, Flyway-only schema change.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Kafka/Eventing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Schema-managed events, classification metadata, trace_id, no PII unless approved, consumer idempotency.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Temporal/Flowable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Workflow identity, human approval records, task assignment controls, compensation and escalation evidence.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Frontend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No secrets, no authorization-only-in-UI, CSP/security headers, secure session handling, synthetic test data.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AI Orchestrator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LiteLLM-only model traffic, NeMo guardrails, retrieval ACL filtering, durable audit intent before high-impact response.</w:t>
            </w:r>
          </w:p>
        </w:tc>
      </w:tr>
    </w:tbl>
    <w:p/>
    <w:p>
      <w:pPr>
        <w:pStyle w:val="Heading1"/>
        <w:keepNext/>
        <w:spacing w:before="100" w:after="40"/>
      </w:pPr>
      <w:r>
        <w:t>12. AI Agent Execution Security and Harness Boundary</w:t>
      </w:r>
    </w:p>
    <w:p>
      <w:pPr>
        <w:spacing w:after="40" w:line="242" w:lineRule="auto"/>
      </w:pPr>
      <w:r>
        <w:rPr>
          <w:rFonts w:ascii="Aptos" w:hAnsi="Aptos" w:eastAsia="Aptos"/>
          <w:sz w:val="14"/>
        </w:rPr>
        <w:t>AI agent execution is a security-controlled workflow. An agent may reason and propose; it cannot directly execute Git, CI/CD, infrastructure, database, document store, model-routing, production API, or secrets actions.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Step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Required Control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1. Task Intake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Human/system request is classified, scoped, and trace-correlated.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2. Evidence Assembly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Agent retrieves only classification-eligible, approved, current sources.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3. Guardrail Evaluation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Input, Retrieval, Execution, and Output guardrails are applied as appropriate.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4. SBAC Check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Agent/human must hold active skill at required level with valid dependencies.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5. Trust Score Check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Trust score must meet action risk threshold and decay rules.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6. OPA Decision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Policy permits, denies, or requires human approval.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7. Harness Execution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Approved tool action is executed only through Harness using mediated credentials.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8. Evidence Capture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Action result, policy decision, approval, artifacts, and trace_id are written to audit.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9. Human Review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Production, destructive, Confidential/Restricted, or low-confidence changes require named human approval.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4CCCC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90000"/>
                <w:sz w:val="17"/>
              </w:rPr>
              <w:t>Explicitly Rejected AI Patterns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Aptos"/>
                <w:sz w:val="14"/>
              </w:rPr>
              <w:t>Direct agent credentials, provider SDK bypass, guardrail bypass flags, autonomous production execution, direct database edits, direct kubectl writes, unreviewed prompt/guardrail updates, and AI-approved access grants are rejected security patterns.</w:t>
            </w:r>
          </w:p>
        </w:tc>
      </w:tr>
    </w:tbl>
    <w:p/>
    <w:p>
      <w:pPr>
        <w:pStyle w:val="Heading1"/>
        <w:keepNext/>
        <w:spacing w:before="100" w:after="40"/>
      </w:pPr>
      <w:r>
        <w:t>13. DevSecOps Security Gates and Architecture Fitness Functions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1944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Gate / Fitness Function</w:t>
            </w:r>
          </w:p>
        </w:tc>
        <w:tc>
          <w:tcPr>
            <w:tcW w:type="dxa" w:w="4320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Purpose</w:t>
            </w:r>
          </w:p>
        </w:tc>
        <w:tc>
          <w:tcPr>
            <w:tcW w:type="dxa" w:w="3024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Minimum Evidence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Secret Scan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Detect secrets in code, tests, docs, configs, prompts, examples.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Gitleaks/TruffleHog report; zero unresolved findings.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SAST / Secure Code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Detect insecure coding patterns, injection, auth bypass, crypto misuse.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SonarQube/Semgrep report, reviewed exceptions.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SCA / Dependency Risk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Detect vulnerable/outdated dependencies and license risks.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Dependency scan, remediation or waiver.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Container/IaC Scan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Detect image, Kubernetes, Terraform, Helm, policy misconfigurations.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Trivy/Checkov/Conftest evidence.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OPA Policy Tests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Validate access, model routing, admission, and Harness decisions.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Policy unit tests and bundle version.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Architecture Boundary Test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Prevent domain code importing security provider adapters or provider SDKs directly.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ArchUnit/import-lint result.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SBAC/SoD Test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Verify high-risk actions require skill, trust, policy, and independent approval.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Component tests and approval workflow evidence.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Fail-Closed Test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Verify protected actions block when OPA, Vault, guardrails, LiteLLM, Harness, identity, or audit is unavailable.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Negative tests and chaos/fault-injection evidence.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Rollback / Revocation Test</w:t>
            </w:r>
          </w:p>
        </w:tc>
        <w:tc>
          <w:tcPr>
            <w:tcW w:type="dxa" w:w="4320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Verify access grants, secrets, policies, and certificates can be revoked or rolled forward safely.</w:t>
            </w:r>
          </w:p>
        </w:tc>
        <w:tc>
          <w:tcPr>
            <w:tcW w:type="dxa" w:w="3024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Revocation runbook and test result.</w:t>
            </w:r>
          </w:p>
        </w:tc>
      </w:tr>
    </w:tbl>
    <w:p/>
    <w:p>
      <w:pPr>
        <w:pStyle w:val="Heading1"/>
        <w:keepNext/>
        <w:spacing w:before="100" w:after="40"/>
      </w:pPr>
      <w:r>
        <w:t>14. Observability, Audit Evidence, Incident Response, and Break-Glass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Evidence Type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Required Fields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Access Decision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actor_id, subject_id, resource, action, decision, policy_version, classification, reason, trace_id, timestamp.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Secret Access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secret_path, accessor, lease_id, TTL, operation, approval_ref if privileged, trace_id, timestamp.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Agent Action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agent_id, human_requester, skill, trust_score, tool, action, guardrail_result, OPA decision, approval, result.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Break-Glass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requester, approvers, scope, reason, start/end time, actions performed, evidence, revocation, post-use review.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Incident Record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trigger, classification, affected asset, severity, timeline, containment, eradication, recovery, RCA, improvement actions.</w:t>
            </w:r>
          </w:p>
        </w:tc>
      </w:tr>
    </w:tbl>
    <w:p/>
    <w:p>
      <w:pPr>
        <w:spacing w:after="40" w:line="242" w:lineRule="auto"/>
      </w:pPr>
      <w:r>
        <w:rPr>
          <w:rFonts w:ascii="Aptos" w:hAnsi="Aptos" w:eastAsia="Aptos"/>
          <w:sz w:val="14"/>
        </w:rPr>
        <w:t>Break-glass access is exceptional, time-boxed, named, dual-approved, audited, and reviewed. It does not authorize uncontrolled production mutation, guardrail bypass, secret disclosure without rotation, or evidence suppression.</w:t>
      </w:r>
    </w:p>
    <w:p>
      <w:pPr>
        <w:pStyle w:val="Heading1"/>
        <w:keepNext/>
        <w:spacing w:before="100" w:after="40"/>
      </w:pPr>
      <w:r>
        <w:t>15. Auto-Heal, Auto-Learn, and Auto-Improve Security Governance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Capability</w:t>
            </w:r>
          </w:p>
        </w:tc>
        <w:tc>
          <w:tcPr>
            <w:tcW w:type="dxa" w:w="2685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Allowed</w:t>
            </w:r>
          </w:p>
        </w:tc>
        <w:tc>
          <w:tcPr>
            <w:tcW w:type="dxa" w:w="2685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Must Not Do</w:t>
            </w:r>
          </w:p>
        </w:tc>
        <w:tc>
          <w:tcPr>
            <w:tcW w:type="dxa" w:w="2685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Auto-Heal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Detect security control failure, quarantine risky action, draft remediation PR, rotate non-production secret, propose policy fix.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Silently reduce security, bypass OPA, change production privileges, expose secret, or self-approve.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Incident link, RCA, PR, tests, security scan, rollback/revocation plan, human approval.</w:t>
            </w:r>
          </w:p>
        </w:tc>
      </w:tr>
      <w:tr>
        <w:trPr>
          <w:cantSplit/>
        </w:trPr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Auto-Learn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Convert reviewed incidents, blocked attacks, and approved remediations into knowledge, tests, policies, and runbooks.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Promote unreviewed model output, stale advice, real PII, secrets, or conflicting guidance.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Source citation, reviewer, classification, regression test, LLM Wiki/Obsidian approval.</w:t>
            </w:r>
          </w:p>
        </w:tc>
      </w:tr>
      <w:tr>
        <w:trPr>
          <w:cantSplit/>
        </w:trPr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Auto-Improve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Propose least-privilege tightening, policy simplification, authentication hardening, observability improvement, or fitness function enhancement.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Remove controls for convenience, weaken SoD, reduce logging, relax classification routing, or add irreversible privilege.</w:t>
            </w:r>
          </w:p>
        </w:tc>
        <w:tc>
          <w:tcPr>
            <w:tcW w:type="dxa" w:w="2685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Impact analysis, principle assessment, test evidence, CAB/security approval.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EADCF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203864"/>
                <w:sz w:val="17"/>
              </w:rPr>
              <w:t>Security Improvement Constraint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Aptos"/>
                <w:sz w:val="14"/>
              </w:rPr>
              <w:t>Auto-Heal, Auto-Learn, and Auto-Improve must preserve or improve SOLID compliance, architecture boundaries, testability, security posture, observability, reversibility, and AVCI evidence. A change that fixes one issue by weakening another control is rejected.</w:t>
            </w:r>
          </w:p>
        </w:tc>
      </w:tr>
    </w:tbl>
    <w:p/>
    <w:p>
      <w:pPr>
        <w:pStyle w:val="Heading1"/>
        <w:keepNext/>
        <w:spacing w:before="100" w:after="40"/>
      </w:pPr>
      <w:r>
        <w:t>16. Roles, RACI, and Operating Procedures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3"/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blHeader w:val="true"/>
        </w:trPr>
        <w:tc>
          <w:tcPr>
            <w:tcW w:type="dxa" w:w="1343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Activity</w:t>
            </w:r>
          </w:p>
        </w:tc>
        <w:tc>
          <w:tcPr>
            <w:tcW w:type="dxa" w:w="1343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Solutions Architect</w:t>
            </w:r>
          </w:p>
        </w:tc>
        <w:tc>
          <w:tcPr>
            <w:tcW w:type="dxa" w:w="1343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Security Admin</w:t>
            </w:r>
          </w:p>
        </w:tc>
        <w:tc>
          <w:tcPr>
            <w:tcW w:type="dxa" w:w="1343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SysAdmin / DevOps</w:t>
            </w:r>
          </w:p>
        </w:tc>
        <w:tc>
          <w:tcPr>
            <w:tcW w:type="dxa" w:w="1343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Dev Lead</w:t>
            </w:r>
          </w:p>
        </w:tc>
        <w:tc>
          <w:tcPr>
            <w:tcW w:type="dxa" w:w="1343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DBA</w:t>
            </w:r>
          </w:p>
        </w:tc>
        <w:tc>
          <w:tcPr>
            <w:tcW w:type="dxa" w:w="1343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QA</w:t>
            </w:r>
          </w:p>
        </w:tc>
        <w:tc>
          <w:tcPr>
            <w:tcW w:type="dxa" w:w="1343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8"/>
              </w:rPr>
              <w:t>Internal Audit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Approve security architecture standard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R/C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Identity and role model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A/C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OPA/SBAC policy changes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A/C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Vault/secrets lifecycle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A/R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Workload identity and mTLS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A/C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Security testing gates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A/R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AI agent action governance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Break-glass approval and review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I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</w:tr>
      <w:tr>
        <w:trPr>
          <w:cantSplit/>
        </w:trPr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Audit evidence review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R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C</w:t>
            </w:r>
          </w:p>
        </w:tc>
        <w:tc>
          <w:tcPr>
            <w:tcW w:type="dxa" w:w="1343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8"/>
              </w:rPr>
              <w:t>A/C</w:t>
            </w:r>
          </w:p>
        </w:tc>
      </w:tr>
    </w:tbl>
    <w:p/>
    <w:p>
      <w:pPr>
        <w:pStyle w:val="Heading1"/>
        <w:keepNext/>
        <w:spacing w:before="100" w:after="40"/>
      </w:pPr>
      <w:r>
        <w:t>17. Implementation Roadmap and 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Phase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Focus</w:t>
            </w:r>
          </w:p>
        </w:tc>
        <w:tc>
          <w:tcPr>
            <w:tcW w:type="dxa" w:w="358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9"/>
              </w:rPr>
              <w:t>Exit Criteria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S0 - Security Baseline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Approve v2.0 standard, update CLAUDE.md, confirm identity/secrets/control owners.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Security standard approved; owner matrix complete; exceptions logged.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S1 - Identity and Policy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Keycloak/AD mapping, RBAC/ABAC/SBAC model, OPA baseline policies.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Policy tests pass; access request and review workflow active.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S2 - Secrets and Workload Trust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Vault paths, dynamic secrets, PKI, SPIFFE/SVID, mTLS, rotation.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No unresolved secrets in Git; rotation/revocation tests passed.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S3 - Pipeline Enforcement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Secret scan, SAST, SCA, IaC, OPA, architecture boundary, fail-closed tests.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CI blocks violations; evidence stored with MR.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S4 - AI Agent Security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Harness action vocabulary, SBAC/trust gates, model-routing classification, guardrail tests.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No direct agent credentials; tool actions mediated and audited.</w:t>
            </w:r>
          </w:p>
        </w:tc>
      </w:tr>
      <w:tr>
        <w:trPr>
          <w:cantSplit/>
        </w:trPr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S5 - Operational Readiness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Incident response, break-glass, audit dashboards, access reviews, drift detection.</w:t>
            </w:r>
          </w:p>
        </w:tc>
        <w:tc>
          <w:tcPr>
            <w:tcW w:type="dxa" w:w="358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9"/>
              </w:rPr>
              <w:t>Drill completed; evidence reviewed; remediation backlog created.</w:t>
            </w:r>
          </w:p>
        </w:tc>
      </w:tr>
    </w:tbl>
    <w:p/>
    <w:p>
      <w:pPr>
        <w:pStyle w:val="Heading1"/>
        <w:keepNext/>
        <w:spacing w:before="100" w:after="40"/>
      </w:pPr>
      <w:r>
        <w:t>18. AVCI Compliance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AVCI Property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Security Evidence Requirement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Attributable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Every identity, policy, secret, role, certificate, agent, control, exception, and access decision has owner, source, version, approver, timestamp, and trace_id.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Verifiable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Security controls are proven by tests, scans, policy evaluations, audit events, access reviews, rotation tests, DR drills, and incident evidence.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Classifiable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Users, services, secrets, resources, logs, prompts, model routes, data, and outputs carry classification and handling rules.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Improvable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Findings, incidents, access reviews, test failures, and production signals feed controlled remediation, knowledge updates, policy improvements, and architecture reviews.</w:t>
            </w:r>
          </w:p>
        </w:tc>
      </w:tr>
    </w:tbl>
    <w:p/>
    <w:p>
      <w:pPr>
        <w:pStyle w:val="Heading1"/>
        <w:keepNext/>
        <w:spacing w:before="100" w:after="40"/>
      </w:pPr>
      <w:r>
        <w:t>Appendix A. Access Request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Checklist Item</w:t>
            </w:r>
          </w:p>
        </w:tc>
        <w:tc>
          <w:tcPr>
            <w:tcW w:type="dxa" w:w="5371"/>
            <w:shd w:fill="1F4E79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0"/>
              </w:rPr>
              <w:t>Required Before Approval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Named owner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Requester, approver, resource owner, and expiry are identified.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Business purpose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Ticket, project, or operational reason is linked.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Scope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Role/action/resource/environment/classification are explicit.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Least privilege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Requested access is minimum viable authority.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Separation of duties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Requester is not self-approving high-risk authority.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Duration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  <w:shd w:fill="F4F6F7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Access is time-bounded with review or expiry.</w:t>
            </w:r>
          </w:p>
        </w:tc>
      </w:tr>
      <w:tr>
        <w:trPr>
          <w:cantSplit/>
        </w:trPr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Evidence</w:t>
            </w:r>
          </w:p>
        </w:tc>
        <w:tc>
          <w:tcPr>
            <w:tcW w:type="dxa" w:w="5371"/>
            <w:vAlign w:val="top"/>
            <w:tcMar>
              <w:top w:w="22" w:type="dxa"/>
              <w:start w:w="28" w:type="dxa"/>
              <w:bottom w:w="22" w:type="dxa"/>
              <w:end w:w="28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0"/>
              </w:rPr>
              <w:t>Approval, policy decision, and audit record are retained.</w:t>
            </w:r>
          </w:p>
        </w:tc>
      </w:tr>
    </w:tbl>
    <w:p/>
    <w:p>
      <w:pPr>
        <w:pStyle w:val="Heading1"/>
        <w:keepNext/>
        <w:spacing w:before="100" w:after="40"/>
      </w:pPr>
      <w:r>
        <w:t>Appendix B. OPA Policy Skeleton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# Required policy inputs</w:t>
              <w:br/>
              <w:t>input.actor.id</w:t>
              <w:br/>
              <w:t>input.actor.roles</w:t>
              <w:br/>
              <w:t>input.actor.skills</w:t>
              <w:br/>
              <w:t>input.actor.trust_score</w:t>
              <w:br/>
              <w:t>input.actor.mfa</w:t>
              <w:br/>
              <w:t>input.resource.id</w:t>
              <w:br/>
              <w:t>input.resource.classification</w:t>
              <w:br/>
              <w:t>input.action</w:t>
              <w:br/>
              <w:t>input.environment</w:t>
              <w:br/>
              <w:t>input.request.trace_id</w:t>
              <w:br/>
              <w:t>input.guardrail.result</w:t>
              <w:br/>
              <w:t>input.approval.status</w:t>
              <w:br/>
              <w:br/>
              <w:t># Required policy outputs</w:t>
              <w:br/>
              <w:t>allow: boolean</w:t>
              <w:br/>
              <w:t>reason: string</w:t>
              <w:br/>
              <w:t>risk_tier: string</w:t>
              <w:br/>
              <w:t>requires_human_approval: boolean</w:t>
              <w:br/>
              <w:t>evidence_fields: object</w:t>
            </w:r>
          </w:p>
        </w:tc>
      </w:tr>
    </w:tbl>
    <w:p/>
    <w:p>
      <w:pPr>
        <w:pStyle w:val="Heading1"/>
        <w:keepNext/>
        <w:spacing w:before="100" w:after="40"/>
      </w:pPr>
      <w:r>
        <w:t>Appendix C. Security PR/MR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Security / AVCI Compliance Summary</w:t>
              <w:br/>
              <w:t>- Security impact: None / Low / Medium / High / Critical</w:t>
              <w:br/>
              <w:t>- Identity impact: roles, claims, scopes, sessions, MFA, service account changes</w:t>
              <w:br/>
              <w:t>- Authorization impact: RBAC / ABAC / SBAC / OPA policy references</w:t>
              <w:br/>
              <w:t>- Secrets impact: Vault path, rotation evidence, secret scan result</w:t>
              <w:br/>
              <w:t>- Classification impact: Public / Internal / Confidential / Restricted</w:t>
              <w:br/>
              <w:t>- SOLID / architecture boundary impact: preserved / improved / exception requested</w:t>
              <w:br/>
              <w:t>- Test evidence: security tests, OPA tests, fail-closed tests, boundary tests</w:t>
              <w:br/>
              <w:t>- Observability evidence: audit event, metric, log redaction, trace_id propagation</w:t>
              <w:br/>
              <w:t>- Reversibility: rollback, revocation, rotation, forward-fix plan</w:t>
              <w:br/>
              <w:t>- Human approval: approver, ticket, risk acceptance if applicable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20" w:after="60"/>
      </w:pPr>
      <w:r>
        <w:t>Appendix D. Rendered Security Sequence Diagrams and Mermaid Reference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This appendix supplements the security standard with visual sequence diagrams and copy-ready Mermaid code. Software developers should use these diagrams as implementation references when building identity, authorization, secrets, workload identity, AI execution, model routing, break-glass, and security remediation 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FF2CC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203864"/>
                <w:sz w:val="17"/>
              </w:rPr>
              <w:t>Developer Usage Rule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Aptos"/>
                <w:sz w:val="14"/>
              </w:rPr>
              <w:t>The rendered diagram is the visual implementation reference. The Mermaid code is the copy-ready source for repository documentation, Obsidian notes, engineering walkthroughs, and future diagram regeneration. If the diagram and code ever differ, the Mermaid source must be corrected and regenerated through review.</w:t>
            </w:r>
          </w:p>
        </w:tc>
      </w:tr>
    </w:tbl>
    <w:p/>
    <w:p>
      <w:pPr>
        <w:pStyle w:val="Heading2"/>
        <w:keepNext/>
        <w:spacing w:before="80" w:after="60"/>
      </w:pPr>
      <w:r>
        <w:t>SEC-SEQ-01 - Human Login, Session, and API Access Flow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Purpose: Shows how a human user authenticates through Keycloak/AD, receives claims, accesses an AIRA API, and receives an OPA-authorized response with audit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6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-SEQ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i/>
          <w:color w:val="666666"/>
          <w:sz w:val="13"/>
        </w:rPr>
        <w:t>Figure 1. Human Login, Session, and API Access Flow</w:t>
      </w:r>
    </w:p>
    <w:p>
      <w:pPr>
        <w:pStyle w:val="Heading3"/>
        <w:keepNext/>
        <w:spacing w:before="80" w:after="60"/>
      </w:pPr>
      <w:r>
        <w:t>Copy-ready Mermaid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sequenceDiagram</w:t>
              <w:br/>
              <w:t xml:space="preserve">    autonumber</w:t>
              <w:br/>
              <w:t xml:space="preserve">    actor U as User</w:t>
              <w:br/>
              <w:t xml:space="preserve">    participant GW as Spring Cloud Gateway</w:t>
              <w:br/>
              <w:t xml:space="preserve">    participant KC as Keycloak / Active Directory</w:t>
              <w:br/>
              <w:t xml:space="preserve">    participant SVC as AIRA Service</w:t>
              <w:br/>
              <w:t xml:space="preserve">    participant OPA as OPA Policy Decision Point</w:t>
              <w:br/>
              <w:t xml:space="preserve">    participant AUD as Audit Evidence Store</w:t>
              <w:br/>
              <w:t xml:space="preserve">    U-&gt;&gt;GW: Submit login or API request</w:t>
              <w:br/>
              <w:t xml:space="preserve">    GW-&gt;&gt;KC: Validate OIDC session / MFA / token</w:t>
              <w:br/>
              <w:t xml:space="preserve">    KC--&gt;&gt;GW: Signed JWT + claims + groups</w:t>
              <w:br/>
              <w:t xml:space="preserve">    GW-&gt;&gt;SVC: Route request with trace_id, tenant_id, JWT</w:t>
              <w:br/>
              <w:t xml:space="preserve">    SVC-&gt;&gt;OPA: Evaluate subject, action, resource, classification</w:t>
              <w:br/>
              <w:t xml:space="preserve">    OPA--&gt;&gt;SVC: Allow / deny + policy_version</w:t>
              <w:br/>
              <w:t xml:space="preserve">    SVC-&gt;&gt;AUD: Write access decision evidence</w:t>
              <w:br/>
              <w:t xml:space="preserve">    SVC--&gt;&gt;U: Return success or safe denial response</w:t>
            </w:r>
          </w:p>
        </w:tc>
      </w:tr>
    </w:tbl>
    <w:p/>
    <w:p>
      <w:r>
        <w:br w:type="page"/>
      </w:r>
    </w:p>
    <w:p>
      <w:pPr>
        <w:pStyle w:val="Heading2"/>
        <w:keepNext/>
        <w:spacing w:before="80" w:after="60"/>
      </w:pPr>
      <w:r>
        <w:t>SEC-SEQ-02 - Service-to-Service Workload Identity and mTLS Flow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Purpose: Shows how service identity, SVID issuance, mTLS, OPA authorization, and audit work together for internal service calls.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6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-SEQ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i/>
          <w:color w:val="666666"/>
          <w:sz w:val="13"/>
        </w:rPr>
        <w:t>Figure 2. Service-to-Service Workload Identity and mTLS Flow</w:t>
      </w:r>
    </w:p>
    <w:p>
      <w:pPr>
        <w:pStyle w:val="Heading3"/>
        <w:keepNext/>
        <w:spacing w:before="80" w:after="60"/>
      </w:pPr>
      <w:r>
        <w:t>Copy-ready Mermaid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sequenceDiagram</w:t>
              <w:br/>
              <w:t xml:space="preserve">    autonumber</w:t>
              <w:br/>
              <w:t xml:space="preserve">    participant A as Service A</w:t>
              <w:br/>
              <w:t xml:space="preserve">    participant SPIFFE as SPIFFE / SVID Authority</w:t>
              <w:br/>
              <w:t xml:space="preserve">    participant MTLS as mTLS / Service Mesh</w:t>
              <w:br/>
              <w:t xml:space="preserve">    participant B as Service B</w:t>
              <w:br/>
              <w:t xml:space="preserve">    participant OPA as OPA</w:t>
              <w:br/>
              <w:t xml:space="preserve">    participant AUD as Audit</w:t>
              <w:br/>
              <w:t xml:space="preserve">    A-&gt;&gt;SPIFFE: Request or refresh short-lived SVID</w:t>
              <w:br/>
              <w:t xml:space="preserve">    SPIFFE--&gt;&gt;A: SVID + trust bundle</w:t>
              <w:br/>
              <w:t xml:space="preserve">    A-&gt;&gt;MTLS: Call Service B using mTLS</w:t>
              <w:br/>
              <w:t xml:space="preserve">    MTLS-&gt;&gt;B: Forward request after peer identity validation</w:t>
              <w:br/>
              <w:t xml:space="preserve">    B-&gt;&gt;OPA: Authorize service action and classification</w:t>
              <w:br/>
              <w:t xml:space="preserve">    OPA--&gt;&gt;B: Decision + policy version</w:t>
              <w:br/>
              <w:t xml:space="preserve">    B-&gt;&gt;AUD: Record SPIFFE ID, action, decision, trace_id</w:t>
              <w:br/>
              <w:t xml:space="preserve">    B--&gt;&gt;A: Return service response</w:t>
            </w:r>
          </w:p>
        </w:tc>
      </w:tr>
    </w:tbl>
    <w:p/>
    <w:p>
      <w:r>
        <w:br w:type="page"/>
      </w:r>
    </w:p>
    <w:p>
      <w:pPr>
        <w:pStyle w:val="Heading2"/>
        <w:keepNext/>
        <w:spacing w:before="80" w:after="60"/>
      </w:pPr>
      <w:r>
        <w:t>SEC-SEQ-03 - Vault Dynamic Secret Retrieval and Rotation Flow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Purpose: Shows how applications obtain leased credentials from Vault, use them safely, and how expiry/revocation is evidenced.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72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-SEQ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7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i/>
          <w:color w:val="666666"/>
          <w:sz w:val="13"/>
        </w:rPr>
        <w:t>Figure 3. Vault Dynamic Secret Retrieval and Rotation Flow</w:t>
      </w:r>
    </w:p>
    <w:p>
      <w:pPr>
        <w:pStyle w:val="Heading3"/>
        <w:keepNext/>
        <w:spacing w:before="80" w:after="60"/>
      </w:pPr>
      <w:r>
        <w:t>Copy-ready Mermaid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sequenceDiagram</w:t>
              <w:br/>
              <w:t xml:space="preserve">    autonumber</w:t>
              <w:br/>
              <w:t xml:space="preserve">    participant APP as Application</w:t>
              <w:br/>
              <w:t xml:space="preserve">    participant VAULT as Vault / Secrets Manager</w:t>
              <w:br/>
              <w:t xml:space="preserve">    participant OPA as OPA / Policy</w:t>
              <w:br/>
              <w:t xml:space="preserve">    participant DB as Database</w:t>
              <w:br/>
              <w:t xml:space="preserve">    participant AUD as Audit</w:t>
              <w:br/>
              <w:t xml:space="preserve">    participant SCH as Rotation Scheduler</w:t>
              <w:br/>
              <w:t xml:space="preserve">    APP-&gt;&gt;VAULT: Request leased DB credential using workload identity</w:t>
              <w:br/>
              <w:t xml:space="preserve">    VAULT-&gt;&gt;OPA: Validate secret path, actor, purpose, classification</w:t>
              <w:br/>
              <w:t xml:space="preserve">    OPA--&gt;&gt;VAULT: Permit or deny issuance</w:t>
              <w:br/>
              <w:t xml:space="preserve">    VAULT-&gt;&gt;DB: Create dynamic credential / lease</w:t>
              <w:br/>
              <w:t xml:space="preserve">    VAULT-&gt;&gt;AUD: Record lease issuance evidence</w:t>
              <w:br/>
              <w:t xml:space="preserve">    VAULT--&gt;&gt;APP: Return leased secret + TTL</w:t>
              <w:br/>
              <w:t xml:space="preserve">    APP-&gt;&gt;DB: Connect using leased credential</w:t>
              <w:br/>
              <w:t xml:space="preserve">    SCH-&gt;&gt;VAULT: Revoke expired lease or rotate credential</w:t>
              <w:br/>
              <w:t xml:space="preserve">    VAULT-&gt;&gt;AUD: Record revocation / rotation evidence</w:t>
            </w:r>
          </w:p>
        </w:tc>
      </w:tr>
    </w:tbl>
    <w:p/>
    <w:p>
      <w:r>
        <w:br w:type="page"/>
      </w:r>
    </w:p>
    <w:p>
      <w:pPr>
        <w:pStyle w:val="Heading2"/>
        <w:keepNext/>
        <w:spacing w:before="80" w:after="60"/>
      </w:pPr>
      <w:r>
        <w:t>SEC-SEQ-04 - RBAC, ABAC, SBAC, OPA, and Human Approval Flow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Purpose: Shows layered authorization for high-risk actions where role, context, skill, trust, policy, and approval all matter.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59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-SEQ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9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i/>
          <w:color w:val="666666"/>
          <w:sz w:val="13"/>
        </w:rPr>
        <w:t>Figure 4. RBAC, ABAC, SBAC, OPA, and Human Approval Flow</w:t>
      </w:r>
    </w:p>
    <w:p>
      <w:pPr>
        <w:pStyle w:val="Heading3"/>
        <w:keepNext/>
        <w:spacing w:before="80" w:after="60"/>
      </w:pPr>
      <w:r>
        <w:t>Copy-ready Mermaid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sequenceDiagram</w:t>
              <w:br/>
              <w:t xml:space="preserve">    autonumber</w:t>
              <w:br/>
              <w:t xml:space="preserve">    actor ACT as Actor</w:t>
              <w:br/>
              <w:t xml:space="preserve">    participant GW as Gateway</w:t>
              <w:br/>
              <w:t xml:space="preserve">    participant SVC as AIRA Service</w:t>
              <w:br/>
              <w:t xml:space="preserve">    participant SBAC as SBAC / Trust Score</w:t>
              <w:br/>
              <w:t xml:space="preserve">    participant OPA as OPA</w:t>
              <w:br/>
              <w:t xml:space="preserve">    participant BPM as Flowable Approval</w:t>
              <w:br/>
              <w:t xml:space="preserve">    participant AUD as Audit</w:t>
              <w:br/>
              <w:t xml:space="preserve">    ACT-&gt;&gt;GW: Request high-risk or privileged action</w:t>
              <w:br/>
              <w:t xml:space="preserve">    GW-&gt;&gt;SVC: Forward claims, tenant, classification, trace_id</w:t>
              <w:br/>
              <w:t xml:space="preserve">    SVC-&gt;&gt;SBAC: Verify active skill and trust threshold</w:t>
              <w:br/>
              <w:t xml:space="preserve">    SBAC-&gt;&gt;OPA: Send role, attributes, skill, trust, resource context</w:t>
              <w:br/>
              <w:t xml:space="preserve">    OPA-&gt;&gt;BPM: Require human approval where risk demands it</w:t>
              <w:br/>
              <w:t xml:space="preserve">    BPM--&gt;&gt;OPA: Approval / rejection evidence</w:t>
              <w:br/>
              <w:t xml:space="preserve">    OPA--&gt;&gt;SVC: Permit / deny / escalate decision</w:t>
              <w:br/>
              <w:t xml:space="preserve">    SVC-&gt;&gt;AUD: Write full decision evidence</w:t>
              <w:br/>
              <w:t xml:space="preserve">    SVC--&gt;&gt;ACT: Return permitted result or safe denial</w:t>
            </w:r>
          </w:p>
        </w:tc>
      </w:tr>
    </w:tbl>
    <w:p/>
    <w:p>
      <w:r>
        <w:br w:type="page"/>
      </w:r>
    </w:p>
    <w:p>
      <w:pPr>
        <w:pStyle w:val="Heading2"/>
        <w:keepNext/>
        <w:spacing w:before="80" w:after="60"/>
      </w:pPr>
      <w:r>
        <w:t>SEC-SEQ-05 - AI Agent Tool Action Through Harness Flow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Purpose: Shows that Hermes or another agent may reason, but all tool execution is mediated by Guardrails, Harness, SBAC, OPA, and audit.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02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-SEQ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i/>
          <w:color w:val="666666"/>
          <w:sz w:val="13"/>
        </w:rPr>
        <w:t>Figure 5. AI Agent Tool Action Through Harness Flow</w:t>
      </w:r>
    </w:p>
    <w:p>
      <w:pPr>
        <w:pStyle w:val="Heading3"/>
        <w:keepNext/>
        <w:spacing w:before="80" w:after="60"/>
      </w:pPr>
      <w:r>
        <w:t>Copy-ready Mermaid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sequenceDiagram</w:t>
              <w:br/>
              <w:t xml:space="preserve">    autonumber</w:t>
              <w:br/>
              <w:t xml:space="preserve">    actor H as Human</w:t>
              <w:br/>
              <w:t xml:space="preserve">    participant AGT as Hermes Agent</w:t>
              <w:br/>
              <w:t xml:space="preserve">    participant GRD as NeMo Guardrails</w:t>
              <w:br/>
              <w:t xml:space="preserve">    participant HAR as Harness Control Plane</w:t>
              <w:br/>
              <w:t xml:space="preserve">    participant SBAC as SBAC / Trust</w:t>
              <w:br/>
              <w:t xml:space="preserve">    participant OPA as OPA</w:t>
              <w:br/>
              <w:t xml:space="preserve">    participant TOOL as Approved Tool / API</w:t>
              <w:br/>
              <w:t xml:space="preserve">    participant AUD as Audit</w:t>
              <w:br/>
              <w:t xml:space="preserve">    H-&gt;&gt;AGT: Assign bounded task with classification and intent</w:t>
              <w:br/>
              <w:t xml:space="preserve">    AGT-&gt;&gt;GRD: Validate input, retrieval, execution, output constraints</w:t>
              <w:br/>
              <w:t xml:space="preserve">    AGT-&gt;&gt;HAR: Propose tool action with evidence and risk</w:t>
              <w:br/>
              <w:t xml:space="preserve">    HAR-&gt;&gt;SBAC: Check active skill, trust, scope</w:t>
              <w:br/>
              <w:t xml:space="preserve">    HAR-&gt;&gt;OPA: Request policy decision</w:t>
              <w:br/>
              <w:t xml:space="preserve">    OPA--&gt;&gt;HAR: Permit / deny / require approval</w:t>
              <w:br/>
              <w:t xml:space="preserve">    HAR-&gt;&gt;TOOL: Execute approved action using mediated credential</w:t>
              <w:br/>
              <w:t xml:space="preserve">    TOOL--&gt;&gt;HAR: Return result</w:t>
              <w:br/>
              <w:t xml:space="preserve">    HAR-&gt;&gt;AUD: Write action, policy, approval, result evidence</w:t>
              <w:br/>
              <w:t xml:space="preserve">    AGT--&gt;&gt;H: Explain result and evidence references</w:t>
            </w:r>
          </w:p>
        </w:tc>
      </w:tr>
    </w:tbl>
    <w:p/>
    <w:p>
      <w:r>
        <w:br w:type="page"/>
      </w:r>
    </w:p>
    <w:p>
      <w:pPr>
        <w:pStyle w:val="Heading2"/>
        <w:keepNext/>
        <w:spacing w:before="80" w:after="60"/>
      </w:pPr>
      <w:r>
        <w:t>SEC-SEQ-06 - Classification-Aware Retrieval and Model Routing Flow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Purpose: Shows how data classification controls retrieval eligibility, guardrails, LiteLLM route selection, and final response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0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-SEQ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i/>
          <w:color w:val="666666"/>
          <w:sz w:val="13"/>
        </w:rPr>
        <w:t>Figure 6. Classification-Aware Retrieval and Model Routing Flow</w:t>
      </w:r>
    </w:p>
    <w:p>
      <w:pPr>
        <w:pStyle w:val="Heading3"/>
        <w:keepNext/>
        <w:spacing w:before="80" w:after="60"/>
      </w:pPr>
      <w:r>
        <w:t>Copy-ready Mermaid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sequenceDiagram</w:t>
              <w:br/>
              <w:t xml:space="preserve">    autonumber</w:t>
              <w:br/>
              <w:t xml:space="preserve">    actor U as User / Service</w:t>
              <w:br/>
              <w:t xml:space="preserve">    participant RET as Retrieval Service</w:t>
              <w:br/>
              <w:t xml:space="preserve">    participant CLS as Classification Gate</w:t>
              <w:br/>
              <w:t xml:space="preserve">    participant GRD as NeMo Guardrails</w:t>
              <w:br/>
              <w:t xml:space="preserve">    participant LLM as LiteLLM Gateway</w:t>
              <w:br/>
              <w:t xml:space="preserve">    participant PRIV as Private / On-Prem Model</w:t>
              <w:br/>
              <w:t xml:space="preserve">    participant CLOUD as Approved Cloud Model</w:t>
              <w:br/>
              <w:t xml:space="preserve">    participant AUD as Audit</w:t>
              <w:br/>
              <w:t xml:space="preserve">    U-&gt;&gt;RET: Submit query or AI request</w:t>
              <w:br/>
              <w:t xml:space="preserve">    RET-&gt;&gt;CLS: Assemble evidence pack and determine classification</w:t>
              <w:br/>
              <w:t xml:space="preserve">    CLS-&gt;&gt;GRD: Apply routing, prompt eligibility, and redaction rules</w:t>
              <w:br/>
              <w:t xml:space="preserve">    GRD-&gt;&gt;LLM: Approved prompt after input/retrieval rails</w:t>
              <w:br/>
              <w:t xml:space="preserve">    LLM-&gt;&gt;PRIV: Restricted/Confidential route when required</w:t>
              <w:br/>
              <w:t xml:space="preserve">    LLM-&gt;&gt;CLOUD: Public/Internal route when permitted</w:t>
              <w:br/>
              <w:t xml:space="preserve">    PRIV--&gt;&gt;LLM: Model response</w:t>
              <w:br/>
              <w:t xml:space="preserve">    CLOUD--&gt;&gt;LLM: Model response</w:t>
              <w:br/>
              <w:t xml:space="preserve">    LLM--&gt;&gt;GRD: Response for output rail validation</w:t>
              <w:br/>
              <w:t xml:space="preserve">    GRD-&gt;&gt;AUD: Write model alias, route, guardrail, evidence, trace_id</w:t>
              <w:br/>
              <w:t xml:space="preserve">    GRD--&gt;&gt;U: Return grounded, cited response</w:t>
            </w:r>
          </w:p>
        </w:tc>
      </w:tr>
    </w:tbl>
    <w:p/>
    <w:p>
      <w:r>
        <w:br w:type="page"/>
      </w:r>
    </w:p>
    <w:p>
      <w:pPr>
        <w:pStyle w:val="Heading2"/>
        <w:keepNext/>
        <w:spacing w:before="80" w:after="60"/>
      </w:pPr>
      <w:r>
        <w:t>SEC-SEQ-07 - Break-Glass Access Flow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Purpose: Shows controlled emergency access with dual approval, time-boxed privilege, audit capture, revocation, rotation, and post-use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90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-SEQ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i/>
          <w:color w:val="666666"/>
          <w:sz w:val="13"/>
        </w:rPr>
        <w:t>Figure 7. Break-Glass Access Flow</w:t>
      </w:r>
    </w:p>
    <w:p>
      <w:pPr>
        <w:pStyle w:val="Heading3"/>
        <w:keepNext/>
        <w:spacing w:before="80" w:after="60"/>
      </w:pPr>
      <w:r>
        <w:t>Copy-ready Mermaid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sequenceDiagram</w:t>
              <w:br/>
              <w:t xml:space="preserve">    autonumber</w:t>
              <w:br/>
              <w:t xml:space="preserve">    actor REQ as Requester</w:t>
              <w:br/>
              <w:t xml:space="preserve">    participant BPM as Flowable Approval</w:t>
              <w:br/>
              <w:t xml:space="preserve">    participant SEC as Security Admin</w:t>
              <w:br/>
              <w:t xml:space="preserve">    participant IDSEC as Vault / Keycloak</w:t>
              <w:br/>
              <w:t xml:space="preserve">    participant SYS as Target System</w:t>
              <w:br/>
              <w:t xml:space="preserve">    participant AUD as Audit</w:t>
              <w:br/>
              <w:t xml:space="preserve">    participant PIR as Post-Use Review</w:t>
              <w:br/>
              <w:t xml:space="preserve">    REQ-&gt;&gt;BPM: Submit emergency access request with scope and reason</w:t>
              <w:br/>
              <w:t xml:space="preserve">    BPM-&gt;&gt;SEC: Request dual approval and risk acceptance</w:t>
              <w:br/>
              <w:t xml:space="preserve">    SEC-&gt;&gt;IDSEC: Issue time-boxed role or secret</w:t>
              <w:br/>
              <w:t xml:space="preserve">    IDSEC--&gt;&gt;REQ: Return temporary access with expiry</w:t>
              <w:br/>
              <w:t xml:space="preserve">    REQ-&gt;&gt;SYS: Perform approved emergency action</w:t>
              <w:br/>
              <w:t xml:space="preserve">    SYS-&gt;&gt;AUD: Stream action log and trace evidence</w:t>
              <w:br/>
              <w:t xml:space="preserve">    IDSEC-&gt;&gt;AUD: Revoke access and rotate secrets/certificates</w:t>
              <w:br/>
              <w:t xml:space="preserve">    PIR-&gt;&gt;AUD: Record post-use review, RCA, improvement actions</w:t>
            </w:r>
          </w:p>
        </w:tc>
      </w:tr>
    </w:tbl>
    <w:p/>
    <w:p>
      <w:r>
        <w:br w:type="page"/>
      </w:r>
    </w:p>
    <w:p>
      <w:pPr>
        <w:pStyle w:val="Heading2"/>
        <w:keepNext/>
        <w:spacing w:before="80" w:after="60"/>
      </w:pPr>
      <w:r>
        <w:t>SEC-SEQ-08 - Auto-Heal Security Remediation Flow</w:t>
      </w:r>
    </w:p>
    <w:p>
      <w:pPr>
        <w:spacing w:after="40" w:line="240" w:lineRule="auto"/>
      </w:pPr>
      <w:r>
        <w:rPr>
          <w:rFonts w:ascii="Aptos" w:hAnsi="Aptos" w:eastAsia="Aptos"/>
          <w:sz w:val="14"/>
        </w:rPr>
        <w:t>Purpose: Shows how a security signal becomes a governed remediation proposal, not an autonomous production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636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-SEQ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i/>
          <w:color w:val="666666"/>
          <w:sz w:val="13"/>
        </w:rPr>
        <w:t>Figure 8. Auto-Heal Security Remediation Flow</w:t>
      </w:r>
    </w:p>
    <w:p>
      <w:pPr>
        <w:pStyle w:val="Heading3"/>
        <w:keepNext/>
        <w:spacing w:before="80" w:after="60"/>
      </w:pPr>
      <w:r>
        <w:t>Copy-ready Mermaid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9FA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rFonts w:ascii="Consolas" w:hAnsi="Consolas" w:eastAsia="Consolas"/>
                <w:b w:val="0"/>
                <w:color w:val="333333"/>
                <w:sz w:val="10"/>
              </w:rPr>
              <w:t>sequenceDiagram</w:t>
              <w:br/>
              <w:t xml:space="preserve">    autonumber</w:t>
              <w:br/>
              <w:t xml:space="preserve">    participant TEL as Telemetry / SIEM</w:t>
              <w:br/>
              <w:t xml:space="preserve">    participant AGT as Auto-Heal Agent</w:t>
              <w:br/>
              <w:t xml:space="preserve">    participant KNOW as Knowledge / Evidence</w:t>
              <w:br/>
              <w:t xml:space="preserve">    participant HAR as Harness</w:t>
              <w:br/>
              <w:t xml:space="preserve">    participant OPA as OPA / SBAC</w:t>
              <w:br/>
              <w:t xml:space="preserve">    participant GIT as Git + CI</w:t>
              <w:br/>
              <w:t xml:space="preserve">    participant HUM as Human Reviewer</w:t>
              <w:br/>
              <w:t xml:space="preserve">    participant AUD as Audit / LLM Wiki Candidate</w:t>
              <w:br/>
              <w:t xml:space="preserve">    TEL-&gt;&gt;AGT: Emit security alert or control failure</w:t>
              <w:br/>
              <w:t xml:space="preserve">    AGT-&gt;&gt;KNOW: Retrieve runbook, policy, code, tests, prior incidents</w:t>
              <w:br/>
              <w:t xml:space="preserve">    AGT-&gt;&gt;HAR: Propose bounded remediation action</w:t>
              <w:br/>
              <w:t xml:space="preserve">    HAR-&gt;&gt;OPA: Evaluate skill, trust, classification, policy</w:t>
              <w:br/>
              <w:t xml:space="preserve">    OPA--&gt;&gt;HAR: Permit PR creation only; block production mutation</w:t>
              <w:br/>
              <w:t xml:space="preserve">    HAR-&gt;&gt;GIT: Create branch/PR and run security + fitness tests</w:t>
              <w:br/>
              <w:t xml:space="preserve">    GIT-&gt;&gt;HUM: Send evidence pack for human review</w:t>
              <w:br/>
              <w:t xml:space="preserve">    HUM--&gt;&gt;GIT: Approve, reject, or request changes</w:t>
              <w:br/>
              <w:t xml:space="preserve">    GIT-&gt;&gt;AUD: Store outcome, RCA, lessons for reviewed knowledge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49" w:right="749" w:bottom="749" w:left="749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b w:val="0"/>
        <w:color w:val="666666"/>
        <w:sz w:val="14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 w:eastAsia="Aptos"/>
        <w:b/>
        <w:color w:val="666666"/>
        <w:sz w:val="13"/>
      </w:rPr>
      <w:t>AIRA Security, Identity, Secrets, and Access Control Standard v2.0 | INTERNAL CONFIDENTIAL | SOLID/AVCI-Governed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386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1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