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6"/>
        </w:rPr>
        <w:t>AIRA</w:t>
      </w:r>
    </w:p>
    <w:p>
      <w:pPr>
        <w:jc w:val="center"/>
      </w:pPr>
      <w:r>
        <w:rPr>
          <w:rFonts w:ascii="Aptos Display" w:hAnsi="Aptos Display"/>
          <w:color w:val="5B5B5B"/>
          <w:sz w:val="28"/>
        </w:rPr>
        <w:t>AI-Native Enterprise Platform</w:t>
      </w:r>
    </w:p>
    <w:tbl>
      <w:tblPr>
        <w:tblW w:type="auto" w:w="0"/>
        <w:jc w:val="center"/>
        <w:tblLook w:firstColumn="1" w:firstRow="1" w:lastColumn="0" w:lastRow="0" w:noHBand="0" w:noVBand="1" w:val="04A0"/>
        <w:tblBorders>
          <w:top w:val="single" w:sz="0" w:space="0" w:color="1F4E79"/>
          <w:left w:val="single" w:sz="0" w:space="0" w:color="1F4E79"/>
          <w:bottom w:val="single" w:sz="0" w:space="0" w:color="1F4E79"/>
          <w:right w:val="single" w:sz="0" w:space="0" w:color="1F4E79"/>
          <w:insideH w:val="single" w:sz="0" w:space="0" w:color="1F4E79"/>
          <w:insideV w:val="single" w:sz="0" w:space="0" w:color="1F4E79"/>
        </w:tblBorders>
      </w:tblPr>
      <w:tblGrid>
        <w:gridCol w:w="10325"/>
      </w:tblGrid>
      <w:tr>
        <w:tc>
          <w:tcPr>
            <w:tcW w:type="dxa" w:w="10325"/>
            <w:shd w:fill="1F4E79"/>
          </w:tcPr>
          <w:p/>
        </w:tc>
      </w:tr>
    </w:tbl>
    <w:p/>
    <w:p>
      <w:pPr>
        <w:jc w:val="center"/>
      </w:pPr>
      <w:r>
        <w:rPr>
          <w:rFonts w:ascii="Aptos Display" w:hAnsi="Aptos Display"/>
          <w:b/>
          <w:color w:val="1F4E79"/>
          <w:sz w:val="40"/>
        </w:rPr>
        <w:t>Architecture Decision Record</w:t>
      </w:r>
    </w:p>
    <w:p>
      <w:pPr>
        <w:jc w:val="center"/>
      </w:pPr>
      <w:r>
        <w:rPr>
          <w:rFonts w:ascii="Aptos" w:hAnsi="Aptos"/>
          <w:b/>
          <w:color w:val="202020"/>
          <w:sz w:val="26"/>
        </w:rPr>
        <w:t>ADR-AIRA-2026-001</w:t>
      </w:r>
    </w:p>
    <w:p>
      <w:pPr>
        <w:jc w:val="center"/>
      </w:pPr>
      <w:r>
        <w:rPr>
          <w:rFonts w:ascii="Aptos Display" w:hAnsi="Aptos Display"/>
          <w:b/>
          <w:color w:val="1F4E79"/>
          <w:sz w:val="36"/>
        </w:rPr>
        <w:t>Adoption of Enterprise Design Principles and SOLID Enforcement Layer</w:t>
      </w:r>
    </w:p>
    <w:p>
      <w:pPr>
        <w:jc w:val="center"/>
      </w:pPr>
      <w:r>
        <w:rPr>
          <w:rFonts w:ascii="Aptos" w:hAnsi="Aptos"/>
          <w:color w:val="5B5B5B"/>
          <w:sz w:val="22"/>
        </w:rPr>
        <w:t>Version 1.0 | April 27, 2026 | For Architecture Review Board Approval</w:t>
      </w:r>
    </w:p>
    <w:tbl>
      <w:tblPr>
        <w:tblW w:type="auto" w:w="0"/>
        <w:jc w:val="center"/>
        <w:tblLook w:firstColumn="1" w:firstRow="1" w:lastColumn="0" w:lastRow="0" w:noHBand="0" w:noVBand="1" w:val="04A0"/>
        <w:tblBorders>
          <w:top w:val="single" w:sz="8" w:space="0" w:color="9EADCC"/>
          <w:left w:val="single" w:sz="8" w:space="0" w:color="9EADCC"/>
          <w:bottom w:val="single" w:sz="8" w:space="0" w:color="9EADCC"/>
          <w:right w:val="single" w:sz="8" w:space="0" w:color="9EADCC"/>
          <w:insideH w:val="single" w:sz="8" w:space="0" w:color="9EADCC"/>
          <w:insideV w:val="single" w:sz="8" w:space="0" w:color="9EADCC"/>
        </w:tblBorders>
      </w:tblPr>
      <w:tblGrid>
        <w:gridCol w:w="10325"/>
      </w:tblGrid>
      <w:tr>
        <w:tc>
          <w:tcPr>
            <w:tcW w:type="dxa" w:w="10325"/>
            <w:shd w:fill="EAF3F8"/>
          </w:tcPr>
          <w:p>
            <w:pPr>
              <w:jc w:val="center"/>
            </w:pPr>
            <w:r/>
            <w:r>
              <w:rPr>
                <w:rFonts w:ascii="Aptos" w:hAnsi="Aptos"/>
                <w:b/>
                <w:color w:val="1F4E79"/>
                <w:sz w:val="22"/>
              </w:rPr>
              <w:t>Mandatory Decision Statement</w:t>
              <w:br/>
            </w:r>
            <w:r>
              <w:rPr>
                <w:rFonts w:ascii="Aptos" w:hAnsi="Aptos"/>
                <w:color w:val="202020"/>
                <w:sz w:val="19"/>
              </w:rPr>
              <w:t>AIRA adopts the Enterprise Design Principles and SOLID Enforcement Layer as a mandatory cross-cutting architecture, engineering, testing, security, AI-governance, and evidence-control baseline. Auto-Heal, Auto-Learn, and Auto-Improve must preserve or improve architecture boundaries, SOLID compliance, testability, security posture, observability, reversibility, and AVCI evidence.</w:t>
            </w:r>
          </w:p>
        </w:tc>
      </w:tr>
    </w:tbl>
    <w:p/>
    <w:p>
      <w:pPr>
        <w:pStyle w:val="Heading1"/>
      </w:pPr>
      <w:r>
        <w:rPr>
          <w:rFonts w:ascii="Aptos Display" w:hAnsi="Aptos Display"/>
          <w:color w:val="1F4E79"/>
        </w:rPr>
        <w:t>Document Control</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62"/>
        <w:gridCol w:w="5162"/>
      </w:tblGrid>
      <w:tr>
        <w:tc>
          <w:tcPr>
            <w:tcW w:type="dxa" w:w="2880"/>
            <w:shd w:fill="1F4E79"/>
            <w:vAlign w:val="top"/>
          </w:tcPr>
          <w:p>
            <w:pPr>
              <w:jc w:val="center"/>
            </w:pPr>
            <w:r/>
            <w:r>
              <w:rPr>
                <w:rFonts w:ascii="Aptos" w:hAnsi="Aptos"/>
                <w:b/>
                <w:color w:val="FFFFFF"/>
                <w:sz w:val="16"/>
              </w:rPr>
              <w:t>Property</w:t>
            </w:r>
          </w:p>
        </w:tc>
        <w:tc>
          <w:tcPr>
            <w:tcW w:type="dxa" w:w="7488"/>
            <w:shd w:fill="1F4E79"/>
            <w:vAlign w:val="top"/>
          </w:tcPr>
          <w:p>
            <w:pPr>
              <w:jc w:val="center"/>
            </w:pPr>
            <w:r/>
            <w:r>
              <w:rPr>
                <w:rFonts w:ascii="Aptos" w:hAnsi="Aptos"/>
                <w:b/>
                <w:color w:val="FFFFFF"/>
                <w:sz w:val="16"/>
              </w:rPr>
              <w:t>Value</w:t>
            </w:r>
          </w:p>
        </w:tc>
      </w:tr>
      <w:tr>
        <w:tc>
          <w:tcPr>
            <w:tcW w:type="dxa" w:w="2880"/>
            <w:vAlign w:val="top"/>
          </w:tcPr>
          <w:p>
            <w:r/>
            <w:r>
              <w:rPr>
                <w:rFonts w:ascii="Aptos" w:hAnsi="Aptos"/>
                <w:b w:val="0"/>
                <w:sz w:val="16"/>
              </w:rPr>
              <w:t>Document Title</w:t>
            </w:r>
          </w:p>
        </w:tc>
        <w:tc>
          <w:tcPr>
            <w:tcW w:type="dxa" w:w="7488"/>
            <w:vAlign w:val="top"/>
          </w:tcPr>
          <w:p>
            <w:r/>
            <w:r>
              <w:rPr>
                <w:rFonts w:ascii="Aptos" w:hAnsi="Aptos"/>
                <w:b w:val="0"/>
                <w:sz w:val="16"/>
              </w:rPr>
              <w:t>Architecture Decision Record - Adoption of Enterprise Design Principles and SOLID Enforcement Layer</w:t>
            </w:r>
          </w:p>
        </w:tc>
      </w:tr>
      <w:tr>
        <w:tc>
          <w:tcPr>
            <w:tcW w:type="dxa" w:w="2880"/>
            <w:shd w:fill="F7FBFF"/>
            <w:vAlign w:val="top"/>
          </w:tcPr>
          <w:p>
            <w:r/>
            <w:r>
              <w:rPr>
                <w:rFonts w:ascii="Aptos" w:hAnsi="Aptos"/>
                <w:b w:val="0"/>
                <w:sz w:val="16"/>
              </w:rPr>
              <w:t>Document ID</w:t>
            </w:r>
          </w:p>
        </w:tc>
        <w:tc>
          <w:tcPr>
            <w:tcW w:type="dxa" w:w="7488"/>
            <w:shd w:fill="F7FBFF"/>
            <w:vAlign w:val="top"/>
          </w:tcPr>
          <w:p>
            <w:r/>
            <w:r>
              <w:rPr>
                <w:rFonts w:ascii="Aptos" w:hAnsi="Aptos"/>
                <w:b w:val="0"/>
                <w:sz w:val="16"/>
              </w:rPr>
              <w:t>ADR-AIRA-2026-001</w:t>
            </w:r>
          </w:p>
        </w:tc>
      </w:tr>
      <w:tr>
        <w:tc>
          <w:tcPr>
            <w:tcW w:type="dxa" w:w="2880"/>
            <w:vAlign w:val="top"/>
          </w:tcPr>
          <w:p>
            <w:r/>
            <w:r>
              <w:rPr>
                <w:rFonts w:ascii="Aptos" w:hAnsi="Aptos"/>
                <w:b w:val="0"/>
                <w:sz w:val="16"/>
              </w:rPr>
              <w:t>Version</w:t>
            </w:r>
          </w:p>
        </w:tc>
        <w:tc>
          <w:tcPr>
            <w:tcW w:type="dxa" w:w="7488"/>
            <w:vAlign w:val="top"/>
          </w:tcPr>
          <w:p>
            <w:r/>
            <w:r>
              <w:rPr>
                <w:rFonts w:ascii="Aptos" w:hAnsi="Aptos"/>
                <w:b w:val="0"/>
                <w:sz w:val="16"/>
              </w:rPr>
              <w:t>v1.0 - Initial Decision Record</w:t>
            </w:r>
          </w:p>
        </w:tc>
      </w:tr>
      <w:tr>
        <w:tc>
          <w:tcPr>
            <w:tcW w:type="dxa" w:w="2880"/>
            <w:shd w:fill="F7FBFF"/>
            <w:vAlign w:val="top"/>
          </w:tcPr>
          <w:p>
            <w:r/>
            <w:r>
              <w:rPr>
                <w:rFonts w:ascii="Aptos" w:hAnsi="Aptos"/>
                <w:b w:val="0"/>
                <w:sz w:val="16"/>
              </w:rPr>
              <w:t>Classification</w:t>
            </w:r>
          </w:p>
        </w:tc>
        <w:tc>
          <w:tcPr>
            <w:tcW w:type="dxa" w:w="7488"/>
            <w:shd w:fill="F7FBFF"/>
            <w:vAlign w:val="top"/>
          </w:tcPr>
          <w:p>
            <w:r/>
            <w:r>
              <w:rPr>
                <w:rFonts w:ascii="Aptos" w:hAnsi="Aptos"/>
                <w:b w:val="0"/>
                <w:sz w:val="16"/>
              </w:rPr>
              <w:t>CONFIDENTIAL - Internal Use Only</w:t>
            </w:r>
          </w:p>
        </w:tc>
      </w:tr>
      <w:tr>
        <w:tc>
          <w:tcPr>
            <w:tcW w:type="dxa" w:w="2880"/>
            <w:vAlign w:val="top"/>
          </w:tcPr>
          <w:p>
            <w:r/>
            <w:r>
              <w:rPr>
                <w:rFonts w:ascii="Aptos" w:hAnsi="Aptos"/>
                <w:b w:val="0"/>
                <w:sz w:val="16"/>
              </w:rPr>
              <w:t>Status</w:t>
            </w:r>
          </w:p>
        </w:tc>
        <w:tc>
          <w:tcPr>
            <w:tcW w:type="dxa" w:w="7488"/>
            <w:vAlign w:val="top"/>
          </w:tcPr>
          <w:p>
            <w:r/>
            <w:r>
              <w:rPr>
                <w:rFonts w:ascii="Aptos" w:hAnsi="Aptos"/>
                <w:b w:val="0"/>
                <w:sz w:val="16"/>
              </w:rPr>
              <w:t>FOR ARCHITECTURE REVIEW BOARD APPROVAL</w:t>
            </w:r>
          </w:p>
        </w:tc>
      </w:tr>
      <w:tr>
        <w:tc>
          <w:tcPr>
            <w:tcW w:type="dxa" w:w="2880"/>
            <w:shd w:fill="F7FBFF"/>
            <w:vAlign w:val="top"/>
          </w:tcPr>
          <w:p>
            <w:r/>
            <w:r>
              <w:rPr>
                <w:rFonts w:ascii="Aptos" w:hAnsi="Aptos"/>
                <w:b w:val="0"/>
                <w:sz w:val="16"/>
              </w:rPr>
              <w:t>Decision Owner</w:t>
            </w:r>
          </w:p>
        </w:tc>
        <w:tc>
          <w:tcPr>
            <w:tcW w:type="dxa" w:w="7488"/>
            <w:shd w:fill="F7FBFF"/>
            <w:vAlign w:val="top"/>
          </w:tcPr>
          <w:p>
            <w:r/>
            <w:r>
              <w:rPr>
                <w:rFonts w:ascii="Aptos" w:hAnsi="Aptos"/>
                <w:b w:val="0"/>
                <w:sz w:val="16"/>
              </w:rPr>
              <w:t>Solutions Architecture Office / IT Head</w:t>
            </w:r>
          </w:p>
        </w:tc>
      </w:tr>
      <w:tr>
        <w:tc>
          <w:tcPr>
            <w:tcW w:type="dxa" w:w="2880"/>
            <w:vAlign w:val="top"/>
          </w:tcPr>
          <w:p>
            <w:r/>
            <w:r>
              <w:rPr>
                <w:rFonts w:ascii="Aptos" w:hAnsi="Aptos"/>
                <w:b w:val="0"/>
                <w:sz w:val="16"/>
              </w:rPr>
              <w:t>Decision Date</w:t>
            </w:r>
          </w:p>
        </w:tc>
        <w:tc>
          <w:tcPr>
            <w:tcW w:type="dxa" w:w="7488"/>
            <w:vAlign w:val="top"/>
          </w:tcPr>
          <w:p>
            <w:r/>
            <w:r>
              <w:rPr>
                <w:rFonts w:ascii="Aptos" w:hAnsi="Aptos"/>
                <w:b w:val="0"/>
                <w:sz w:val="16"/>
              </w:rPr>
              <w:t>April 27, 2026</w:t>
            </w:r>
          </w:p>
        </w:tc>
      </w:tr>
      <w:tr>
        <w:tc>
          <w:tcPr>
            <w:tcW w:type="dxa" w:w="2880"/>
            <w:shd w:fill="F7FBFF"/>
            <w:vAlign w:val="top"/>
          </w:tcPr>
          <w:p>
            <w:r/>
            <w:r>
              <w:rPr>
                <w:rFonts w:ascii="Aptos" w:hAnsi="Aptos"/>
                <w:b w:val="0"/>
                <w:sz w:val="16"/>
              </w:rPr>
              <w:t>Effective Date</w:t>
            </w:r>
          </w:p>
        </w:tc>
        <w:tc>
          <w:tcPr>
            <w:tcW w:type="dxa" w:w="7488"/>
            <w:shd w:fill="F7FBFF"/>
            <w:vAlign w:val="top"/>
          </w:tcPr>
          <w:p>
            <w:r/>
            <w:r>
              <w:rPr>
                <w:rFonts w:ascii="Aptos" w:hAnsi="Aptos"/>
                <w:b w:val="0"/>
                <w:sz w:val="16"/>
              </w:rPr>
              <w:t>Upon CAB / Architecture Review Board approval</w:t>
            </w:r>
          </w:p>
        </w:tc>
      </w:tr>
      <w:tr>
        <w:tc>
          <w:tcPr>
            <w:tcW w:type="dxa" w:w="2880"/>
            <w:vAlign w:val="top"/>
          </w:tcPr>
          <w:p>
            <w:r/>
            <w:r>
              <w:rPr>
                <w:rFonts w:ascii="Aptos" w:hAnsi="Aptos"/>
                <w:b w:val="0"/>
                <w:sz w:val="16"/>
              </w:rPr>
              <w:t>Review Cadence</w:t>
            </w:r>
          </w:p>
        </w:tc>
        <w:tc>
          <w:tcPr>
            <w:tcW w:type="dxa" w:w="7488"/>
            <w:vAlign w:val="top"/>
          </w:tcPr>
          <w:p>
            <w:r/>
            <w:r>
              <w:rPr>
                <w:rFonts w:ascii="Aptos" w:hAnsi="Aptos"/>
                <w:b w:val="0"/>
                <w:sz w:val="16"/>
              </w:rPr>
              <w:t>Quarterly; unscheduled on material architecture, AI-governance, security, technology-stack, or compliance change</w:t>
            </w:r>
          </w:p>
        </w:tc>
      </w:tr>
      <w:tr>
        <w:tc>
          <w:tcPr>
            <w:tcW w:type="dxa" w:w="2880"/>
            <w:shd w:fill="F7FBFF"/>
            <w:vAlign w:val="top"/>
          </w:tcPr>
          <w:p>
            <w:r/>
            <w:r>
              <w:rPr>
                <w:rFonts w:ascii="Aptos" w:hAnsi="Aptos"/>
                <w:b w:val="0"/>
                <w:sz w:val="16"/>
              </w:rPr>
              <w:t>Supersedes</w:t>
            </w:r>
          </w:p>
        </w:tc>
        <w:tc>
          <w:tcPr>
            <w:tcW w:type="dxa" w:w="7488"/>
            <w:shd w:fill="F7FBFF"/>
            <w:vAlign w:val="top"/>
          </w:tcPr>
          <w:p>
            <w:r/>
            <w:r>
              <w:rPr>
                <w:rFonts w:ascii="Aptos" w:hAnsi="Aptos"/>
                <w:b w:val="0"/>
                <w:sz w:val="16"/>
              </w:rPr>
              <w:t>None. This is a new cross-document governance decision.</w:t>
            </w:r>
          </w:p>
        </w:tc>
      </w:tr>
      <w:tr>
        <w:tc>
          <w:tcPr>
            <w:tcW w:type="dxa" w:w="2880"/>
            <w:vAlign w:val="top"/>
          </w:tcPr>
          <w:p>
            <w:r/>
            <w:r>
              <w:rPr>
                <w:rFonts w:ascii="Aptos" w:hAnsi="Aptos"/>
                <w:b w:val="0"/>
                <w:sz w:val="16"/>
              </w:rPr>
              <w:t>Related Standards</w:t>
            </w:r>
          </w:p>
        </w:tc>
        <w:tc>
          <w:tcPr>
            <w:tcW w:type="dxa" w:w="7488"/>
            <w:vAlign w:val="top"/>
          </w:tcPr>
          <w:p>
            <w:r/>
            <w:r>
              <w:rPr>
                <w:rFonts w:ascii="Aptos" w:hAnsi="Aptos"/>
                <w:b w:val="0"/>
                <w:sz w:val="16"/>
              </w:rPr>
              <w:t>01-AIRA_AVCI_Engineering_Standard_v2.0; 02-AIRA_Engineering_Blueprint_v4.0; 03-AIRA_Developer_Guide_v3.0; 06-AIRA_CLAUDE_MD_Reference_v2.0; 08-AIRA_Unit_Testing_Standard_v2.0; 10-AIRA_MicroFunction_Framework_v2.2; 11-AIRA_AI_Native_DevSecOps_Standard_v2.0; 14-AIRA_ADR_and_TDL_Standard_v1.0</w:t>
            </w:r>
          </w:p>
        </w:tc>
      </w:tr>
      <w:tr>
        <w:tc>
          <w:tcPr>
            <w:tcW w:type="dxa" w:w="2880"/>
            <w:shd w:fill="F7FBFF"/>
            <w:vAlign w:val="top"/>
          </w:tcPr>
          <w:p>
            <w:r/>
            <w:r>
              <w:rPr>
                <w:rFonts w:ascii="Aptos" w:hAnsi="Aptos"/>
                <w:b w:val="0"/>
                <w:sz w:val="16"/>
              </w:rPr>
              <w:t>Evidence Path</w:t>
            </w:r>
          </w:p>
        </w:tc>
        <w:tc>
          <w:tcPr>
            <w:tcW w:type="dxa" w:w="7488"/>
            <w:shd w:fill="F7FBFF"/>
            <w:vAlign w:val="top"/>
          </w:tcPr>
          <w:p>
            <w:r/>
            <w:r>
              <w:rPr>
                <w:rFonts w:ascii="Aptos" w:hAnsi="Aptos"/>
                <w:b w:val="0"/>
                <w:sz w:val="16"/>
              </w:rPr>
              <w:t>OpenKM Tier-0 / AIRA / Architecture Decisions / ADR-AIRA-2026-001 / v1.0/</w:t>
            </w:r>
          </w:p>
        </w:tc>
      </w:tr>
    </w:tbl>
    <w:p/>
    <w:p>
      <w:pPr>
        <w:pStyle w:val="Heading1"/>
      </w:pPr>
      <w:r>
        <w:rPr>
          <w:rFonts w:ascii="Aptos Display" w:hAnsi="Aptos Display"/>
          <w:color w:val="1F4E79"/>
        </w:rPr>
        <w:t>Table of Contents</w:t>
      </w:r>
    </w:p>
    <w:p>
      <w:pPr>
        <w:pStyle w:val="BodyText"/>
        <w:spacing w:after="100" w:line="252" w:lineRule="auto"/>
      </w:pPr>
      <w:r>
        <w:rPr>
          <w:rFonts w:ascii="Aptos" w:hAnsi="Aptos"/>
          <w:sz w:val="20"/>
        </w:rPr>
        <w:t>1. Decision Summary</w:t>
      </w:r>
    </w:p>
    <w:p>
      <w:pPr>
        <w:pStyle w:val="BodyText"/>
        <w:spacing w:after="100" w:line="252" w:lineRule="auto"/>
      </w:pPr>
      <w:r>
        <w:rPr>
          <w:rFonts w:ascii="Aptos" w:hAnsi="Aptos"/>
          <w:sz w:val="20"/>
        </w:rPr>
        <w:t>2. Context and Problem Statement</w:t>
      </w:r>
    </w:p>
    <w:p>
      <w:pPr>
        <w:pStyle w:val="BodyText"/>
        <w:spacing w:after="100" w:line="252" w:lineRule="auto"/>
      </w:pPr>
      <w:r>
        <w:rPr>
          <w:rFonts w:ascii="Aptos" w:hAnsi="Aptos"/>
          <w:sz w:val="20"/>
        </w:rPr>
        <w:t>3. Decision</w:t>
      </w:r>
    </w:p>
    <w:p>
      <w:pPr>
        <w:pStyle w:val="BodyText"/>
        <w:spacing w:after="100" w:line="252" w:lineRule="auto"/>
      </w:pPr>
      <w:r>
        <w:rPr>
          <w:rFonts w:ascii="Aptos" w:hAnsi="Aptos"/>
          <w:sz w:val="20"/>
        </w:rPr>
        <w:t>4. Enterprise Design Principles Adopted</w:t>
      </w:r>
    </w:p>
    <w:p>
      <w:pPr>
        <w:pStyle w:val="BodyText"/>
        <w:spacing w:after="100" w:line="252" w:lineRule="auto"/>
      </w:pPr>
      <w:r>
        <w:rPr>
          <w:rFonts w:ascii="Aptos" w:hAnsi="Aptos"/>
          <w:sz w:val="20"/>
        </w:rPr>
        <w:t>5. Enforcement Model</w:t>
      </w:r>
    </w:p>
    <w:p>
      <w:pPr>
        <w:pStyle w:val="BodyText"/>
        <w:spacing w:after="100" w:line="252" w:lineRule="auto"/>
      </w:pPr>
      <w:r>
        <w:rPr>
          <w:rFonts w:ascii="Aptos" w:hAnsi="Aptos"/>
          <w:sz w:val="20"/>
        </w:rPr>
        <w:t>6. Auto-Heal, Auto-Learn, and Auto-Improve Constraints</w:t>
      </w:r>
    </w:p>
    <w:p>
      <w:pPr>
        <w:pStyle w:val="BodyText"/>
        <w:spacing w:after="100" w:line="252" w:lineRule="auto"/>
      </w:pPr>
      <w:r>
        <w:rPr>
          <w:rFonts w:ascii="Aptos" w:hAnsi="Aptos"/>
          <w:sz w:val="20"/>
        </w:rPr>
        <w:t>7. Scope of Cross-Document Revision</w:t>
      </w:r>
    </w:p>
    <w:p>
      <w:pPr>
        <w:pStyle w:val="BodyText"/>
        <w:spacing w:after="100" w:line="252" w:lineRule="auto"/>
      </w:pPr>
      <w:r>
        <w:rPr>
          <w:rFonts w:ascii="Aptos" w:hAnsi="Aptos"/>
          <w:sz w:val="20"/>
        </w:rPr>
        <w:t>8. Alternatives Considered</w:t>
      </w:r>
    </w:p>
    <w:p>
      <w:pPr>
        <w:pStyle w:val="BodyText"/>
        <w:spacing w:after="100" w:line="252" w:lineRule="auto"/>
      </w:pPr>
      <w:r>
        <w:rPr>
          <w:rFonts w:ascii="Aptos" w:hAnsi="Aptos"/>
          <w:sz w:val="20"/>
        </w:rPr>
        <w:t>9. Consequences and Risk Treatment</w:t>
      </w:r>
    </w:p>
    <w:p>
      <w:pPr>
        <w:pStyle w:val="BodyText"/>
        <w:spacing w:after="100" w:line="252" w:lineRule="auto"/>
      </w:pPr>
      <w:r>
        <w:rPr>
          <w:rFonts w:ascii="Aptos" w:hAnsi="Aptos"/>
          <w:sz w:val="20"/>
        </w:rPr>
        <w:t>10. Required Evidence, Fitness Functions, and Gates</w:t>
      </w:r>
    </w:p>
    <w:p>
      <w:pPr>
        <w:pStyle w:val="BodyText"/>
        <w:spacing w:after="100" w:line="252" w:lineRule="auto"/>
      </w:pPr>
      <w:r>
        <w:rPr>
          <w:rFonts w:ascii="Aptos" w:hAnsi="Aptos"/>
          <w:sz w:val="20"/>
        </w:rPr>
        <w:t>11. Implementation Plan</w:t>
      </w:r>
    </w:p>
    <w:p>
      <w:pPr>
        <w:pStyle w:val="BodyText"/>
        <w:spacing w:after="100" w:line="252" w:lineRule="auto"/>
      </w:pPr>
      <w:r>
        <w:rPr>
          <w:rFonts w:ascii="Aptos" w:hAnsi="Aptos"/>
          <w:sz w:val="20"/>
        </w:rPr>
        <w:t>12. RACI</w:t>
      </w:r>
    </w:p>
    <w:p>
      <w:pPr>
        <w:pStyle w:val="BodyText"/>
        <w:spacing w:after="100" w:line="252" w:lineRule="auto"/>
      </w:pPr>
      <w:r>
        <w:rPr>
          <w:rFonts w:ascii="Aptos" w:hAnsi="Aptos"/>
          <w:sz w:val="20"/>
        </w:rPr>
        <w:t>13. Approval and Review</w:t>
      </w:r>
    </w:p>
    <w:p>
      <w:pPr>
        <w:pStyle w:val="BodyText"/>
        <w:spacing w:after="100" w:line="252" w:lineRule="auto"/>
      </w:pPr>
      <w:r>
        <w:rPr>
          <w:rFonts w:ascii="Aptos" w:hAnsi="Aptos"/>
          <w:sz w:val="20"/>
        </w:rPr>
        <w:t>14. AVCI Compliance Summary</w:t>
      </w:r>
    </w:p>
    <w:p>
      <w:pPr>
        <w:pStyle w:val="Heading1"/>
      </w:pPr>
      <w:r>
        <w:rPr>
          <w:rFonts w:ascii="Aptos Display" w:hAnsi="Aptos Display"/>
          <w:color w:val="1F4E79"/>
        </w:rPr>
        <w:t>1. Decision Summary</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62"/>
        <w:gridCol w:w="5162"/>
      </w:tblGrid>
      <w:tr>
        <w:tc>
          <w:tcPr>
            <w:tcW w:type="dxa" w:w="2592"/>
            <w:shd w:fill="1F4E79"/>
            <w:vAlign w:val="top"/>
          </w:tcPr>
          <w:p>
            <w:pPr>
              <w:jc w:val="center"/>
            </w:pPr>
            <w:r/>
            <w:r>
              <w:rPr>
                <w:rFonts w:ascii="Aptos" w:hAnsi="Aptos"/>
                <w:b/>
                <w:color w:val="FFFFFF"/>
                <w:sz w:val="16"/>
              </w:rPr>
              <w:t>Item</w:t>
            </w:r>
          </w:p>
        </w:tc>
        <w:tc>
          <w:tcPr>
            <w:tcW w:type="dxa" w:w="7776"/>
            <w:shd w:fill="1F4E79"/>
            <w:vAlign w:val="top"/>
          </w:tcPr>
          <w:p>
            <w:pPr>
              <w:jc w:val="center"/>
            </w:pPr>
            <w:r/>
            <w:r>
              <w:rPr>
                <w:rFonts w:ascii="Aptos" w:hAnsi="Aptos"/>
                <w:b/>
                <w:color w:val="FFFFFF"/>
                <w:sz w:val="16"/>
              </w:rPr>
              <w:t>Decision Record</w:t>
            </w:r>
          </w:p>
        </w:tc>
      </w:tr>
      <w:tr>
        <w:tc>
          <w:tcPr>
            <w:tcW w:type="dxa" w:w="2592"/>
            <w:vAlign w:val="top"/>
          </w:tcPr>
          <w:p>
            <w:r/>
            <w:r>
              <w:rPr>
                <w:rFonts w:ascii="Aptos" w:hAnsi="Aptos"/>
                <w:b w:val="0"/>
                <w:sz w:val="16"/>
              </w:rPr>
              <w:t>Decision</w:t>
            </w:r>
          </w:p>
        </w:tc>
        <w:tc>
          <w:tcPr>
            <w:tcW w:type="dxa" w:w="7776"/>
            <w:vAlign w:val="top"/>
          </w:tcPr>
          <w:p>
            <w:r/>
            <w:r>
              <w:rPr>
                <w:rFonts w:ascii="Aptos" w:hAnsi="Aptos"/>
                <w:b w:val="0"/>
                <w:sz w:val="16"/>
              </w:rPr>
              <w:t>Adopt the Enterprise Design Principles and SOLID Enforcement Layer as a mandatory cross-cutting control for all AIRA standards, repositories, workflows, AI-assisted engineering, MicroFunctions, DevSecOps pipelines, runtime remediation loops, and evidence records.</w:t>
            </w:r>
          </w:p>
        </w:tc>
      </w:tr>
      <w:tr>
        <w:tc>
          <w:tcPr>
            <w:tcW w:type="dxa" w:w="2592"/>
            <w:shd w:fill="F7FBFF"/>
            <w:vAlign w:val="top"/>
          </w:tcPr>
          <w:p>
            <w:r/>
            <w:r>
              <w:rPr>
                <w:rFonts w:ascii="Aptos" w:hAnsi="Aptos"/>
                <w:b w:val="0"/>
                <w:sz w:val="16"/>
              </w:rPr>
              <w:t>Decision Type</w:t>
            </w:r>
          </w:p>
        </w:tc>
        <w:tc>
          <w:tcPr>
            <w:tcW w:type="dxa" w:w="7776"/>
            <w:shd w:fill="F7FBFF"/>
            <w:vAlign w:val="top"/>
          </w:tcPr>
          <w:p>
            <w:r/>
            <w:r>
              <w:rPr>
                <w:rFonts w:ascii="Aptos" w:hAnsi="Aptos"/>
                <w:b w:val="0"/>
                <w:sz w:val="16"/>
              </w:rPr>
              <w:t>Architecture governance / engineering quality / AI safety / DevSecOps control decision</w:t>
            </w:r>
          </w:p>
        </w:tc>
      </w:tr>
      <w:tr>
        <w:tc>
          <w:tcPr>
            <w:tcW w:type="dxa" w:w="2592"/>
            <w:vAlign w:val="top"/>
          </w:tcPr>
          <w:p>
            <w:r/>
            <w:r>
              <w:rPr>
                <w:rFonts w:ascii="Aptos" w:hAnsi="Aptos"/>
                <w:b w:val="0"/>
                <w:sz w:val="16"/>
              </w:rPr>
              <w:t>Decision Status</w:t>
            </w:r>
          </w:p>
        </w:tc>
        <w:tc>
          <w:tcPr>
            <w:tcW w:type="dxa" w:w="7776"/>
            <w:vAlign w:val="top"/>
          </w:tcPr>
          <w:p>
            <w:r/>
            <w:r>
              <w:rPr>
                <w:rFonts w:ascii="Aptos" w:hAnsi="Aptos"/>
                <w:b w:val="0"/>
                <w:sz w:val="16"/>
              </w:rPr>
              <w:t>Proposed for Architecture Review Board approval</w:t>
            </w:r>
          </w:p>
        </w:tc>
      </w:tr>
      <w:tr>
        <w:tc>
          <w:tcPr>
            <w:tcW w:type="dxa" w:w="2592"/>
            <w:shd w:fill="F7FBFF"/>
            <w:vAlign w:val="top"/>
          </w:tcPr>
          <w:p>
            <w:r/>
            <w:r>
              <w:rPr>
                <w:rFonts w:ascii="Aptos" w:hAnsi="Aptos"/>
                <w:b w:val="0"/>
                <w:sz w:val="16"/>
              </w:rPr>
              <w:t>Primary Driver</w:t>
            </w:r>
          </w:p>
        </w:tc>
        <w:tc>
          <w:tcPr>
            <w:tcW w:type="dxa" w:w="7776"/>
            <w:shd w:fill="F7FBFF"/>
            <w:vAlign w:val="top"/>
          </w:tcPr>
          <w:p>
            <w:r/>
            <w:r>
              <w:rPr>
                <w:rFonts w:ascii="Aptos" w:hAnsi="Aptos"/>
                <w:b w:val="0"/>
                <w:sz w:val="16"/>
              </w:rPr>
              <w:t>Prevent AI-assisted acceleration, Auto-Heal, Auto-Learn, and Auto-Improve from weakening maintainability, security, architecture boundaries, testability, reversibility, or audit evidence.</w:t>
            </w:r>
          </w:p>
        </w:tc>
      </w:tr>
      <w:tr>
        <w:tc>
          <w:tcPr>
            <w:tcW w:type="dxa" w:w="2592"/>
            <w:vAlign w:val="top"/>
          </w:tcPr>
          <w:p>
            <w:r/>
            <w:r>
              <w:rPr>
                <w:rFonts w:ascii="Aptos" w:hAnsi="Aptos"/>
                <w:b w:val="0"/>
                <w:sz w:val="16"/>
              </w:rPr>
              <w:t>Required Next Artifact</w:t>
            </w:r>
          </w:p>
        </w:tc>
        <w:tc>
          <w:tcPr>
            <w:tcW w:type="dxa" w:w="7776"/>
            <w:vAlign w:val="top"/>
          </w:tcPr>
          <w:p>
            <w:r/>
            <w:r>
              <w:rPr>
                <w:rFonts w:ascii="Aptos" w:hAnsi="Aptos"/>
                <w:b w:val="0"/>
                <w:sz w:val="16"/>
              </w:rPr>
              <w:t>01A-AIRA_Enterprise_Design_Principles_and_SOLID_Enforcement_Layer_v1.0 as the canonical companion standard.</w:t>
            </w:r>
          </w:p>
        </w:tc>
      </w:tr>
      <w:tr>
        <w:tc>
          <w:tcPr>
            <w:tcW w:type="dxa" w:w="2592"/>
            <w:shd w:fill="F7FBFF"/>
            <w:vAlign w:val="top"/>
          </w:tcPr>
          <w:p>
            <w:r/>
            <w:r>
              <w:rPr>
                <w:rFonts w:ascii="Aptos" w:hAnsi="Aptos"/>
                <w:b w:val="0"/>
                <w:sz w:val="16"/>
              </w:rPr>
              <w:t>Affected Baseline</w:t>
            </w:r>
          </w:p>
        </w:tc>
        <w:tc>
          <w:tcPr>
            <w:tcW w:type="dxa" w:w="7776"/>
            <w:shd w:fill="F7FBFF"/>
            <w:vAlign w:val="top"/>
          </w:tcPr>
          <w:p>
            <w:r/>
            <w:r>
              <w:rPr>
                <w:rFonts w:ascii="Aptos" w:hAnsi="Aptos"/>
                <w:b w:val="0"/>
                <w:sz w:val="16"/>
              </w:rPr>
              <w:t>All AIRA governing documents, with priority updates to 01 AVCI, 02 Engineering Blueprint, 03 Developer Guide, 06 CLAUDE.md Reference, 08 Unit Testing, 10 MicroFunction Framework, and 11 DevSecOps Standard.</w:t>
            </w:r>
          </w:p>
        </w:tc>
      </w:tr>
    </w:tbl>
    <w:p/>
    <w:p>
      <w:pPr>
        <w:pStyle w:val="Heading1"/>
      </w:pPr>
      <w:r>
        <w:rPr>
          <w:rFonts w:ascii="Aptos Display" w:hAnsi="Aptos Display"/>
          <w:color w:val="1F4E79"/>
        </w:rPr>
        <w:t>2. Context and Problem Statement</w:t>
      </w:r>
    </w:p>
    <w:p>
      <w:pPr>
        <w:pStyle w:val="BodyText"/>
        <w:spacing w:after="100" w:line="252" w:lineRule="auto"/>
      </w:pPr>
      <w:r>
        <w:rPr>
          <w:rFonts w:ascii="Aptos" w:hAnsi="Aptos"/>
          <w:sz w:val="20"/>
        </w:rPr>
        <w:t>AIRA is a regulated, mission-critical, AI-native enterprise platform. The current AIRA documentation set already establishes AVCI, governed AI routing, guardrails, Harness-mediated execution, SBAC, OPA, evidence production, TDD, and configuration-driven MicroFunction design. However, the design principles that protect long-term maintainability must now be made explicit, uniform, and enforceable across all source documents.</w:t>
      </w:r>
    </w:p>
    <w:p>
      <w:pPr>
        <w:pStyle w:val="BodyText"/>
        <w:spacing w:after="100" w:line="252" w:lineRule="auto"/>
      </w:pPr>
      <w:r>
        <w:rPr>
          <w:rFonts w:ascii="Aptos" w:hAnsi="Aptos"/>
          <w:sz w:val="20"/>
        </w:rPr>
        <w:t>The introduction of Auto-Heal, Auto-Learn, and Auto-Improve increases engineering power. It also increases the risk that automated fixes or AI-generated improvements may optimize locally while damaging architecture globally. A quick remediation may bypass bounded contexts. A learned pattern may normalize a shortcut. A generated refactor may reduce duplication while weakening testability, observability, rollbackability, or security posture.</w:t>
      </w:r>
    </w:p>
    <w:p>
      <w:pPr>
        <w:pStyle w:val="BodyText"/>
        <w:spacing w:after="100" w:line="252" w:lineRule="auto"/>
      </w:pPr>
      <w:r>
        <w:rPr>
          <w:rFonts w:ascii="Aptos" w:hAnsi="Aptos"/>
          <w:sz w:val="20"/>
        </w:rPr>
        <w:t>This ADR addresses that risk by adopting a formal Enterprise Design Principles and SOLID Enforcement Layer. The layer becomes a cross-cutting reject gate and evidence requirement for every material change.</w:t>
      </w:r>
    </w:p>
    <w:p>
      <w:pPr>
        <w:pStyle w:val="Heading2"/>
      </w:pPr>
      <w:r>
        <w:rPr>
          <w:rFonts w:ascii="Aptos" w:hAnsi="Aptos"/>
          <w:color w:val="1F4E79"/>
        </w:rPr>
        <w:t>2.1 Problem Statement</w:t>
      </w:r>
    </w:p>
    <w:p>
      <w:pPr>
        <w:pStyle w:val="BodyText"/>
        <w:spacing w:after="100" w:line="252" w:lineRule="auto"/>
      </w:pPr>
      <w:r>
        <w:rPr>
          <w:rFonts w:ascii="Aptos" w:hAnsi="Aptos"/>
          <w:sz w:val="20"/>
        </w:rPr>
        <w:t>Without an explicit enforcement layer, AIRA may experience the following risks:</w:t>
      </w:r>
    </w:p>
    <w:p>
      <w:pPr>
        <w:pStyle w:val="ListBullet"/>
      </w:pPr>
      <w:r>
        <w:rPr>
          <w:rFonts w:ascii="Aptos" w:hAnsi="Aptos"/>
          <w:sz w:val="19"/>
        </w:rPr>
        <w:t>Inconsistent interpretation of SOLID, Clean Architecture, DDD, ports-and-adapters, and related engineering principles across documents and teams.</w:t>
      </w:r>
    </w:p>
    <w:p>
      <w:pPr>
        <w:pStyle w:val="ListBullet"/>
      </w:pPr>
      <w:r>
        <w:rPr>
          <w:rFonts w:ascii="Aptos" w:hAnsi="Aptos"/>
          <w:sz w:val="19"/>
        </w:rPr>
        <w:t>AI-generated code or remediation that passes local tests but violates service boundaries, domain ownership, or security posture.</w:t>
      </w:r>
    </w:p>
    <w:p>
      <w:pPr>
        <w:pStyle w:val="ListBullet"/>
      </w:pPr>
      <w:r>
        <w:rPr>
          <w:rFonts w:ascii="Aptos" w:hAnsi="Aptos"/>
          <w:sz w:val="19"/>
        </w:rPr>
        <w:t>Auto-Heal changes that fix symptoms but create hidden coupling, duplicated logic, non-idempotent behavior, or rollback difficulty.</w:t>
      </w:r>
    </w:p>
    <w:p>
      <w:pPr>
        <w:pStyle w:val="ListBullet"/>
      </w:pPr>
      <w:r>
        <w:rPr>
          <w:rFonts w:ascii="Aptos" w:hAnsi="Aptos"/>
          <w:sz w:val="19"/>
        </w:rPr>
        <w:t>Auto-Learn outputs that promote stale, unapproved, or architecture-conflicting knowledge into the LLM Wiki or Obsidian knowledge layer.</w:t>
      </w:r>
    </w:p>
    <w:p>
      <w:pPr>
        <w:pStyle w:val="ListBullet"/>
      </w:pPr>
      <w:r>
        <w:rPr>
          <w:rFonts w:ascii="Aptos" w:hAnsi="Aptos"/>
          <w:sz w:val="19"/>
        </w:rPr>
        <w:t>Auto-Improve proposals that improve one metric while weakening observability, testability, separation of duties, or AVCI evidence.</w:t>
      </w:r>
    </w:p>
    <w:p>
      <w:pPr>
        <w:pStyle w:val="ListBullet"/>
      </w:pPr>
      <w:r>
        <w:rPr>
          <w:rFonts w:ascii="Aptos" w:hAnsi="Aptos"/>
          <w:sz w:val="19"/>
        </w:rPr>
        <w:t>Future document drift where each standard defines design principles differently.</w:t>
      </w:r>
    </w:p>
    <w:p>
      <w:pPr>
        <w:pStyle w:val="Heading1"/>
      </w:pPr>
      <w:r>
        <w:rPr>
          <w:rFonts w:ascii="Aptos Display" w:hAnsi="Aptos Display"/>
          <w:color w:val="1F4E79"/>
        </w:rPr>
        <w:t>3. Decision</w:t>
      </w:r>
    </w:p>
    <w:p>
      <w:pPr>
        <w:pStyle w:val="BodyText"/>
        <w:spacing w:after="100" w:line="252" w:lineRule="auto"/>
      </w:pPr>
      <w:r>
        <w:rPr>
          <w:rFonts w:ascii="Aptos" w:hAnsi="Aptos"/>
          <w:sz w:val="20"/>
        </w:rPr>
        <w:t>AIRA will adopt the Enterprise Design Principles and SOLID Enforcement Layer as a mandatory cross-document and cross-repository control. This ADR authorizes the creation of a canonical companion standard, 01A-AIRA_Enterprise_Design_Principles_and_SOLID_Enforcement_Layer_v1.0, and requires all affected AIRA standards to reference and enforce it.</w:t>
      </w:r>
    </w:p>
    <w:p>
      <w:pPr>
        <w:pStyle w:val="BodyText"/>
        <w:spacing w:after="100" w:line="252" w:lineRule="auto"/>
      </w:pPr>
      <w:r>
        <w:rPr>
          <w:rFonts w:ascii="Aptos" w:hAnsi="Aptos"/>
          <w:sz w:val="20"/>
        </w:rPr>
        <w:t>The principles are not advisory. They are architecture and engineering reject gates. A proposed design, code change, configuration change, prompt change, guardrail change, MicroFunction change, remediation, learned pattern, or improvement candidate that weakens these principles must be rejected, escalated, or processed as an approved exception with named owner, risk acceptance, expiry date, and remediation plan.</w:t>
      </w:r>
    </w:p>
    <w:p>
      <w:pPr>
        <w:pStyle w:val="Heading2"/>
      </w:pPr>
      <w:r>
        <w:rPr>
          <w:rFonts w:ascii="Aptos" w:hAnsi="Aptos"/>
          <w:color w:val="1F4E79"/>
        </w:rPr>
        <w:t>3.1 Decision Rule</w:t>
      </w:r>
    </w:p>
    <w:tbl>
      <w:tblPr>
        <w:tblW w:type="auto" w:w="0"/>
        <w:tblLook w:firstColumn="1" w:firstRow="1" w:lastColumn="0" w:lastRow="0" w:noHBand="0" w:noVBand="1" w:val="04A0"/>
        <w:tblBorders>
          <w:top w:val="single" w:sz="8" w:space="0" w:color="9EADCC"/>
          <w:left w:val="single" w:sz="8" w:space="0" w:color="9EADCC"/>
          <w:bottom w:val="single" w:sz="8" w:space="0" w:color="9EADCC"/>
          <w:right w:val="single" w:sz="8" w:space="0" w:color="9EADCC"/>
          <w:insideH w:val="single" w:sz="8" w:space="0" w:color="9EADCC"/>
          <w:insideV w:val="single" w:sz="8" w:space="0" w:color="9EADCC"/>
        </w:tblBorders>
      </w:tblPr>
      <w:tblGrid>
        <w:gridCol w:w="10325"/>
      </w:tblGrid>
      <w:tr>
        <w:tc>
          <w:tcPr>
            <w:tcW w:type="dxa" w:w="10325"/>
            <w:shd w:fill="EAF3F8"/>
          </w:tcPr>
          <w:p>
            <w:r/>
            <w:r>
              <w:rPr>
                <w:rFonts w:ascii="Aptos" w:hAnsi="Aptos"/>
                <w:b/>
                <w:color w:val="1F4E79"/>
                <w:sz w:val="21"/>
              </w:rPr>
              <w:t>AIRA Enterprise Design Enforcement Rule</w:t>
              <w:br/>
            </w:r>
            <w:r>
              <w:rPr>
                <w:rFonts w:ascii="Aptos" w:hAnsi="Aptos"/>
                <w:sz w:val="19"/>
              </w:rPr>
              <w:t>Every automated, AI-assisted, or human-authored change must preserve or improve SOLID compliance, Clean Architecture boundaries, DDD bounded contexts, ports-and-adapters separation, DRY/KISS/YAGNI discipline, idempotency, determinism, fail-safe behavior, human accountability, least privilege/SBAC, separation of duties, observability, policy-as-code compliance, testability, secure-by-design posture, resilience, architectural fitness functions, progressive autonomy controls, reversibility, rollbackability, and AVCI evidence.</w:t>
            </w:r>
          </w:p>
        </w:tc>
      </w:tr>
    </w:tbl>
    <w:p/>
    <w:p>
      <w:pPr>
        <w:pStyle w:val="Heading1"/>
      </w:pPr>
      <w:r>
        <w:rPr>
          <w:rFonts w:ascii="Aptos Display" w:hAnsi="Aptos Display"/>
          <w:color w:val="1F4E79"/>
        </w:rPr>
        <w:t>4. Enterprise Design Principles Adopted</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42"/>
        <w:gridCol w:w="3442"/>
        <w:gridCol w:w="3442"/>
      </w:tblGrid>
      <w:tr>
        <w:tc>
          <w:tcPr>
            <w:tcW w:type="dxa" w:w="648"/>
            <w:shd w:fill="1F4E79"/>
            <w:vAlign w:val="top"/>
          </w:tcPr>
          <w:p>
            <w:pPr>
              <w:jc w:val="center"/>
            </w:pPr>
            <w:r/>
            <w:r>
              <w:rPr>
                <w:rFonts w:ascii="Aptos" w:hAnsi="Aptos"/>
                <w:b/>
                <w:color w:val="FFFFFF"/>
                <w:sz w:val="14"/>
              </w:rPr>
              <w:t>No.</w:t>
            </w:r>
          </w:p>
        </w:tc>
        <w:tc>
          <w:tcPr>
            <w:tcW w:type="dxa" w:w="2232"/>
            <w:shd w:fill="1F4E79"/>
            <w:vAlign w:val="top"/>
          </w:tcPr>
          <w:p>
            <w:pPr>
              <w:jc w:val="center"/>
            </w:pPr>
            <w:r/>
            <w:r>
              <w:rPr>
                <w:rFonts w:ascii="Aptos" w:hAnsi="Aptos"/>
                <w:b/>
                <w:color w:val="FFFFFF"/>
                <w:sz w:val="14"/>
              </w:rPr>
              <w:t>Principle</w:t>
            </w:r>
          </w:p>
        </w:tc>
        <w:tc>
          <w:tcPr>
            <w:tcW w:type="dxa" w:w="7488"/>
            <w:shd w:fill="1F4E79"/>
            <w:vAlign w:val="top"/>
          </w:tcPr>
          <w:p>
            <w:pPr>
              <w:jc w:val="center"/>
            </w:pPr>
            <w:r/>
            <w:r>
              <w:rPr>
                <w:rFonts w:ascii="Aptos" w:hAnsi="Aptos"/>
                <w:b/>
                <w:color w:val="FFFFFF"/>
                <w:sz w:val="14"/>
              </w:rPr>
              <w:t>AIRA Enforcement Meaning</w:t>
            </w:r>
          </w:p>
        </w:tc>
      </w:tr>
      <w:tr>
        <w:tc>
          <w:tcPr>
            <w:tcW w:type="dxa" w:w="648"/>
            <w:vAlign w:val="top"/>
          </w:tcPr>
          <w:p>
            <w:r/>
            <w:r>
              <w:rPr>
                <w:rFonts w:ascii="Aptos" w:hAnsi="Aptos"/>
                <w:b w:val="0"/>
                <w:sz w:val="14"/>
              </w:rPr>
              <w:t>1</w:t>
            </w:r>
          </w:p>
        </w:tc>
        <w:tc>
          <w:tcPr>
            <w:tcW w:type="dxa" w:w="2232"/>
            <w:vAlign w:val="top"/>
          </w:tcPr>
          <w:p>
            <w:r/>
            <w:r>
              <w:rPr>
                <w:rFonts w:ascii="Aptos" w:hAnsi="Aptos"/>
                <w:b w:val="0"/>
                <w:sz w:val="14"/>
              </w:rPr>
              <w:t>SOLID</w:t>
            </w:r>
          </w:p>
        </w:tc>
        <w:tc>
          <w:tcPr>
            <w:tcW w:type="dxa" w:w="7488"/>
            <w:vAlign w:val="top"/>
          </w:tcPr>
          <w:p>
            <w:r/>
            <w:r>
              <w:rPr>
                <w:rFonts w:ascii="Aptos" w:hAnsi="Aptos"/>
                <w:b w:val="0"/>
                <w:sz w:val="14"/>
              </w:rPr>
              <w:t>Classes, services, modules, MicroFunctions, and agents must remain single-responsibility, extensible without unsafe modification, substitutable, interface-focused, and dependent on abstractions rather than concrete infrastructure.</w:t>
            </w:r>
          </w:p>
        </w:tc>
      </w:tr>
      <w:tr>
        <w:tc>
          <w:tcPr>
            <w:tcW w:type="dxa" w:w="648"/>
            <w:shd w:fill="F7FBFF"/>
            <w:vAlign w:val="top"/>
          </w:tcPr>
          <w:p>
            <w:r/>
            <w:r>
              <w:rPr>
                <w:rFonts w:ascii="Aptos" w:hAnsi="Aptos"/>
                <w:b w:val="0"/>
                <w:sz w:val="14"/>
              </w:rPr>
              <w:t>2</w:t>
            </w:r>
          </w:p>
        </w:tc>
        <w:tc>
          <w:tcPr>
            <w:tcW w:type="dxa" w:w="2232"/>
            <w:shd w:fill="F7FBFF"/>
            <w:vAlign w:val="top"/>
          </w:tcPr>
          <w:p>
            <w:r/>
            <w:r>
              <w:rPr>
                <w:rFonts w:ascii="Aptos" w:hAnsi="Aptos"/>
                <w:b w:val="0"/>
                <w:sz w:val="14"/>
              </w:rPr>
              <w:t>Clean Architecture</w:t>
            </w:r>
          </w:p>
        </w:tc>
        <w:tc>
          <w:tcPr>
            <w:tcW w:type="dxa" w:w="7488"/>
            <w:shd w:fill="F7FBFF"/>
            <w:vAlign w:val="top"/>
          </w:tcPr>
          <w:p>
            <w:r/>
            <w:r>
              <w:rPr>
                <w:rFonts w:ascii="Aptos" w:hAnsi="Aptos"/>
                <w:b w:val="0"/>
                <w:sz w:val="14"/>
              </w:rPr>
              <w:t>Domain and application rules must not depend on UI, database, external APIs, model providers, workflow engines, or framework-specific implementation details.</w:t>
            </w:r>
          </w:p>
        </w:tc>
      </w:tr>
      <w:tr>
        <w:tc>
          <w:tcPr>
            <w:tcW w:type="dxa" w:w="648"/>
            <w:vAlign w:val="top"/>
          </w:tcPr>
          <w:p>
            <w:r/>
            <w:r>
              <w:rPr>
                <w:rFonts w:ascii="Aptos" w:hAnsi="Aptos"/>
                <w:b w:val="0"/>
                <w:sz w:val="14"/>
              </w:rPr>
              <w:t>3</w:t>
            </w:r>
          </w:p>
        </w:tc>
        <w:tc>
          <w:tcPr>
            <w:tcW w:type="dxa" w:w="2232"/>
            <w:vAlign w:val="top"/>
          </w:tcPr>
          <w:p>
            <w:r/>
            <w:r>
              <w:rPr>
                <w:rFonts w:ascii="Aptos" w:hAnsi="Aptos"/>
                <w:b w:val="0"/>
                <w:sz w:val="14"/>
              </w:rPr>
              <w:t>DDD / Bounded Contexts</w:t>
            </w:r>
          </w:p>
        </w:tc>
        <w:tc>
          <w:tcPr>
            <w:tcW w:type="dxa" w:w="7488"/>
            <w:vAlign w:val="top"/>
          </w:tcPr>
          <w:p>
            <w:r/>
            <w:r>
              <w:rPr>
                <w:rFonts w:ascii="Aptos" w:hAnsi="Aptos"/>
                <w:b w:val="0"/>
                <w:sz w:val="14"/>
              </w:rPr>
              <w:t>Each bounded context owns its language, rules, schemas, APIs, events, and invariants. Cross-context access uses contracts, APIs, events, or projections.</w:t>
            </w:r>
          </w:p>
        </w:tc>
      </w:tr>
      <w:tr>
        <w:tc>
          <w:tcPr>
            <w:tcW w:type="dxa" w:w="648"/>
            <w:shd w:fill="F7FBFF"/>
            <w:vAlign w:val="top"/>
          </w:tcPr>
          <w:p>
            <w:r/>
            <w:r>
              <w:rPr>
                <w:rFonts w:ascii="Aptos" w:hAnsi="Aptos"/>
                <w:b w:val="0"/>
                <w:sz w:val="14"/>
              </w:rPr>
              <w:t>4</w:t>
            </w:r>
          </w:p>
        </w:tc>
        <w:tc>
          <w:tcPr>
            <w:tcW w:type="dxa" w:w="2232"/>
            <w:shd w:fill="F7FBFF"/>
            <w:vAlign w:val="top"/>
          </w:tcPr>
          <w:p>
            <w:r/>
            <w:r>
              <w:rPr>
                <w:rFonts w:ascii="Aptos" w:hAnsi="Aptos"/>
                <w:b w:val="0"/>
                <w:sz w:val="14"/>
              </w:rPr>
              <w:t>Ports and Adapters</w:t>
            </w:r>
          </w:p>
        </w:tc>
        <w:tc>
          <w:tcPr>
            <w:tcW w:type="dxa" w:w="7488"/>
            <w:shd w:fill="F7FBFF"/>
            <w:vAlign w:val="top"/>
          </w:tcPr>
          <w:p>
            <w:r/>
            <w:r>
              <w:rPr>
                <w:rFonts w:ascii="Aptos" w:hAnsi="Aptos"/>
                <w:b w:val="0"/>
                <w:sz w:val="14"/>
              </w:rPr>
              <w:t>Business logic depends on ports. Adapters isolate databases, AI gateways, document stores, workflow engines, external systems, and infrastructure.</w:t>
            </w:r>
          </w:p>
        </w:tc>
      </w:tr>
      <w:tr>
        <w:tc>
          <w:tcPr>
            <w:tcW w:type="dxa" w:w="648"/>
            <w:vAlign w:val="top"/>
          </w:tcPr>
          <w:p>
            <w:r/>
            <w:r>
              <w:rPr>
                <w:rFonts w:ascii="Aptos" w:hAnsi="Aptos"/>
                <w:b w:val="0"/>
                <w:sz w:val="14"/>
              </w:rPr>
              <w:t>5</w:t>
            </w:r>
          </w:p>
        </w:tc>
        <w:tc>
          <w:tcPr>
            <w:tcW w:type="dxa" w:w="2232"/>
            <w:vAlign w:val="top"/>
          </w:tcPr>
          <w:p>
            <w:r/>
            <w:r>
              <w:rPr>
                <w:rFonts w:ascii="Aptos" w:hAnsi="Aptos"/>
                <w:b w:val="0"/>
                <w:sz w:val="14"/>
              </w:rPr>
              <w:t>DRY, KISS, YAGNI</w:t>
            </w:r>
          </w:p>
        </w:tc>
        <w:tc>
          <w:tcPr>
            <w:tcW w:type="dxa" w:w="7488"/>
            <w:vAlign w:val="top"/>
          </w:tcPr>
          <w:p>
            <w:r/>
            <w:r>
              <w:rPr>
                <w:rFonts w:ascii="Aptos" w:hAnsi="Aptos"/>
                <w:b w:val="0"/>
                <w:sz w:val="14"/>
              </w:rPr>
              <w:t>Avoid duplicated enterprise plumbing, unnecessary complexity, and speculative abstractions. Standard framework concerns are reused through MicroFunctions and approved templates.</w:t>
            </w:r>
          </w:p>
        </w:tc>
      </w:tr>
      <w:tr>
        <w:tc>
          <w:tcPr>
            <w:tcW w:type="dxa" w:w="648"/>
            <w:shd w:fill="F7FBFF"/>
            <w:vAlign w:val="top"/>
          </w:tcPr>
          <w:p>
            <w:r/>
            <w:r>
              <w:rPr>
                <w:rFonts w:ascii="Aptos" w:hAnsi="Aptos"/>
                <w:b w:val="0"/>
                <w:sz w:val="14"/>
              </w:rPr>
              <w:t>6</w:t>
            </w:r>
          </w:p>
        </w:tc>
        <w:tc>
          <w:tcPr>
            <w:tcW w:type="dxa" w:w="2232"/>
            <w:shd w:fill="F7FBFF"/>
            <w:vAlign w:val="top"/>
          </w:tcPr>
          <w:p>
            <w:r/>
            <w:r>
              <w:rPr>
                <w:rFonts w:ascii="Aptos" w:hAnsi="Aptos"/>
                <w:b w:val="0"/>
                <w:sz w:val="14"/>
              </w:rPr>
              <w:t>Idempotency by Design</w:t>
            </w:r>
          </w:p>
        </w:tc>
        <w:tc>
          <w:tcPr>
            <w:tcW w:type="dxa" w:w="7488"/>
            <w:shd w:fill="F7FBFF"/>
            <w:vAlign w:val="top"/>
          </w:tcPr>
          <w:p>
            <w:r/>
            <w:r>
              <w:rPr>
                <w:rFonts w:ascii="Aptos" w:hAnsi="Aptos"/>
                <w:b w:val="0"/>
                <w:sz w:val="14"/>
              </w:rPr>
              <w:t>Mutating commands, events, workflows, retries, compensations, and agent actions must be safe under retry and deduplication.</w:t>
            </w:r>
          </w:p>
        </w:tc>
      </w:tr>
      <w:tr>
        <w:tc>
          <w:tcPr>
            <w:tcW w:type="dxa" w:w="648"/>
            <w:vAlign w:val="top"/>
          </w:tcPr>
          <w:p>
            <w:r/>
            <w:r>
              <w:rPr>
                <w:rFonts w:ascii="Aptos" w:hAnsi="Aptos"/>
                <w:b w:val="0"/>
                <w:sz w:val="14"/>
              </w:rPr>
              <w:t>7</w:t>
            </w:r>
          </w:p>
        </w:tc>
        <w:tc>
          <w:tcPr>
            <w:tcW w:type="dxa" w:w="2232"/>
            <w:vAlign w:val="top"/>
          </w:tcPr>
          <w:p>
            <w:r/>
            <w:r>
              <w:rPr>
                <w:rFonts w:ascii="Aptos" w:hAnsi="Aptos"/>
                <w:b w:val="0"/>
                <w:sz w:val="14"/>
              </w:rPr>
              <w:t>Determinism and Reproducibility</w:t>
            </w:r>
          </w:p>
        </w:tc>
        <w:tc>
          <w:tcPr>
            <w:tcW w:type="dxa" w:w="7488"/>
            <w:vAlign w:val="top"/>
          </w:tcPr>
          <w:p>
            <w:r/>
            <w:r>
              <w:rPr>
                <w:rFonts w:ascii="Aptos" w:hAnsi="Aptos"/>
                <w:b w:val="0"/>
                <w:sz w:val="14"/>
              </w:rPr>
              <w:t>Builds, tests, migrations, evaluations, environment provisioning, and repeatable workflows must produce explainable and reproducible outcomes.</w:t>
            </w:r>
          </w:p>
        </w:tc>
      </w:tr>
      <w:tr>
        <w:tc>
          <w:tcPr>
            <w:tcW w:type="dxa" w:w="648"/>
            <w:shd w:fill="F7FBFF"/>
            <w:vAlign w:val="top"/>
          </w:tcPr>
          <w:p>
            <w:r/>
            <w:r>
              <w:rPr>
                <w:rFonts w:ascii="Aptos" w:hAnsi="Aptos"/>
                <w:b w:val="0"/>
                <w:sz w:val="14"/>
              </w:rPr>
              <w:t>8</w:t>
            </w:r>
          </w:p>
        </w:tc>
        <w:tc>
          <w:tcPr>
            <w:tcW w:type="dxa" w:w="2232"/>
            <w:shd w:fill="F7FBFF"/>
            <w:vAlign w:val="top"/>
          </w:tcPr>
          <w:p>
            <w:r/>
            <w:r>
              <w:rPr>
                <w:rFonts w:ascii="Aptos" w:hAnsi="Aptos"/>
                <w:b w:val="0"/>
                <w:sz w:val="14"/>
              </w:rPr>
              <w:t>Fail-Safe, Not Fail-Open</w:t>
            </w:r>
          </w:p>
        </w:tc>
        <w:tc>
          <w:tcPr>
            <w:tcW w:type="dxa" w:w="7488"/>
            <w:shd w:fill="F7FBFF"/>
            <w:vAlign w:val="top"/>
          </w:tcPr>
          <w:p>
            <w:r/>
            <w:r>
              <w:rPr>
                <w:rFonts w:ascii="Aptos" w:hAnsi="Aptos"/>
                <w:b w:val="0"/>
                <w:sz w:val="14"/>
              </w:rPr>
              <w:t>If identity, guardrails, OPA, Harness, LiteLLM, Vault, audit, or critical evidence services are unavailable, controlled actions block rather than silently proceed.</w:t>
            </w:r>
          </w:p>
        </w:tc>
      </w:tr>
      <w:tr>
        <w:tc>
          <w:tcPr>
            <w:tcW w:type="dxa" w:w="648"/>
            <w:vAlign w:val="top"/>
          </w:tcPr>
          <w:p>
            <w:r/>
            <w:r>
              <w:rPr>
                <w:rFonts w:ascii="Aptos" w:hAnsi="Aptos"/>
                <w:b w:val="0"/>
                <w:sz w:val="14"/>
              </w:rPr>
              <w:t>9</w:t>
            </w:r>
          </w:p>
        </w:tc>
        <w:tc>
          <w:tcPr>
            <w:tcW w:type="dxa" w:w="2232"/>
            <w:vAlign w:val="top"/>
          </w:tcPr>
          <w:p>
            <w:r/>
            <w:r>
              <w:rPr>
                <w:rFonts w:ascii="Aptos" w:hAnsi="Aptos"/>
                <w:b w:val="0"/>
                <w:sz w:val="14"/>
              </w:rPr>
              <w:t>Human-in-the-Loop</w:t>
            </w:r>
          </w:p>
        </w:tc>
        <w:tc>
          <w:tcPr>
            <w:tcW w:type="dxa" w:w="7488"/>
            <w:vAlign w:val="top"/>
          </w:tcPr>
          <w:p>
            <w:r/>
            <w:r>
              <w:rPr>
                <w:rFonts w:ascii="Aptos" w:hAnsi="Aptos"/>
                <w:b w:val="0"/>
                <w:sz w:val="14"/>
              </w:rPr>
              <w:t>High-impact, low-confidence, Confidential/Restricted, production-impacting, legal, financial, or policy-exception actions require named human approval.</w:t>
            </w:r>
          </w:p>
        </w:tc>
      </w:tr>
      <w:tr>
        <w:tc>
          <w:tcPr>
            <w:tcW w:type="dxa" w:w="648"/>
            <w:shd w:fill="F7FBFF"/>
            <w:vAlign w:val="top"/>
          </w:tcPr>
          <w:p>
            <w:r/>
            <w:r>
              <w:rPr>
                <w:rFonts w:ascii="Aptos" w:hAnsi="Aptos"/>
                <w:b w:val="0"/>
                <w:sz w:val="14"/>
              </w:rPr>
              <w:t>10</w:t>
            </w:r>
          </w:p>
        </w:tc>
        <w:tc>
          <w:tcPr>
            <w:tcW w:type="dxa" w:w="2232"/>
            <w:shd w:fill="F7FBFF"/>
            <w:vAlign w:val="top"/>
          </w:tcPr>
          <w:p>
            <w:r/>
            <w:r>
              <w:rPr>
                <w:rFonts w:ascii="Aptos" w:hAnsi="Aptos"/>
                <w:b w:val="0"/>
                <w:sz w:val="14"/>
              </w:rPr>
              <w:t>Least Privilege / SBAC</w:t>
            </w:r>
          </w:p>
        </w:tc>
        <w:tc>
          <w:tcPr>
            <w:tcW w:type="dxa" w:w="7488"/>
            <w:shd w:fill="F7FBFF"/>
            <w:vAlign w:val="top"/>
          </w:tcPr>
          <w:p>
            <w:r/>
            <w:r>
              <w:rPr>
                <w:rFonts w:ascii="Aptos" w:hAnsi="Aptos"/>
                <w:b w:val="0"/>
                <w:sz w:val="14"/>
              </w:rPr>
              <w:t>Human, service, and agent authority is limited by role, skill, trust, classification, scope, and time-bounded access.</w:t>
            </w:r>
          </w:p>
        </w:tc>
      </w:tr>
      <w:tr>
        <w:tc>
          <w:tcPr>
            <w:tcW w:type="dxa" w:w="648"/>
            <w:vAlign w:val="top"/>
          </w:tcPr>
          <w:p>
            <w:r/>
            <w:r>
              <w:rPr>
                <w:rFonts w:ascii="Aptos" w:hAnsi="Aptos"/>
                <w:b w:val="0"/>
                <w:sz w:val="14"/>
              </w:rPr>
              <w:t>11</w:t>
            </w:r>
          </w:p>
        </w:tc>
        <w:tc>
          <w:tcPr>
            <w:tcW w:type="dxa" w:w="2232"/>
            <w:vAlign w:val="top"/>
          </w:tcPr>
          <w:p>
            <w:r/>
            <w:r>
              <w:rPr>
                <w:rFonts w:ascii="Aptos" w:hAnsi="Aptos"/>
                <w:b w:val="0"/>
                <w:sz w:val="14"/>
              </w:rPr>
              <w:t>Separation of Duties</w:t>
            </w:r>
          </w:p>
        </w:tc>
        <w:tc>
          <w:tcPr>
            <w:tcW w:type="dxa" w:w="7488"/>
            <w:vAlign w:val="top"/>
          </w:tcPr>
          <w:p>
            <w:r/>
            <w:r>
              <w:rPr>
                <w:rFonts w:ascii="Aptos" w:hAnsi="Aptos"/>
                <w:b w:val="0"/>
                <w:sz w:val="14"/>
              </w:rPr>
              <w:t>The same actor or agent must not unilaterally request, approve, execute, and verify high-risk changes.</w:t>
            </w:r>
          </w:p>
        </w:tc>
      </w:tr>
      <w:tr>
        <w:tc>
          <w:tcPr>
            <w:tcW w:type="dxa" w:w="648"/>
            <w:shd w:fill="F7FBFF"/>
            <w:vAlign w:val="top"/>
          </w:tcPr>
          <w:p>
            <w:r/>
            <w:r>
              <w:rPr>
                <w:rFonts w:ascii="Aptos" w:hAnsi="Aptos"/>
                <w:b w:val="0"/>
                <w:sz w:val="14"/>
              </w:rPr>
              <w:t>12</w:t>
            </w:r>
          </w:p>
        </w:tc>
        <w:tc>
          <w:tcPr>
            <w:tcW w:type="dxa" w:w="2232"/>
            <w:shd w:fill="F7FBFF"/>
            <w:vAlign w:val="top"/>
          </w:tcPr>
          <w:p>
            <w:r/>
            <w:r>
              <w:rPr>
                <w:rFonts w:ascii="Aptos" w:hAnsi="Aptos"/>
                <w:b w:val="0"/>
                <w:sz w:val="14"/>
              </w:rPr>
              <w:t>Observability by Design</w:t>
            </w:r>
          </w:p>
        </w:tc>
        <w:tc>
          <w:tcPr>
            <w:tcW w:type="dxa" w:w="7488"/>
            <w:shd w:fill="F7FBFF"/>
            <w:vAlign w:val="top"/>
          </w:tcPr>
          <w:p>
            <w:r/>
            <w:r>
              <w:rPr>
                <w:rFonts w:ascii="Aptos" w:hAnsi="Aptos"/>
                <w:b w:val="0"/>
                <w:sz w:val="14"/>
              </w:rPr>
              <w:t>Logs, metrics, traces, audit records, evidence references, correlation IDs, and SLO signals are designed into the workflow, not added after failure.</w:t>
            </w:r>
          </w:p>
        </w:tc>
      </w:tr>
      <w:tr>
        <w:tc>
          <w:tcPr>
            <w:tcW w:type="dxa" w:w="648"/>
            <w:vAlign w:val="top"/>
          </w:tcPr>
          <w:p>
            <w:r/>
            <w:r>
              <w:rPr>
                <w:rFonts w:ascii="Aptos" w:hAnsi="Aptos"/>
                <w:b w:val="0"/>
                <w:sz w:val="14"/>
              </w:rPr>
              <w:t>13</w:t>
            </w:r>
          </w:p>
        </w:tc>
        <w:tc>
          <w:tcPr>
            <w:tcW w:type="dxa" w:w="2232"/>
            <w:vAlign w:val="top"/>
          </w:tcPr>
          <w:p>
            <w:r/>
            <w:r>
              <w:rPr>
                <w:rFonts w:ascii="Aptos" w:hAnsi="Aptos"/>
                <w:b w:val="0"/>
                <w:sz w:val="14"/>
              </w:rPr>
              <w:t>Policy as Code</w:t>
            </w:r>
          </w:p>
        </w:tc>
        <w:tc>
          <w:tcPr>
            <w:tcW w:type="dxa" w:w="7488"/>
            <w:vAlign w:val="top"/>
          </w:tcPr>
          <w:p>
            <w:r/>
            <w:r>
              <w:rPr>
                <w:rFonts w:ascii="Aptos" w:hAnsi="Aptos"/>
                <w:b w:val="0"/>
                <w:sz w:val="14"/>
              </w:rPr>
              <w:t>Authorization, admission, routing, AI action, data handling, and release decisions must be expressed as reviewed policy artifacts where feasible.</w:t>
            </w:r>
          </w:p>
        </w:tc>
      </w:tr>
      <w:tr>
        <w:tc>
          <w:tcPr>
            <w:tcW w:type="dxa" w:w="648"/>
            <w:shd w:fill="F7FBFF"/>
            <w:vAlign w:val="top"/>
          </w:tcPr>
          <w:p>
            <w:r/>
            <w:r>
              <w:rPr>
                <w:rFonts w:ascii="Aptos" w:hAnsi="Aptos"/>
                <w:b w:val="0"/>
                <w:sz w:val="14"/>
              </w:rPr>
              <w:t>14</w:t>
            </w:r>
          </w:p>
        </w:tc>
        <w:tc>
          <w:tcPr>
            <w:tcW w:type="dxa" w:w="2232"/>
            <w:shd w:fill="F7FBFF"/>
            <w:vAlign w:val="top"/>
          </w:tcPr>
          <w:p>
            <w:r/>
            <w:r>
              <w:rPr>
                <w:rFonts w:ascii="Aptos" w:hAnsi="Aptos"/>
                <w:b w:val="0"/>
                <w:sz w:val="14"/>
              </w:rPr>
              <w:t>Testability by Design</w:t>
            </w:r>
          </w:p>
        </w:tc>
        <w:tc>
          <w:tcPr>
            <w:tcW w:type="dxa" w:w="7488"/>
            <w:shd w:fill="F7FBFF"/>
            <w:vAlign w:val="top"/>
          </w:tcPr>
          <w:p>
            <w:r/>
            <w:r>
              <w:rPr>
                <w:rFonts w:ascii="Aptos" w:hAnsi="Aptos"/>
                <w:b w:val="0"/>
                <w:sz w:val="14"/>
              </w:rPr>
              <w:t>Architecture and code must support unit, contract, integration, security, AI evaluation, chaos, and regression testing without hidden dependencies.</w:t>
            </w:r>
          </w:p>
        </w:tc>
      </w:tr>
      <w:tr>
        <w:tc>
          <w:tcPr>
            <w:tcW w:type="dxa" w:w="648"/>
            <w:vAlign w:val="top"/>
          </w:tcPr>
          <w:p>
            <w:r/>
            <w:r>
              <w:rPr>
                <w:rFonts w:ascii="Aptos" w:hAnsi="Aptos"/>
                <w:b w:val="0"/>
                <w:sz w:val="14"/>
              </w:rPr>
              <w:t>15</w:t>
            </w:r>
          </w:p>
        </w:tc>
        <w:tc>
          <w:tcPr>
            <w:tcW w:type="dxa" w:w="2232"/>
            <w:vAlign w:val="top"/>
          </w:tcPr>
          <w:p>
            <w:r/>
            <w:r>
              <w:rPr>
                <w:rFonts w:ascii="Aptos" w:hAnsi="Aptos"/>
                <w:b w:val="0"/>
                <w:sz w:val="14"/>
              </w:rPr>
              <w:t>Secure by Design</w:t>
            </w:r>
          </w:p>
        </w:tc>
        <w:tc>
          <w:tcPr>
            <w:tcW w:type="dxa" w:w="7488"/>
            <w:vAlign w:val="top"/>
          </w:tcPr>
          <w:p>
            <w:r/>
            <w:r>
              <w:rPr>
                <w:rFonts w:ascii="Aptos" w:hAnsi="Aptos"/>
                <w:b w:val="0"/>
                <w:sz w:val="14"/>
              </w:rPr>
              <w:t>Security is embedded in identity, secrets, access control, data classification, API contracts, database design, prompt handling, and runtime behavior.</w:t>
            </w:r>
          </w:p>
        </w:tc>
      </w:tr>
      <w:tr>
        <w:tc>
          <w:tcPr>
            <w:tcW w:type="dxa" w:w="648"/>
            <w:shd w:fill="F7FBFF"/>
            <w:vAlign w:val="top"/>
          </w:tcPr>
          <w:p>
            <w:r/>
            <w:r>
              <w:rPr>
                <w:rFonts w:ascii="Aptos" w:hAnsi="Aptos"/>
                <w:b w:val="0"/>
                <w:sz w:val="14"/>
              </w:rPr>
              <w:t>16</w:t>
            </w:r>
          </w:p>
        </w:tc>
        <w:tc>
          <w:tcPr>
            <w:tcW w:type="dxa" w:w="2232"/>
            <w:shd w:fill="F7FBFF"/>
            <w:vAlign w:val="top"/>
          </w:tcPr>
          <w:p>
            <w:r/>
            <w:r>
              <w:rPr>
                <w:rFonts w:ascii="Aptos" w:hAnsi="Aptos"/>
                <w:b w:val="0"/>
                <w:sz w:val="14"/>
              </w:rPr>
              <w:t>Resilience Patterns</w:t>
            </w:r>
          </w:p>
        </w:tc>
        <w:tc>
          <w:tcPr>
            <w:tcW w:type="dxa" w:w="7488"/>
            <w:shd w:fill="F7FBFF"/>
            <w:vAlign w:val="top"/>
          </w:tcPr>
          <w:p>
            <w:r/>
            <w:r>
              <w:rPr>
                <w:rFonts w:ascii="Aptos" w:hAnsi="Aptos"/>
                <w:b w:val="0"/>
                <w:sz w:val="14"/>
              </w:rPr>
              <w:t>Timeouts, retries, bulkheads, circuit breakers, fallback, sagas, compensations, DLQs, and graceful degradation must be designed explicitly.</w:t>
            </w:r>
          </w:p>
        </w:tc>
      </w:tr>
      <w:tr>
        <w:tc>
          <w:tcPr>
            <w:tcW w:type="dxa" w:w="648"/>
            <w:vAlign w:val="top"/>
          </w:tcPr>
          <w:p>
            <w:r/>
            <w:r>
              <w:rPr>
                <w:rFonts w:ascii="Aptos" w:hAnsi="Aptos"/>
                <w:b w:val="0"/>
                <w:sz w:val="14"/>
              </w:rPr>
              <w:t>17</w:t>
            </w:r>
          </w:p>
        </w:tc>
        <w:tc>
          <w:tcPr>
            <w:tcW w:type="dxa" w:w="2232"/>
            <w:vAlign w:val="top"/>
          </w:tcPr>
          <w:p>
            <w:r/>
            <w:r>
              <w:rPr>
                <w:rFonts w:ascii="Aptos" w:hAnsi="Aptos"/>
                <w:b w:val="0"/>
                <w:sz w:val="14"/>
              </w:rPr>
              <w:t>Architectural Fitness Functions</w:t>
            </w:r>
          </w:p>
        </w:tc>
        <w:tc>
          <w:tcPr>
            <w:tcW w:type="dxa" w:w="7488"/>
            <w:vAlign w:val="top"/>
          </w:tcPr>
          <w:p>
            <w:r/>
            <w:r>
              <w:rPr>
                <w:rFonts w:ascii="Aptos" w:hAnsi="Aptos"/>
                <w:b w:val="0"/>
                <w:sz w:val="14"/>
              </w:rPr>
              <w:t>Automated checks must continuously verify architecture boundaries, dependency rules, security posture, contract compatibility, test coverage, and evidence completeness.</w:t>
            </w:r>
          </w:p>
        </w:tc>
      </w:tr>
      <w:tr>
        <w:tc>
          <w:tcPr>
            <w:tcW w:type="dxa" w:w="648"/>
            <w:shd w:fill="F7FBFF"/>
            <w:vAlign w:val="top"/>
          </w:tcPr>
          <w:p>
            <w:r/>
            <w:r>
              <w:rPr>
                <w:rFonts w:ascii="Aptos" w:hAnsi="Aptos"/>
                <w:b w:val="0"/>
                <w:sz w:val="14"/>
              </w:rPr>
              <w:t>18</w:t>
            </w:r>
          </w:p>
        </w:tc>
        <w:tc>
          <w:tcPr>
            <w:tcW w:type="dxa" w:w="2232"/>
            <w:shd w:fill="F7FBFF"/>
            <w:vAlign w:val="top"/>
          </w:tcPr>
          <w:p>
            <w:r/>
            <w:r>
              <w:rPr>
                <w:rFonts w:ascii="Aptos" w:hAnsi="Aptos"/>
                <w:b w:val="0"/>
                <w:sz w:val="14"/>
              </w:rPr>
              <w:t>Progressive Autonomy</w:t>
            </w:r>
          </w:p>
        </w:tc>
        <w:tc>
          <w:tcPr>
            <w:tcW w:type="dxa" w:w="7488"/>
            <w:shd w:fill="F7FBFF"/>
            <w:vAlign w:val="top"/>
          </w:tcPr>
          <w:p>
            <w:r/>
            <w:r>
              <w:rPr>
                <w:rFonts w:ascii="Aptos" w:hAnsi="Aptos"/>
                <w:b w:val="0"/>
                <w:sz w:val="14"/>
              </w:rPr>
              <w:t>AI autonomy is earned, bounded, scoped, measured, time-limited, reversible, and reduced after incidents. AI recommends; policy executes; humans approve high-impact actions.</w:t>
            </w:r>
          </w:p>
        </w:tc>
      </w:tr>
      <w:tr>
        <w:tc>
          <w:tcPr>
            <w:tcW w:type="dxa" w:w="648"/>
            <w:vAlign w:val="top"/>
          </w:tcPr>
          <w:p>
            <w:r/>
            <w:r>
              <w:rPr>
                <w:rFonts w:ascii="Aptos" w:hAnsi="Aptos"/>
                <w:b w:val="0"/>
                <w:sz w:val="14"/>
              </w:rPr>
              <w:t>19</w:t>
            </w:r>
          </w:p>
        </w:tc>
        <w:tc>
          <w:tcPr>
            <w:tcW w:type="dxa" w:w="2232"/>
            <w:vAlign w:val="top"/>
          </w:tcPr>
          <w:p>
            <w:r/>
            <w:r>
              <w:rPr>
                <w:rFonts w:ascii="Aptos" w:hAnsi="Aptos"/>
                <w:b w:val="0"/>
                <w:sz w:val="14"/>
              </w:rPr>
              <w:t>Reversibility / Rollbackability</w:t>
            </w:r>
          </w:p>
        </w:tc>
        <w:tc>
          <w:tcPr>
            <w:tcW w:type="dxa" w:w="7488"/>
            <w:vAlign w:val="top"/>
          </w:tcPr>
          <w:p>
            <w:r/>
            <w:r>
              <w:rPr>
                <w:rFonts w:ascii="Aptos" w:hAnsi="Aptos"/>
                <w:b w:val="0"/>
                <w:sz w:val="14"/>
              </w:rPr>
              <w:t>Changes must include rollback, forward-fix, compensation, feature-toggle, cache-invalidation, data-migration, or deactivation paths as applicable.</w:t>
            </w:r>
          </w:p>
        </w:tc>
      </w:tr>
      <w:tr>
        <w:tc>
          <w:tcPr>
            <w:tcW w:type="dxa" w:w="648"/>
            <w:shd w:fill="F7FBFF"/>
            <w:vAlign w:val="top"/>
          </w:tcPr>
          <w:p>
            <w:r/>
            <w:r>
              <w:rPr>
                <w:rFonts w:ascii="Aptos" w:hAnsi="Aptos"/>
                <w:b w:val="0"/>
                <w:sz w:val="14"/>
              </w:rPr>
              <w:t>20</w:t>
            </w:r>
          </w:p>
        </w:tc>
        <w:tc>
          <w:tcPr>
            <w:tcW w:type="dxa" w:w="2232"/>
            <w:shd w:fill="F7FBFF"/>
            <w:vAlign w:val="top"/>
          </w:tcPr>
          <w:p>
            <w:r/>
            <w:r>
              <w:rPr>
                <w:rFonts w:ascii="Aptos" w:hAnsi="Aptos"/>
                <w:b w:val="0"/>
                <w:sz w:val="14"/>
              </w:rPr>
              <w:t>AVCI</w:t>
            </w:r>
          </w:p>
        </w:tc>
        <w:tc>
          <w:tcPr>
            <w:tcW w:type="dxa" w:w="7488"/>
            <w:shd w:fill="F7FBFF"/>
            <w:vAlign w:val="top"/>
          </w:tcPr>
          <w:p>
            <w:r/>
            <w:r>
              <w:rPr>
                <w:rFonts w:ascii="Aptos" w:hAnsi="Aptos"/>
                <w:b w:val="0"/>
                <w:sz w:val="14"/>
              </w:rPr>
              <w:t>Every artifact and output must be Attributable, Verifiable, Classifiable, and Improvable before it is treated as production-ready.</w:t>
            </w:r>
          </w:p>
        </w:tc>
      </w:tr>
    </w:tbl>
    <w:p/>
    <w:p>
      <w:pPr>
        <w:pStyle w:val="Heading1"/>
      </w:pPr>
      <w:r>
        <w:rPr>
          <w:rFonts w:ascii="Aptos Display" w:hAnsi="Aptos Display"/>
          <w:color w:val="1F4E79"/>
        </w:rPr>
        <w:t>5. Enforcement Model</w:t>
      </w:r>
    </w:p>
    <w:p>
      <w:pPr>
        <w:pStyle w:val="BodyText"/>
        <w:spacing w:after="100" w:line="252" w:lineRule="auto"/>
      </w:pPr>
      <w:r>
        <w:rPr>
          <w:rFonts w:ascii="Aptos" w:hAnsi="Aptos"/>
          <w:sz w:val="20"/>
        </w:rPr>
        <w:t>The principles will be enforced through four mutually reinforcing control layers: canonical documentation, developer behavior, automated controls, and evidence requirements.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62"/>
        <w:gridCol w:w="5162"/>
      </w:tblGrid>
      <w:tr>
        <w:tc>
          <w:tcPr>
            <w:tcW w:type="dxa" w:w="2376"/>
            <w:shd w:fill="1F4E79"/>
            <w:vAlign w:val="top"/>
          </w:tcPr>
          <w:p>
            <w:pPr>
              <w:jc w:val="center"/>
            </w:pPr>
            <w:r/>
            <w:r>
              <w:rPr>
                <w:rFonts w:ascii="Aptos" w:hAnsi="Aptos"/>
                <w:b/>
                <w:color w:val="FFFFFF"/>
                <w:sz w:val="16"/>
              </w:rPr>
              <w:t>Control Layer</w:t>
            </w:r>
          </w:p>
        </w:tc>
        <w:tc>
          <w:tcPr>
            <w:tcW w:type="dxa" w:w="7992"/>
            <w:shd w:fill="1F4E79"/>
            <w:vAlign w:val="top"/>
          </w:tcPr>
          <w:p>
            <w:pPr>
              <w:jc w:val="center"/>
            </w:pPr>
            <w:r/>
            <w:r>
              <w:rPr>
                <w:rFonts w:ascii="Aptos" w:hAnsi="Aptos"/>
                <w:b/>
                <w:color w:val="FFFFFF"/>
                <w:sz w:val="16"/>
              </w:rPr>
              <w:t>Required Enforcement</w:t>
            </w:r>
          </w:p>
        </w:tc>
      </w:tr>
      <w:tr>
        <w:tc>
          <w:tcPr>
            <w:tcW w:type="dxa" w:w="2376"/>
            <w:vAlign w:val="top"/>
          </w:tcPr>
          <w:p>
            <w:r/>
            <w:r>
              <w:rPr>
                <w:rFonts w:ascii="Aptos" w:hAnsi="Aptos"/>
                <w:b w:val="0"/>
                <w:sz w:val="16"/>
              </w:rPr>
              <w:t>Canonical standard</w:t>
            </w:r>
          </w:p>
        </w:tc>
        <w:tc>
          <w:tcPr>
            <w:tcW w:type="dxa" w:w="7992"/>
            <w:vAlign w:val="top"/>
          </w:tcPr>
          <w:p>
            <w:r/>
            <w:r>
              <w:rPr>
                <w:rFonts w:ascii="Aptos" w:hAnsi="Aptos"/>
                <w:b w:val="0"/>
                <w:sz w:val="16"/>
              </w:rPr>
              <w:t>Create 01A as the authoritative definition of the 20 principles, their evidence requirements, exception rules, and mapping to AIRA documents.</w:t>
            </w:r>
          </w:p>
        </w:tc>
      </w:tr>
      <w:tr>
        <w:tc>
          <w:tcPr>
            <w:tcW w:type="dxa" w:w="2376"/>
            <w:shd w:fill="F7FBFF"/>
            <w:vAlign w:val="top"/>
          </w:tcPr>
          <w:p>
            <w:r/>
            <w:r>
              <w:rPr>
                <w:rFonts w:ascii="Aptos" w:hAnsi="Aptos"/>
                <w:b w:val="0"/>
                <w:sz w:val="16"/>
              </w:rPr>
              <w:t>Architecture enforcement</w:t>
            </w:r>
          </w:p>
        </w:tc>
        <w:tc>
          <w:tcPr>
            <w:tcW w:type="dxa" w:w="7992"/>
            <w:shd w:fill="F7FBFF"/>
            <w:vAlign w:val="top"/>
          </w:tcPr>
          <w:p>
            <w:r/>
            <w:r>
              <w:rPr>
                <w:rFonts w:ascii="Aptos" w:hAnsi="Aptos"/>
                <w:b w:val="0"/>
                <w:sz w:val="16"/>
              </w:rPr>
              <w:t>Update 02 Engineering Blueprint so the principles become architecture invariants and service-boundary reject gates.</w:t>
            </w:r>
          </w:p>
        </w:tc>
      </w:tr>
      <w:tr>
        <w:tc>
          <w:tcPr>
            <w:tcW w:type="dxa" w:w="2376"/>
            <w:vAlign w:val="top"/>
          </w:tcPr>
          <w:p>
            <w:r/>
            <w:r>
              <w:rPr>
                <w:rFonts w:ascii="Aptos" w:hAnsi="Aptos"/>
                <w:b w:val="0"/>
                <w:sz w:val="16"/>
              </w:rPr>
              <w:t>Developer enforcement</w:t>
            </w:r>
          </w:p>
        </w:tc>
        <w:tc>
          <w:tcPr>
            <w:tcW w:type="dxa" w:w="7992"/>
            <w:vAlign w:val="top"/>
          </w:tcPr>
          <w:p>
            <w:r/>
            <w:r>
              <w:rPr>
                <w:rFonts w:ascii="Aptos" w:hAnsi="Aptos"/>
                <w:b w:val="0"/>
                <w:sz w:val="16"/>
              </w:rPr>
              <w:t>Update 03 Developer Guide and 06 CLAUDE.md Reference so the principles become coding, AI-assistance, PR, package-boundary, and review rules.</w:t>
            </w:r>
          </w:p>
        </w:tc>
      </w:tr>
      <w:tr>
        <w:tc>
          <w:tcPr>
            <w:tcW w:type="dxa" w:w="2376"/>
            <w:shd w:fill="F7FBFF"/>
            <w:vAlign w:val="top"/>
          </w:tcPr>
          <w:p>
            <w:r/>
            <w:r>
              <w:rPr>
                <w:rFonts w:ascii="Aptos" w:hAnsi="Aptos"/>
                <w:b w:val="0"/>
                <w:sz w:val="16"/>
              </w:rPr>
              <w:t>Test enforcement</w:t>
            </w:r>
          </w:p>
        </w:tc>
        <w:tc>
          <w:tcPr>
            <w:tcW w:type="dxa" w:w="7992"/>
            <w:shd w:fill="F7FBFF"/>
            <w:vAlign w:val="top"/>
          </w:tcPr>
          <w:p>
            <w:r/>
            <w:r>
              <w:rPr>
                <w:rFonts w:ascii="Aptos" w:hAnsi="Aptos"/>
                <w:b w:val="0"/>
                <w:sz w:val="16"/>
              </w:rPr>
              <w:t>Update 08 Unit Testing Standard to include architecture tests, determinism tests, idempotency tests, security regression tests, contract tests, and fitness functions.</w:t>
            </w:r>
          </w:p>
        </w:tc>
      </w:tr>
      <w:tr>
        <w:tc>
          <w:tcPr>
            <w:tcW w:type="dxa" w:w="2376"/>
            <w:vAlign w:val="top"/>
          </w:tcPr>
          <w:p>
            <w:r/>
            <w:r>
              <w:rPr>
                <w:rFonts w:ascii="Aptos" w:hAnsi="Aptos"/>
                <w:b w:val="0"/>
                <w:sz w:val="16"/>
              </w:rPr>
              <w:t>Pipeline enforcement</w:t>
            </w:r>
          </w:p>
        </w:tc>
        <w:tc>
          <w:tcPr>
            <w:tcW w:type="dxa" w:w="7992"/>
            <w:vAlign w:val="top"/>
          </w:tcPr>
          <w:p>
            <w:r/>
            <w:r>
              <w:rPr>
                <w:rFonts w:ascii="Aptos" w:hAnsi="Aptos"/>
                <w:b w:val="0"/>
                <w:sz w:val="16"/>
              </w:rPr>
              <w:t>Update 11 DevSecOps Standard and 12 Rollout Pack so CI/CD blocks principle violations through automated checks and required evidence.</w:t>
            </w:r>
          </w:p>
        </w:tc>
      </w:tr>
      <w:tr>
        <w:tc>
          <w:tcPr>
            <w:tcW w:type="dxa" w:w="2376"/>
            <w:shd w:fill="F7FBFF"/>
            <w:vAlign w:val="top"/>
          </w:tcPr>
          <w:p>
            <w:r/>
            <w:r>
              <w:rPr>
                <w:rFonts w:ascii="Aptos" w:hAnsi="Aptos"/>
                <w:b w:val="0"/>
                <w:sz w:val="16"/>
              </w:rPr>
              <w:t>MicroFunction enforcement</w:t>
            </w:r>
          </w:p>
        </w:tc>
        <w:tc>
          <w:tcPr>
            <w:tcW w:type="dxa" w:w="7992"/>
            <w:shd w:fill="F7FBFF"/>
            <w:vAlign w:val="top"/>
          </w:tcPr>
          <w:p>
            <w:r/>
            <w:r>
              <w:rPr>
                <w:rFonts w:ascii="Aptos" w:hAnsi="Aptos"/>
                <w:b w:val="0"/>
                <w:sz w:val="16"/>
              </w:rPr>
              <w:t>Update 10/10A/10B/10C/10D so reusable framework steps remain isolated, idempotent, observable, secure, error-handled, and reversible.</w:t>
            </w:r>
          </w:p>
        </w:tc>
      </w:tr>
      <w:tr>
        <w:tc>
          <w:tcPr>
            <w:tcW w:type="dxa" w:w="2376"/>
            <w:vAlign w:val="top"/>
          </w:tcPr>
          <w:p>
            <w:r/>
            <w:r>
              <w:rPr>
                <w:rFonts w:ascii="Aptos" w:hAnsi="Aptos"/>
                <w:b w:val="0"/>
                <w:sz w:val="16"/>
              </w:rPr>
              <w:t>Evidence enforcement</w:t>
            </w:r>
          </w:p>
        </w:tc>
        <w:tc>
          <w:tcPr>
            <w:tcW w:type="dxa" w:w="7992"/>
            <w:vAlign w:val="top"/>
          </w:tcPr>
          <w:p>
            <w:r/>
            <w:r>
              <w:rPr>
                <w:rFonts w:ascii="Aptos" w:hAnsi="Aptos"/>
                <w:b w:val="0"/>
                <w:sz w:val="16"/>
              </w:rPr>
              <w:t>Extend AVCI evidence, ADR/TDL templates, PR summaries, and release records with design-principle impact and fitness-function results.</w:t>
            </w:r>
          </w:p>
        </w:tc>
      </w:tr>
    </w:tbl>
    <w:p/>
    <w:p>
      <w:pPr>
        <w:pStyle w:val="Heading1"/>
      </w:pPr>
      <w:r>
        <w:rPr>
          <w:rFonts w:ascii="Aptos Display" w:hAnsi="Aptos Display"/>
          <w:color w:val="1F4E79"/>
        </w:rPr>
        <w:t>6. Auto-Heal, Auto-Learn, and Auto-Improve Constraints</w:t>
      </w:r>
    </w:p>
    <w:p>
      <w:pPr>
        <w:pStyle w:val="BodyText"/>
        <w:spacing w:after="100" w:line="252" w:lineRule="auto"/>
      </w:pPr>
      <w:r>
        <w:rPr>
          <w:rFonts w:ascii="Aptos" w:hAnsi="Aptos"/>
          <w:sz w:val="20"/>
        </w:rPr>
        <w:t>This ADR explicitly constrains AIRA continuous-improvement loops. The objective is not only to fix, learn, or improve. The objective is to improve without weakening the system's architecture, security, evidence, and maintainability properties.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62"/>
        <w:gridCol w:w="5162"/>
      </w:tblGrid>
      <w:tr>
        <w:tc>
          <w:tcPr>
            <w:tcW w:type="dxa" w:w="2015"/>
            <w:shd w:fill="1F4E79"/>
            <w:vAlign w:val="top"/>
          </w:tcPr>
          <w:p>
            <w:pPr>
              <w:jc w:val="center"/>
            </w:pPr>
            <w:r/>
            <w:r>
              <w:rPr>
                <w:rFonts w:ascii="Aptos" w:hAnsi="Aptos"/>
                <w:b/>
                <w:color w:val="FFFFFF"/>
                <w:sz w:val="16"/>
              </w:rPr>
              <w:t>Capability</w:t>
            </w:r>
          </w:p>
        </w:tc>
        <w:tc>
          <w:tcPr>
            <w:tcW w:type="dxa" w:w="8352"/>
            <w:shd w:fill="1F4E79"/>
            <w:vAlign w:val="top"/>
          </w:tcPr>
          <w:p>
            <w:pPr>
              <w:jc w:val="center"/>
            </w:pPr>
            <w:r/>
            <w:r>
              <w:rPr>
                <w:rFonts w:ascii="Aptos" w:hAnsi="Aptos"/>
                <w:b/>
                <w:color w:val="FFFFFF"/>
                <w:sz w:val="16"/>
              </w:rPr>
              <w:t>Mandatory Constraint</w:t>
            </w:r>
          </w:p>
        </w:tc>
      </w:tr>
      <w:tr>
        <w:tc>
          <w:tcPr>
            <w:tcW w:type="dxa" w:w="2015"/>
            <w:vAlign w:val="top"/>
          </w:tcPr>
          <w:p>
            <w:r/>
            <w:r>
              <w:rPr>
                <w:rFonts w:ascii="Aptos" w:hAnsi="Aptos"/>
                <w:b w:val="0"/>
                <w:sz w:val="16"/>
              </w:rPr>
              <w:t>Auto-Heal</w:t>
            </w:r>
          </w:p>
        </w:tc>
        <w:tc>
          <w:tcPr>
            <w:tcW w:type="dxa" w:w="8352"/>
            <w:vAlign w:val="top"/>
          </w:tcPr>
          <w:p>
            <w:r/>
            <w:r>
              <w:rPr>
                <w:rFonts w:ascii="Aptos" w:hAnsi="Aptos"/>
                <w:b w:val="0"/>
                <w:sz w:val="16"/>
              </w:rPr>
              <w:t>May detect, classify, and draft remediation. A proposed fix must be minimal, evidence-based, idempotent, tested, observable, secure, reversible, and compliant with architecture boundaries before merge or deployment.</w:t>
            </w:r>
          </w:p>
        </w:tc>
      </w:tr>
      <w:tr>
        <w:tc>
          <w:tcPr>
            <w:tcW w:type="dxa" w:w="2015"/>
            <w:shd w:fill="F7FBFF"/>
            <w:vAlign w:val="top"/>
          </w:tcPr>
          <w:p>
            <w:r/>
            <w:r>
              <w:rPr>
                <w:rFonts w:ascii="Aptos" w:hAnsi="Aptos"/>
                <w:b w:val="0"/>
                <w:sz w:val="16"/>
              </w:rPr>
              <w:t>Auto-Learn</w:t>
            </w:r>
          </w:p>
        </w:tc>
        <w:tc>
          <w:tcPr>
            <w:tcW w:type="dxa" w:w="8352"/>
            <w:shd w:fill="F7FBFF"/>
            <w:vAlign w:val="top"/>
          </w:tcPr>
          <w:p>
            <w:r/>
            <w:r>
              <w:rPr>
                <w:rFonts w:ascii="Aptos" w:hAnsi="Aptos"/>
                <w:b w:val="0"/>
                <w:sz w:val="16"/>
              </w:rPr>
              <w:t>May convert resolved incidents, reviews, defects, and post-mortem lessons into candidate knowledge. Learned content is not authoritative until human-reviewed, source-cited, classification-safe, conflict-checked, and promoted.</w:t>
            </w:r>
          </w:p>
        </w:tc>
      </w:tr>
      <w:tr>
        <w:tc>
          <w:tcPr>
            <w:tcW w:type="dxa" w:w="2015"/>
            <w:vAlign w:val="top"/>
          </w:tcPr>
          <w:p>
            <w:r/>
            <w:r>
              <w:rPr>
                <w:rFonts w:ascii="Aptos" w:hAnsi="Aptos"/>
                <w:b w:val="0"/>
                <w:sz w:val="16"/>
              </w:rPr>
              <w:t>Auto-Improve</w:t>
            </w:r>
          </w:p>
        </w:tc>
        <w:tc>
          <w:tcPr>
            <w:tcW w:type="dxa" w:w="8352"/>
            <w:vAlign w:val="top"/>
          </w:tcPr>
          <w:p>
            <w:r/>
            <w:r>
              <w:rPr>
                <w:rFonts w:ascii="Aptos" w:hAnsi="Aptos"/>
                <w:b w:val="0"/>
                <w:sz w:val="16"/>
              </w:rPr>
              <w:t>May propose refactoring, policy, prompt, guardrail, test, architecture, or stack improvements. The proposal must show measurable benefit and prove it does not reduce SOLID compliance, security, testability, observability, rollbackability, or AVCI evidence.</w:t>
            </w:r>
          </w:p>
        </w:tc>
      </w:tr>
      <w:tr>
        <w:tc>
          <w:tcPr>
            <w:tcW w:type="dxa" w:w="2015"/>
            <w:shd w:fill="F7FBFF"/>
            <w:vAlign w:val="top"/>
          </w:tcPr>
          <w:p>
            <w:r/>
            <w:r>
              <w:rPr>
                <w:rFonts w:ascii="Aptos" w:hAnsi="Aptos"/>
                <w:b w:val="0"/>
                <w:sz w:val="16"/>
              </w:rPr>
              <w:t>AutoResearch</w:t>
            </w:r>
          </w:p>
        </w:tc>
        <w:tc>
          <w:tcPr>
            <w:tcW w:type="dxa" w:w="8352"/>
            <w:shd w:fill="F7FBFF"/>
            <w:vAlign w:val="top"/>
          </w:tcPr>
          <w:p>
            <w:r/>
            <w:r>
              <w:rPr>
                <w:rFonts w:ascii="Aptos" w:hAnsi="Aptos"/>
                <w:b w:val="0"/>
                <w:sz w:val="16"/>
              </w:rPr>
              <w:t>May gather and compare external information only through controlled research workflow. It cannot directly change canonical standards, repository rules, prompts, guardrails, or technology decisions without ADR/TDL and review.</w:t>
            </w:r>
          </w:p>
        </w:tc>
      </w:tr>
    </w:tbl>
    <w:p/>
    <w:p>
      <w:pPr>
        <w:pStyle w:val="Heading2"/>
      </w:pPr>
      <w:r>
        <w:rPr>
          <w:rFonts w:ascii="Aptos" w:hAnsi="Aptos"/>
          <w:color w:val="1F4E79"/>
        </w:rPr>
        <w:t>6.1 Explicitly Rejected Patterns</w:t>
      </w:r>
    </w:p>
    <w:p>
      <w:pPr>
        <w:pStyle w:val="ListBullet"/>
      </w:pPr>
      <w:r>
        <w:rPr>
          <w:rFonts w:ascii="Aptos" w:hAnsi="Aptos"/>
          <w:sz w:val="19"/>
        </w:rPr>
        <w:t>AI-generated remediation that bypasses guardrails, OPA, Harness, SBAC, CI, CODEOWNERS, or human approval.</w:t>
      </w:r>
    </w:p>
    <w:p>
      <w:pPr>
        <w:pStyle w:val="ListBullet"/>
      </w:pPr>
      <w:r>
        <w:rPr>
          <w:rFonts w:ascii="Aptos" w:hAnsi="Aptos"/>
          <w:sz w:val="19"/>
        </w:rPr>
        <w:t>Self-modifying prompts, policies, guardrails, model routes, skills, MicroFunction catalog entries, or production configuration without review.</w:t>
      </w:r>
    </w:p>
    <w:p>
      <w:pPr>
        <w:pStyle w:val="ListBullet"/>
      </w:pPr>
      <w:r>
        <w:rPr>
          <w:rFonts w:ascii="Aptos" w:hAnsi="Aptos"/>
          <w:sz w:val="19"/>
        </w:rPr>
        <w:t>Direct model provider calls, direct database edits, direct production kubectl writes, or ungoverned tool execution.</w:t>
      </w:r>
    </w:p>
    <w:p>
      <w:pPr>
        <w:pStyle w:val="ListBullet"/>
      </w:pPr>
      <w:r>
        <w:rPr>
          <w:rFonts w:ascii="Aptos" w:hAnsi="Aptos"/>
          <w:sz w:val="19"/>
        </w:rPr>
        <w:t>Fixes that remove failing tests instead of addressing the cause.</w:t>
      </w:r>
    </w:p>
    <w:p>
      <w:pPr>
        <w:pStyle w:val="ListBullet"/>
      </w:pPr>
      <w:r>
        <w:rPr>
          <w:rFonts w:ascii="Aptos" w:hAnsi="Aptos"/>
          <w:sz w:val="19"/>
        </w:rPr>
        <w:t>Knowledge promotion from unreviewed AI output into authoritative LLM Wiki or Obsidian references.</w:t>
      </w:r>
    </w:p>
    <w:p>
      <w:pPr>
        <w:pStyle w:val="ListBullet"/>
      </w:pPr>
      <w:r>
        <w:rPr>
          <w:rFonts w:ascii="Aptos" w:hAnsi="Aptos"/>
          <w:sz w:val="19"/>
        </w:rPr>
        <w:t>Architecture shortcuts that collapse domain, application, adapter, workflow, AI, security, or data responsibilities into one component.</w:t>
      </w:r>
    </w:p>
    <w:p>
      <w:pPr>
        <w:pStyle w:val="Heading1"/>
      </w:pPr>
      <w:r>
        <w:rPr>
          <w:rFonts w:ascii="Aptos Display" w:hAnsi="Aptos Display"/>
          <w:color w:val="1F4E79"/>
        </w:rPr>
        <w:t>7. Scope of Cross-Document Revision</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81"/>
        <w:gridCol w:w="2581"/>
        <w:gridCol w:w="2581"/>
        <w:gridCol w:w="2581"/>
      </w:tblGrid>
      <w:tr>
        <w:tc>
          <w:tcPr>
            <w:tcW w:type="dxa" w:w="3311"/>
            <w:shd w:fill="1F4E79"/>
            <w:vAlign w:val="top"/>
          </w:tcPr>
          <w:p>
            <w:pPr>
              <w:jc w:val="center"/>
            </w:pPr>
            <w:r/>
            <w:r>
              <w:rPr>
                <w:rFonts w:ascii="Aptos" w:hAnsi="Aptos"/>
                <w:b/>
                <w:color w:val="FFFFFF"/>
                <w:sz w:val="13"/>
              </w:rPr>
              <w:t>Document</w:t>
            </w:r>
          </w:p>
        </w:tc>
        <w:tc>
          <w:tcPr>
            <w:tcW w:type="dxa" w:w="1080"/>
            <w:shd w:fill="1F4E79"/>
            <w:vAlign w:val="top"/>
          </w:tcPr>
          <w:p>
            <w:pPr>
              <w:jc w:val="center"/>
            </w:pPr>
            <w:r/>
            <w:r>
              <w:rPr>
                <w:rFonts w:ascii="Aptos" w:hAnsi="Aptos"/>
                <w:b/>
                <w:color w:val="FFFFFF"/>
                <w:sz w:val="13"/>
              </w:rPr>
              <w:t>Current</w:t>
            </w:r>
          </w:p>
        </w:tc>
        <w:tc>
          <w:tcPr>
            <w:tcW w:type="dxa" w:w="1080"/>
            <w:shd w:fill="1F4E79"/>
            <w:vAlign w:val="top"/>
          </w:tcPr>
          <w:p>
            <w:pPr>
              <w:jc w:val="center"/>
            </w:pPr>
            <w:r/>
            <w:r>
              <w:rPr>
                <w:rFonts w:ascii="Aptos" w:hAnsi="Aptos"/>
                <w:b/>
                <w:color w:val="FFFFFF"/>
                <w:sz w:val="13"/>
              </w:rPr>
              <w:t>Target</w:t>
            </w:r>
          </w:p>
        </w:tc>
        <w:tc>
          <w:tcPr>
            <w:tcW w:type="dxa" w:w="4896"/>
            <w:shd w:fill="1F4E79"/>
            <w:vAlign w:val="top"/>
          </w:tcPr>
          <w:p>
            <w:pPr>
              <w:jc w:val="center"/>
            </w:pPr>
            <w:r/>
            <w:r>
              <w:rPr>
                <w:rFonts w:ascii="Aptos" w:hAnsi="Aptos"/>
                <w:b/>
                <w:color w:val="FFFFFF"/>
                <w:sz w:val="13"/>
              </w:rPr>
              <w:t>Revision Intent</w:t>
            </w:r>
          </w:p>
        </w:tc>
      </w:tr>
      <w:tr>
        <w:tc>
          <w:tcPr>
            <w:tcW w:type="dxa" w:w="3311"/>
            <w:vAlign w:val="top"/>
          </w:tcPr>
          <w:p>
            <w:r/>
            <w:r>
              <w:rPr>
                <w:rFonts w:ascii="Aptos" w:hAnsi="Aptos"/>
                <w:b w:val="0"/>
                <w:sz w:val="13"/>
              </w:rPr>
              <w:t>01 AVCI Engineering Standard</w:t>
            </w:r>
          </w:p>
        </w:tc>
        <w:tc>
          <w:tcPr>
            <w:tcW w:type="dxa" w:w="1080"/>
            <w:vAlign w:val="top"/>
          </w:tcPr>
          <w:p>
            <w:r/>
            <w:r>
              <w:rPr>
                <w:rFonts w:ascii="Aptos" w:hAnsi="Aptos"/>
                <w:b w:val="0"/>
                <w:sz w:val="13"/>
              </w:rPr>
              <w:t>v2.0</w:t>
            </w:r>
          </w:p>
        </w:tc>
        <w:tc>
          <w:tcPr>
            <w:tcW w:type="dxa" w:w="1080"/>
            <w:vAlign w:val="top"/>
          </w:tcPr>
          <w:p>
            <w:r/>
            <w:r>
              <w:rPr>
                <w:rFonts w:ascii="Aptos" w:hAnsi="Aptos"/>
                <w:b w:val="0"/>
                <w:sz w:val="13"/>
              </w:rPr>
              <w:t>v3.0</w:t>
            </w:r>
          </w:p>
        </w:tc>
        <w:tc>
          <w:tcPr>
            <w:tcW w:type="dxa" w:w="4896"/>
            <w:vAlign w:val="top"/>
          </w:tcPr>
          <w:p>
            <w:r/>
            <w:r>
              <w:rPr>
                <w:rFonts w:ascii="Aptos" w:hAnsi="Aptos"/>
                <w:b w:val="0"/>
                <w:sz w:val="13"/>
              </w:rPr>
              <w:t>Make the 20 principles part of the universal quality gate and AVCI evidence schema.</w:t>
            </w:r>
          </w:p>
        </w:tc>
      </w:tr>
      <w:tr>
        <w:tc>
          <w:tcPr>
            <w:tcW w:type="dxa" w:w="3311"/>
            <w:shd w:fill="F7FBFF"/>
            <w:vAlign w:val="top"/>
          </w:tcPr>
          <w:p>
            <w:r/>
            <w:r>
              <w:rPr>
                <w:rFonts w:ascii="Aptos" w:hAnsi="Aptos"/>
                <w:b w:val="0"/>
                <w:sz w:val="13"/>
              </w:rPr>
              <w:t>01A Enterprise Design Principles and SOLID Enforcement Layer</w:t>
            </w:r>
          </w:p>
        </w:tc>
        <w:tc>
          <w:tcPr>
            <w:tcW w:type="dxa" w:w="1080"/>
            <w:shd w:fill="F7FBFF"/>
            <w:vAlign w:val="top"/>
          </w:tcPr>
          <w:p>
            <w:r/>
            <w:r>
              <w:rPr>
                <w:rFonts w:ascii="Aptos" w:hAnsi="Aptos"/>
                <w:b w:val="0"/>
                <w:sz w:val="13"/>
              </w:rPr>
              <w:t>New</w:t>
            </w:r>
          </w:p>
        </w:tc>
        <w:tc>
          <w:tcPr>
            <w:tcW w:type="dxa" w:w="1080"/>
            <w:shd w:fill="F7FBFF"/>
            <w:vAlign w:val="top"/>
          </w:tcPr>
          <w:p>
            <w:r/>
            <w:r>
              <w:rPr>
                <w:rFonts w:ascii="Aptos" w:hAnsi="Aptos"/>
                <w:b w:val="0"/>
                <w:sz w:val="13"/>
              </w:rPr>
              <w:t>v1.0</w:t>
            </w:r>
          </w:p>
        </w:tc>
        <w:tc>
          <w:tcPr>
            <w:tcW w:type="dxa" w:w="4896"/>
            <w:shd w:fill="F7FBFF"/>
            <w:vAlign w:val="top"/>
          </w:tcPr>
          <w:p>
            <w:r/>
            <w:r>
              <w:rPr>
                <w:rFonts w:ascii="Aptos" w:hAnsi="Aptos"/>
                <w:b w:val="0"/>
                <w:sz w:val="13"/>
              </w:rPr>
              <w:t>Create canonical companion standard authorized by this ADR.</w:t>
            </w:r>
          </w:p>
        </w:tc>
      </w:tr>
      <w:tr>
        <w:tc>
          <w:tcPr>
            <w:tcW w:type="dxa" w:w="3311"/>
            <w:vAlign w:val="top"/>
          </w:tcPr>
          <w:p>
            <w:r/>
            <w:r>
              <w:rPr>
                <w:rFonts w:ascii="Aptos" w:hAnsi="Aptos"/>
                <w:b w:val="0"/>
                <w:sz w:val="13"/>
              </w:rPr>
              <w:t>02 Engineering Blueprint</w:t>
            </w:r>
          </w:p>
        </w:tc>
        <w:tc>
          <w:tcPr>
            <w:tcW w:type="dxa" w:w="1080"/>
            <w:vAlign w:val="top"/>
          </w:tcPr>
          <w:p>
            <w:r/>
            <w:r>
              <w:rPr>
                <w:rFonts w:ascii="Aptos" w:hAnsi="Aptos"/>
                <w:b w:val="0"/>
                <w:sz w:val="13"/>
              </w:rPr>
              <w:t>v4.0</w:t>
            </w:r>
          </w:p>
        </w:tc>
        <w:tc>
          <w:tcPr>
            <w:tcW w:type="dxa" w:w="1080"/>
            <w:vAlign w:val="top"/>
          </w:tcPr>
          <w:p>
            <w:r/>
            <w:r>
              <w:rPr>
                <w:rFonts w:ascii="Aptos" w:hAnsi="Aptos"/>
                <w:b w:val="0"/>
                <w:sz w:val="13"/>
              </w:rPr>
              <w:t>v5.0</w:t>
            </w:r>
          </w:p>
        </w:tc>
        <w:tc>
          <w:tcPr>
            <w:tcW w:type="dxa" w:w="4896"/>
            <w:vAlign w:val="top"/>
          </w:tcPr>
          <w:p>
            <w:r/>
            <w:r>
              <w:rPr>
                <w:rFonts w:ascii="Aptos" w:hAnsi="Aptos"/>
                <w:b w:val="0"/>
                <w:sz w:val="13"/>
              </w:rPr>
              <w:t>Make the principles architecture invariants and service-boundary reject gates.</w:t>
            </w:r>
          </w:p>
        </w:tc>
      </w:tr>
      <w:tr>
        <w:tc>
          <w:tcPr>
            <w:tcW w:type="dxa" w:w="3311"/>
            <w:shd w:fill="F7FBFF"/>
            <w:vAlign w:val="top"/>
          </w:tcPr>
          <w:p>
            <w:r/>
            <w:r>
              <w:rPr>
                <w:rFonts w:ascii="Aptos" w:hAnsi="Aptos"/>
                <w:b w:val="0"/>
                <w:sz w:val="13"/>
              </w:rPr>
              <w:t>03 Developer Guide</w:t>
            </w:r>
          </w:p>
        </w:tc>
        <w:tc>
          <w:tcPr>
            <w:tcW w:type="dxa" w:w="1080"/>
            <w:shd w:fill="F7FBFF"/>
            <w:vAlign w:val="top"/>
          </w:tcPr>
          <w:p>
            <w:r/>
            <w:r>
              <w:rPr>
                <w:rFonts w:ascii="Aptos" w:hAnsi="Aptos"/>
                <w:b w:val="0"/>
                <w:sz w:val="13"/>
              </w:rPr>
              <w:t>v3.0</w:t>
            </w:r>
          </w:p>
        </w:tc>
        <w:tc>
          <w:tcPr>
            <w:tcW w:type="dxa" w:w="1080"/>
            <w:shd w:fill="F7FBFF"/>
            <w:vAlign w:val="top"/>
          </w:tcPr>
          <w:p>
            <w:r/>
            <w:r>
              <w:rPr>
                <w:rFonts w:ascii="Aptos" w:hAnsi="Aptos"/>
                <w:b w:val="0"/>
                <w:sz w:val="13"/>
              </w:rPr>
              <w:t>v4.0</w:t>
            </w:r>
          </w:p>
        </w:tc>
        <w:tc>
          <w:tcPr>
            <w:tcW w:type="dxa" w:w="4896"/>
            <w:shd w:fill="F7FBFF"/>
            <w:vAlign w:val="top"/>
          </w:tcPr>
          <w:p>
            <w:r/>
            <w:r>
              <w:rPr>
                <w:rFonts w:ascii="Aptos" w:hAnsi="Aptos"/>
                <w:b w:val="0"/>
                <w:sz w:val="13"/>
              </w:rPr>
              <w:t>Translate principles into coding standards, package boundaries, and developer workflow rules.</w:t>
            </w:r>
          </w:p>
        </w:tc>
      </w:tr>
      <w:tr>
        <w:tc>
          <w:tcPr>
            <w:tcW w:type="dxa" w:w="3311"/>
            <w:vAlign w:val="top"/>
          </w:tcPr>
          <w:p>
            <w:r/>
            <w:r>
              <w:rPr>
                <w:rFonts w:ascii="Aptos" w:hAnsi="Aptos"/>
                <w:b w:val="0"/>
                <w:sz w:val="13"/>
              </w:rPr>
              <w:t>04 Technology Stack</w:t>
            </w:r>
          </w:p>
        </w:tc>
        <w:tc>
          <w:tcPr>
            <w:tcW w:type="dxa" w:w="1080"/>
            <w:vAlign w:val="top"/>
          </w:tcPr>
          <w:p>
            <w:r/>
            <w:r>
              <w:rPr>
                <w:rFonts w:ascii="Aptos" w:hAnsi="Aptos"/>
                <w:b w:val="0"/>
                <w:sz w:val="13"/>
              </w:rPr>
              <w:t>v7.0</w:t>
            </w:r>
          </w:p>
        </w:tc>
        <w:tc>
          <w:tcPr>
            <w:tcW w:type="dxa" w:w="1080"/>
            <w:vAlign w:val="top"/>
          </w:tcPr>
          <w:p>
            <w:r/>
            <w:r>
              <w:rPr>
                <w:rFonts w:ascii="Aptos" w:hAnsi="Aptos"/>
                <w:b w:val="0"/>
                <w:sz w:val="13"/>
              </w:rPr>
              <w:t>v8.0</w:t>
            </w:r>
          </w:p>
        </w:tc>
        <w:tc>
          <w:tcPr>
            <w:tcW w:type="dxa" w:w="4896"/>
            <w:vAlign w:val="top"/>
          </w:tcPr>
          <w:p>
            <w:r/>
            <w:r>
              <w:rPr>
                <w:rFonts w:ascii="Aptos" w:hAnsi="Aptos"/>
                <w:b w:val="0"/>
                <w:sz w:val="13"/>
              </w:rPr>
              <w:t>Add/confirm enforcement tooling and architecture fitness-function support.</w:t>
            </w:r>
          </w:p>
        </w:tc>
      </w:tr>
      <w:tr>
        <w:tc>
          <w:tcPr>
            <w:tcW w:type="dxa" w:w="3311"/>
            <w:shd w:fill="F7FBFF"/>
            <w:vAlign w:val="top"/>
          </w:tcPr>
          <w:p>
            <w:r/>
            <w:r>
              <w:rPr>
                <w:rFonts w:ascii="Aptos" w:hAnsi="Aptos"/>
                <w:b w:val="0"/>
                <w:sz w:val="13"/>
              </w:rPr>
              <w:t>05 Information Nervous System</w:t>
            </w:r>
          </w:p>
        </w:tc>
        <w:tc>
          <w:tcPr>
            <w:tcW w:type="dxa" w:w="1080"/>
            <w:shd w:fill="F7FBFF"/>
            <w:vAlign w:val="top"/>
          </w:tcPr>
          <w:p>
            <w:r/>
            <w:r>
              <w:rPr>
                <w:rFonts w:ascii="Aptos" w:hAnsi="Aptos"/>
                <w:b w:val="0"/>
                <w:sz w:val="13"/>
              </w:rPr>
              <w:t>v3.0</w:t>
            </w:r>
          </w:p>
        </w:tc>
        <w:tc>
          <w:tcPr>
            <w:tcW w:type="dxa" w:w="1080"/>
            <w:shd w:fill="F7FBFF"/>
            <w:vAlign w:val="top"/>
          </w:tcPr>
          <w:p>
            <w:r/>
            <w:r>
              <w:rPr>
                <w:rFonts w:ascii="Aptos" w:hAnsi="Aptos"/>
                <w:b w:val="0"/>
                <w:sz w:val="13"/>
              </w:rPr>
              <w:t>v4.0 or v3.1</w:t>
            </w:r>
          </w:p>
        </w:tc>
        <w:tc>
          <w:tcPr>
            <w:tcW w:type="dxa" w:w="4896"/>
            <w:shd w:fill="F7FBFF"/>
            <w:vAlign w:val="top"/>
          </w:tcPr>
          <w:p>
            <w:r/>
            <w:r>
              <w:rPr>
                <w:rFonts w:ascii="Aptos" w:hAnsi="Aptos"/>
                <w:b w:val="0"/>
                <w:sz w:val="13"/>
              </w:rPr>
              <w:t>Add principle metadata and conflict checks for Auto-Learn and retrieval outputs.</w:t>
            </w:r>
          </w:p>
        </w:tc>
      </w:tr>
      <w:tr>
        <w:tc>
          <w:tcPr>
            <w:tcW w:type="dxa" w:w="3311"/>
            <w:vAlign w:val="top"/>
          </w:tcPr>
          <w:p>
            <w:r/>
            <w:r>
              <w:rPr>
                <w:rFonts w:ascii="Aptos" w:hAnsi="Aptos"/>
                <w:b w:val="0"/>
                <w:sz w:val="13"/>
              </w:rPr>
              <w:t>06 CLAUDE.md Reference</w:t>
            </w:r>
          </w:p>
        </w:tc>
        <w:tc>
          <w:tcPr>
            <w:tcW w:type="dxa" w:w="1080"/>
            <w:vAlign w:val="top"/>
          </w:tcPr>
          <w:p>
            <w:r/>
            <w:r>
              <w:rPr>
                <w:rFonts w:ascii="Aptos" w:hAnsi="Aptos"/>
                <w:b w:val="0"/>
                <w:sz w:val="13"/>
              </w:rPr>
              <w:t>v2.0</w:t>
            </w:r>
          </w:p>
        </w:tc>
        <w:tc>
          <w:tcPr>
            <w:tcW w:type="dxa" w:w="1080"/>
            <w:vAlign w:val="top"/>
          </w:tcPr>
          <w:p>
            <w:r/>
            <w:r>
              <w:rPr>
                <w:rFonts w:ascii="Aptos" w:hAnsi="Aptos"/>
                <w:b w:val="0"/>
                <w:sz w:val="13"/>
              </w:rPr>
              <w:t>v3.0</w:t>
            </w:r>
          </w:p>
        </w:tc>
        <w:tc>
          <w:tcPr>
            <w:tcW w:type="dxa" w:w="4896"/>
            <w:vAlign w:val="top"/>
          </w:tcPr>
          <w:p>
            <w:r/>
            <w:r>
              <w:rPr>
                <w:rFonts w:ascii="Aptos" w:hAnsi="Aptos"/>
                <w:b w:val="0"/>
                <w:sz w:val="13"/>
              </w:rPr>
              <w:t>Make principles part of repository rule hierarchy for human and AI-assisted development.</w:t>
            </w:r>
          </w:p>
        </w:tc>
      </w:tr>
      <w:tr>
        <w:tc>
          <w:tcPr>
            <w:tcW w:type="dxa" w:w="3311"/>
            <w:shd w:fill="F7FBFF"/>
            <w:vAlign w:val="top"/>
          </w:tcPr>
          <w:p>
            <w:r/>
            <w:r>
              <w:rPr>
                <w:rFonts w:ascii="Aptos" w:hAnsi="Aptos"/>
                <w:b w:val="0"/>
                <w:sz w:val="13"/>
              </w:rPr>
              <w:t>07 Skills Framework</w:t>
            </w:r>
          </w:p>
        </w:tc>
        <w:tc>
          <w:tcPr>
            <w:tcW w:type="dxa" w:w="1080"/>
            <w:shd w:fill="F7FBFF"/>
            <w:vAlign w:val="top"/>
          </w:tcPr>
          <w:p>
            <w:r/>
            <w:r>
              <w:rPr>
                <w:rFonts w:ascii="Aptos" w:hAnsi="Aptos"/>
                <w:b w:val="0"/>
                <w:sz w:val="13"/>
              </w:rPr>
              <w:t>v2.0</w:t>
            </w:r>
          </w:p>
        </w:tc>
        <w:tc>
          <w:tcPr>
            <w:tcW w:type="dxa" w:w="1080"/>
            <w:shd w:fill="F7FBFF"/>
            <w:vAlign w:val="top"/>
          </w:tcPr>
          <w:p>
            <w:r/>
            <w:r>
              <w:rPr>
                <w:rFonts w:ascii="Aptos" w:hAnsi="Aptos"/>
                <w:b w:val="0"/>
                <w:sz w:val="13"/>
              </w:rPr>
              <w:t>v3.0 or v2.1</w:t>
            </w:r>
          </w:p>
        </w:tc>
        <w:tc>
          <w:tcPr>
            <w:tcW w:type="dxa" w:w="4896"/>
            <w:shd w:fill="F7FBFF"/>
            <w:vAlign w:val="top"/>
          </w:tcPr>
          <w:p>
            <w:r/>
            <w:r>
              <w:rPr>
                <w:rFonts w:ascii="Aptos" w:hAnsi="Aptos"/>
                <w:b w:val="0"/>
                <w:sz w:val="13"/>
              </w:rPr>
              <w:t>Add skill gates for SOLID, DDD, Clean Architecture, fitness functions, and safe remediation.</w:t>
            </w:r>
          </w:p>
        </w:tc>
      </w:tr>
      <w:tr>
        <w:tc>
          <w:tcPr>
            <w:tcW w:type="dxa" w:w="3311"/>
            <w:vAlign w:val="top"/>
          </w:tcPr>
          <w:p>
            <w:r/>
            <w:r>
              <w:rPr>
                <w:rFonts w:ascii="Aptos" w:hAnsi="Aptos"/>
                <w:b w:val="0"/>
                <w:sz w:val="13"/>
              </w:rPr>
              <w:t>08 Unit Testing Standard</w:t>
            </w:r>
          </w:p>
        </w:tc>
        <w:tc>
          <w:tcPr>
            <w:tcW w:type="dxa" w:w="1080"/>
            <w:vAlign w:val="top"/>
          </w:tcPr>
          <w:p>
            <w:r/>
            <w:r>
              <w:rPr>
                <w:rFonts w:ascii="Aptos" w:hAnsi="Aptos"/>
                <w:b w:val="0"/>
                <w:sz w:val="13"/>
              </w:rPr>
              <w:t>v2.0</w:t>
            </w:r>
          </w:p>
        </w:tc>
        <w:tc>
          <w:tcPr>
            <w:tcW w:type="dxa" w:w="1080"/>
            <w:vAlign w:val="top"/>
          </w:tcPr>
          <w:p>
            <w:r/>
            <w:r>
              <w:rPr>
                <w:rFonts w:ascii="Aptos" w:hAnsi="Aptos"/>
                <w:b w:val="0"/>
                <w:sz w:val="13"/>
              </w:rPr>
              <w:t>v3.0</w:t>
            </w:r>
          </w:p>
        </w:tc>
        <w:tc>
          <w:tcPr>
            <w:tcW w:type="dxa" w:w="4896"/>
            <w:vAlign w:val="top"/>
          </w:tcPr>
          <w:p>
            <w:r/>
            <w:r>
              <w:rPr>
                <w:rFonts w:ascii="Aptos" w:hAnsi="Aptos"/>
                <w:b w:val="0"/>
                <w:sz w:val="13"/>
              </w:rPr>
              <w:t>Add architecture tests, boundary tests, determinism, idempotency, rollback, and mutation gates.</w:t>
            </w:r>
          </w:p>
        </w:tc>
      </w:tr>
      <w:tr>
        <w:tc>
          <w:tcPr>
            <w:tcW w:type="dxa" w:w="3311"/>
            <w:shd w:fill="F7FBFF"/>
            <w:vAlign w:val="top"/>
          </w:tcPr>
          <w:p>
            <w:r/>
            <w:r>
              <w:rPr>
                <w:rFonts w:ascii="Aptos" w:hAnsi="Aptos"/>
                <w:b w:val="0"/>
                <w:sz w:val="13"/>
              </w:rPr>
              <w:t>09 Greenfield Environment Standard</w:t>
            </w:r>
          </w:p>
        </w:tc>
        <w:tc>
          <w:tcPr>
            <w:tcW w:type="dxa" w:w="1080"/>
            <w:shd w:fill="F7FBFF"/>
            <w:vAlign w:val="top"/>
          </w:tcPr>
          <w:p>
            <w:r/>
            <w:r>
              <w:rPr>
                <w:rFonts w:ascii="Aptos" w:hAnsi="Aptos"/>
                <w:b w:val="0"/>
                <w:sz w:val="13"/>
              </w:rPr>
              <w:t>v2.0</w:t>
            </w:r>
          </w:p>
        </w:tc>
        <w:tc>
          <w:tcPr>
            <w:tcW w:type="dxa" w:w="1080"/>
            <w:shd w:fill="F7FBFF"/>
            <w:vAlign w:val="top"/>
          </w:tcPr>
          <w:p>
            <w:r/>
            <w:r>
              <w:rPr>
                <w:rFonts w:ascii="Aptos" w:hAnsi="Aptos"/>
                <w:b w:val="0"/>
                <w:sz w:val="13"/>
              </w:rPr>
              <w:t>v3.0 or v2.1</w:t>
            </w:r>
          </w:p>
        </w:tc>
        <w:tc>
          <w:tcPr>
            <w:tcW w:type="dxa" w:w="4896"/>
            <w:shd w:fill="F7FBFF"/>
            <w:vAlign w:val="top"/>
          </w:tcPr>
          <w:p>
            <w:r/>
            <w:r>
              <w:rPr>
                <w:rFonts w:ascii="Aptos" w:hAnsi="Aptos"/>
                <w:b w:val="0"/>
                <w:sz w:val="13"/>
              </w:rPr>
              <w:t>Ensure local tools support principle enforcement before CI.</w:t>
            </w:r>
          </w:p>
        </w:tc>
      </w:tr>
      <w:tr>
        <w:tc>
          <w:tcPr>
            <w:tcW w:type="dxa" w:w="3311"/>
            <w:vAlign w:val="top"/>
          </w:tcPr>
          <w:p>
            <w:r/>
            <w:r>
              <w:rPr>
                <w:rFonts w:ascii="Aptos" w:hAnsi="Aptos"/>
                <w:b w:val="0"/>
                <w:sz w:val="13"/>
              </w:rPr>
              <w:t>10 MicroFunction Framework</w:t>
            </w:r>
          </w:p>
        </w:tc>
        <w:tc>
          <w:tcPr>
            <w:tcW w:type="dxa" w:w="1080"/>
            <w:vAlign w:val="top"/>
          </w:tcPr>
          <w:p>
            <w:r/>
            <w:r>
              <w:rPr>
                <w:rFonts w:ascii="Aptos" w:hAnsi="Aptos"/>
                <w:b w:val="0"/>
                <w:sz w:val="13"/>
              </w:rPr>
              <w:t>v2.2</w:t>
            </w:r>
          </w:p>
        </w:tc>
        <w:tc>
          <w:tcPr>
            <w:tcW w:type="dxa" w:w="1080"/>
            <w:vAlign w:val="top"/>
          </w:tcPr>
          <w:p>
            <w:r/>
            <w:r>
              <w:rPr>
                <w:rFonts w:ascii="Aptos" w:hAnsi="Aptos"/>
                <w:b w:val="0"/>
                <w:sz w:val="13"/>
              </w:rPr>
              <w:t>v3.0</w:t>
            </w:r>
          </w:p>
        </w:tc>
        <w:tc>
          <w:tcPr>
            <w:tcW w:type="dxa" w:w="4896"/>
            <w:vAlign w:val="top"/>
          </w:tcPr>
          <w:p>
            <w:r/>
            <w:r>
              <w:rPr>
                <w:rFonts w:ascii="Aptos" w:hAnsi="Aptos"/>
                <w:b w:val="0"/>
                <w:sz w:val="13"/>
              </w:rPr>
              <w:t>Enforce single-responsibility, idempotent, observable, secure, reversible MicroFunctions.</w:t>
            </w:r>
          </w:p>
        </w:tc>
      </w:tr>
      <w:tr>
        <w:tc>
          <w:tcPr>
            <w:tcW w:type="dxa" w:w="3311"/>
            <w:shd w:fill="F7FBFF"/>
            <w:vAlign w:val="top"/>
          </w:tcPr>
          <w:p>
            <w:r/>
            <w:r>
              <w:rPr>
                <w:rFonts w:ascii="Aptos" w:hAnsi="Aptos"/>
                <w:b w:val="0"/>
                <w:sz w:val="13"/>
              </w:rPr>
              <w:t>10A/10B/10C/10D MicroFunction documents</w:t>
            </w:r>
          </w:p>
        </w:tc>
        <w:tc>
          <w:tcPr>
            <w:tcW w:type="dxa" w:w="1080"/>
            <w:shd w:fill="F7FBFF"/>
            <w:vAlign w:val="top"/>
          </w:tcPr>
          <w:p>
            <w:r/>
            <w:r>
              <w:rPr>
                <w:rFonts w:ascii="Aptos" w:hAnsi="Aptos"/>
                <w:b w:val="0"/>
                <w:sz w:val="13"/>
              </w:rPr>
              <w:t>v1.x</w:t>
            </w:r>
          </w:p>
        </w:tc>
        <w:tc>
          <w:tcPr>
            <w:tcW w:type="dxa" w:w="1080"/>
            <w:shd w:fill="F7FBFF"/>
            <w:vAlign w:val="top"/>
          </w:tcPr>
          <w:p>
            <w:r/>
            <w:r>
              <w:rPr>
                <w:rFonts w:ascii="Aptos" w:hAnsi="Aptos"/>
                <w:b w:val="0"/>
                <w:sz w:val="13"/>
              </w:rPr>
              <w:t>v2.0 or v1.x+</w:t>
            </w:r>
          </w:p>
        </w:tc>
        <w:tc>
          <w:tcPr>
            <w:tcW w:type="dxa" w:w="4896"/>
            <w:shd w:fill="F7FBFF"/>
            <w:vAlign w:val="top"/>
          </w:tcPr>
          <w:p>
            <w:r/>
            <w:r>
              <w:rPr>
                <w:rFonts w:ascii="Aptos" w:hAnsi="Aptos"/>
                <w:b w:val="0"/>
                <w:sz w:val="13"/>
              </w:rPr>
              <w:t>Add design-principle checks, diagrams, implementation rules, and catalog metadata.</w:t>
            </w:r>
          </w:p>
        </w:tc>
      </w:tr>
      <w:tr>
        <w:tc>
          <w:tcPr>
            <w:tcW w:type="dxa" w:w="3311"/>
            <w:vAlign w:val="top"/>
          </w:tcPr>
          <w:p>
            <w:r/>
            <w:r>
              <w:rPr>
                <w:rFonts w:ascii="Aptos" w:hAnsi="Aptos"/>
                <w:b w:val="0"/>
                <w:sz w:val="13"/>
              </w:rPr>
              <w:t>11 DevSecOps Standard</w:t>
            </w:r>
          </w:p>
        </w:tc>
        <w:tc>
          <w:tcPr>
            <w:tcW w:type="dxa" w:w="1080"/>
            <w:vAlign w:val="top"/>
          </w:tcPr>
          <w:p>
            <w:r/>
            <w:r>
              <w:rPr>
                <w:rFonts w:ascii="Aptos" w:hAnsi="Aptos"/>
                <w:b w:val="0"/>
                <w:sz w:val="13"/>
              </w:rPr>
              <w:t>v2.0</w:t>
            </w:r>
          </w:p>
        </w:tc>
        <w:tc>
          <w:tcPr>
            <w:tcW w:type="dxa" w:w="1080"/>
            <w:vAlign w:val="top"/>
          </w:tcPr>
          <w:p>
            <w:r/>
            <w:r>
              <w:rPr>
                <w:rFonts w:ascii="Aptos" w:hAnsi="Aptos"/>
                <w:b w:val="0"/>
                <w:sz w:val="13"/>
              </w:rPr>
              <w:t>v3.0</w:t>
            </w:r>
          </w:p>
        </w:tc>
        <w:tc>
          <w:tcPr>
            <w:tcW w:type="dxa" w:w="4896"/>
            <w:vAlign w:val="top"/>
          </w:tcPr>
          <w:p>
            <w:r/>
            <w:r>
              <w:rPr>
                <w:rFonts w:ascii="Aptos" w:hAnsi="Aptos"/>
                <w:b w:val="0"/>
                <w:sz w:val="13"/>
              </w:rPr>
              <w:t>Add principle gates to Plan-Code-Build-Test-Release-Deploy-Operate-Improve lifecycle.</w:t>
            </w:r>
          </w:p>
        </w:tc>
      </w:tr>
      <w:tr>
        <w:tc>
          <w:tcPr>
            <w:tcW w:type="dxa" w:w="3311"/>
            <w:shd w:fill="F7FBFF"/>
            <w:vAlign w:val="top"/>
          </w:tcPr>
          <w:p>
            <w:r/>
            <w:r>
              <w:rPr>
                <w:rFonts w:ascii="Aptos" w:hAnsi="Aptos"/>
                <w:b w:val="0"/>
                <w:sz w:val="13"/>
              </w:rPr>
              <w:t>12 CLAUDE.md Rollout Starter Pack</w:t>
            </w:r>
          </w:p>
        </w:tc>
        <w:tc>
          <w:tcPr>
            <w:tcW w:type="dxa" w:w="1080"/>
            <w:shd w:fill="F7FBFF"/>
            <w:vAlign w:val="top"/>
          </w:tcPr>
          <w:p>
            <w:r/>
            <w:r>
              <w:rPr>
                <w:rFonts w:ascii="Aptos" w:hAnsi="Aptos"/>
                <w:b w:val="0"/>
                <w:sz w:val="13"/>
              </w:rPr>
              <w:t>v2.0</w:t>
            </w:r>
          </w:p>
        </w:tc>
        <w:tc>
          <w:tcPr>
            <w:tcW w:type="dxa" w:w="1080"/>
            <w:shd w:fill="F7FBFF"/>
            <w:vAlign w:val="top"/>
          </w:tcPr>
          <w:p>
            <w:r/>
            <w:r>
              <w:rPr>
                <w:rFonts w:ascii="Aptos" w:hAnsi="Aptos"/>
                <w:b w:val="0"/>
                <w:sz w:val="13"/>
              </w:rPr>
              <w:t>v3.0</w:t>
            </w:r>
          </w:p>
        </w:tc>
        <w:tc>
          <w:tcPr>
            <w:tcW w:type="dxa" w:w="4896"/>
            <w:shd w:fill="F7FBFF"/>
            <w:vAlign w:val="top"/>
          </w:tcPr>
          <w:p>
            <w:r/>
            <w:r>
              <w:rPr>
                <w:rFonts w:ascii="Aptos" w:hAnsi="Aptos"/>
                <w:b w:val="0"/>
                <w:sz w:val="13"/>
              </w:rPr>
              <w:t>Add hook, CI, PR template, and CODEOWNERS enforcement.</w:t>
            </w:r>
          </w:p>
        </w:tc>
      </w:tr>
      <w:tr>
        <w:tc>
          <w:tcPr>
            <w:tcW w:type="dxa" w:w="3311"/>
            <w:vAlign w:val="top"/>
          </w:tcPr>
          <w:p>
            <w:r/>
            <w:r>
              <w:rPr>
                <w:rFonts w:ascii="Aptos" w:hAnsi="Aptos"/>
                <w:b w:val="0"/>
                <w:sz w:val="13"/>
              </w:rPr>
              <w:t>13 Knowledge Governance</w:t>
            </w:r>
          </w:p>
        </w:tc>
        <w:tc>
          <w:tcPr>
            <w:tcW w:type="dxa" w:w="1080"/>
            <w:vAlign w:val="top"/>
          </w:tcPr>
          <w:p>
            <w:r/>
            <w:r>
              <w:rPr>
                <w:rFonts w:ascii="Aptos" w:hAnsi="Aptos"/>
                <w:b w:val="0"/>
                <w:sz w:val="13"/>
              </w:rPr>
              <w:t>v1.0</w:t>
            </w:r>
          </w:p>
        </w:tc>
        <w:tc>
          <w:tcPr>
            <w:tcW w:type="dxa" w:w="1080"/>
            <w:vAlign w:val="top"/>
          </w:tcPr>
          <w:p>
            <w:r/>
            <w:r>
              <w:rPr>
                <w:rFonts w:ascii="Aptos" w:hAnsi="Aptos"/>
                <w:b w:val="0"/>
                <w:sz w:val="13"/>
              </w:rPr>
              <w:t>v2.0 or v1.1</w:t>
            </w:r>
          </w:p>
        </w:tc>
        <w:tc>
          <w:tcPr>
            <w:tcW w:type="dxa" w:w="4896"/>
            <w:vAlign w:val="top"/>
          </w:tcPr>
          <w:p>
            <w:r/>
            <w:r>
              <w:rPr>
                <w:rFonts w:ascii="Aptos" w:hAnsi="Aptos"/>
                <w:b w:val="0"/>
                <w:sz w:val="13"/>
              </w:rPr>
              <w:t>Prevent learned knowledge from conflicting with approved architecture and principles.</w:t>
            </w:r>
          </w:p>
        </w:tc>
      </w:tr>
      <w:tr>
        <w:tc>
          <w:tcPr>
            <w:tcW w:type="dxa" w:w="3311"/>
            <w:shd w:fill="F7FBFF"/>
            <w:vAlign w:val="top"/>
          </w:tcPr>
          <w:p>
            <w:r/>
            <w:r>
              <w:rPr>
                <w:rFonts w:ascii="Aptos" w:hAnsi="Aptos"/>
                <w:b w:val="0"/>
                <w:sz w:val="13"/>
              </w:rPr>
              <w:t>14 ADR/TDL Standard</w:t>
            </w:r>
          </w:p>
        </w:tc>
        <w:tc>
          <w:tcPr>
            <w:tcW w:type="dxa" w:w="1080"/>
            <w:shd w:fill="F7FBFF"/>
            <w:vAlign w:val="top"/>
          </w:tcPr>
          <w:p>
            <w:r/>
            <w:r>
              <w:rPr>
                <w:rFonts w:ascii="Aptos" w:hAnsi="Aptos"/>
                <w:b w:val="0"/>
                <w:sz w:val="13"/>
              </w:rPr>
              <w:t>v1.0</w:t>
            </w:r>
          </w:p>
        </w:tc>
        <w:tc>
          <w:tcPr>
            <w:tcW w:type="dxa" w:w="1080"/>
            <w:shd w:fill="F7FBFF"/>
            <w:vAlign w:val="top"/>
          </w:tcPr>
          <w:p>
            <w:r/>
            <w:r>
              <w:rPr>
                <w:rFonts w:ascii="Aptos" w:hAnsi="Aptos"/>
                <w:b w:val="0"/>
                <w:sz w:val="13"/>
              </w:rPr>
              <w:t>v2.0 or v1.1</w:t>
            </w:r>
          </w:p>
        </w:tc>
        <w:tc>
          <w:tcPr>
            <w:tcW w:type="dxa" w:w="4896"/>
            <w:shd w:fill="F7FBFF"/>
            <w:vAlign w:val="top"/>
          </w:tcPr>
          <w:p>
            <w:r/>
            <w:r>
              <w:rPr>
                <w:rFonts w:ascii="Aptos" w:hAnsi="Aptos"/>
                <w:b w:val="0"/>
                <w:sz w:val="13"/>
              </w:rPr>
              <w:t>Add Design Principles Impact Assessment to every ADR/TDL.</w:t>
            </w:r>
          </w:p>
        </w:tc>
      </w:tr>
      <w:tr>
        <w:tc>
          <w:tcPr>
            <w:tcW w:type="dxa" w:w="3311"/>
            <w:vAlign w:val="top"/>
          </w:tcPr>
          <w:p>
            <w:r/>
            <w:r>
              <w:rPr>
                <w:rFonts w:ascii="Aptos" w:hAnsi="Aptos"/>
                <w:b w:val="0"/>
                <w:sz w:val="13"/>
              </w:rPr>
              <w:t>15 API Contract Standard</w:t>
            </w:r>
          </w:p>
        </w:tc>
        <w:tc>
          <w:tcPr>
            <w:tcW w:type="dxa" w:w="1080"/>
            <w:vAlign w:val="top"/>
          </w:tcPr>
          <w:p>
            <w:r/>
            <w:r>
              <w:rPr>
                <w:rFonts w:ascii="Aptos" w:hAnsi="Aptos"/>
                <w:b w:val="0"/>
                <w:sz w:val="13"/>
              </w:rPr>
              <w:t>v1.0</w:t>
            </w:r>
          </w:p>
        </w:tc>
        <w:tc>
          <w:tcPr>
            <w:tcW w:type="dxa" w:w="1080"/>
            <w:vAlign w:val="top"/>
          </w:tcPr>
          <w:p>
            <w:r/>
            <w:r>
              <w:rPr>
                <w:rFonts w:ascii="Aptos" w:hAnsi="Aptos"/>
                <w:b w:val="0"/>
                <w:sz w:val="13"/>
              </w:rPr>
              <w:t>v2.0 or v1.1</w:t>
            </w:r>
          </w:p>
        </w:tc>
        <w:tc>
          <w:tcPr>
            <w:tcW w:type="dxa" w:w="4896"/>
            <w:vAlign w:val="top"/>
          </w:tcPr>
          <w:p>
            <w:r/>
            <w:r>
              <w:rPr>
                <w:rFonts w:ascii="Aptos" w:hAnsi="Aptos"/>
                <w:b w:val="0"/>
                <w:sz w:val="13"/>
              </w:rPr>
              <w:t>Strengthen contract-first, idempotency, backward compatibility, error safety, and no hidden coupling.</w:t>
            </w:r>
          </w:p>
        </w:tc>
      </w:tr>
      <w:tr>
        <w:tc>
          <w:tcPr>
            <w:tcW w:type="dxa" w:w="3311"/>
            <w:shd w:fill="F7FBFF"/>
            <w:vAlign w:val="top"/>
          </w:tcPr>
          <w:p>
            <w:r/>
            <w:r>
              <w:rPr>
                <w:rFonts w:ascii="Aptos" w:hAnsi="Aptos"/>
                <w:b w:val="0"/>
                <w:sz w:val="13"/>
              </w:rPr>
              <w:t>16 Database Standard</w:t>
            </w:r>
          </w:p>
        </w:tc>
        <w:tc>
          <w:tcPr>
            <w:tcW w:type="dxa" w:w="1080"/>
            <w:shd w:fill="F7FBFF"/>
            <w:vAlign w:val="top"/>
          </w:tcPr>
          <w:p>
            <w:r/>
            <w:r>
              <w:rPr>
                <w:rFonts w:ascii="Aptos" w:hAnsi="Aptos"/>
                <w:b w:val="0"/>
                <w:sz w:val="13"/>
              </w:rPr>
              <w:t>v1.0</w:t>
            </w:r>
          </w:p>
        </w:tc>
        <w:tc>
          <w:tcPr>
            <w:tcW w:type="dxa" w:w="1080"/>
            <w:shd w:fill="F7FBFF"/>
            <w:vAlign w:val="top"/>
          </w:tcPr>
          <w:p>
            <w:r/>
            <w:r>
              <w:rPr>
                <w:rFonts w:ascii="Aptos" w:hAnsi="Aptos"/>
                <w:b w:val="0"/>
                <w:sz w:val="13"/>
              </w:rPr>
              <w:t>v2.0 or v1.1</w:t>
            </w:r>
          </w:p>
        </w:tc>
        <w:tc>
          <w:tcPr>
            <w:tcW w:type="dxa" w:w="4896"/>
            <w:shd w:fill="F7FBFF"/>
            <w:vAlign w:val="top"/>
          </w:tcPr>
          <w:p>
            <w:r/>
            <w:r>
              <w:rPr>
                <w:rFonts w:ascii="Aptos" w:hAnsi="Aptos"/>
                <w:b w:val="0"/>
                <w:sz w:val="13"/>
              </w:rPr>
              <w:t>Strengthen bounded-context schema ownership, migration safety, deterministic seed data, and idempotent data operations.</w:t>
            </w:r>
          </w:p>
        </w:tc>
      </w:tr>
      <w:tr>
        <w:tc>
          <w:tcPr>
            <w:tcW w:type="dxa" w:w="3311"/>
            <w:vAlign w:val="top"/>
          </w:tcPr>
          <w:p>
            <w:r/>
            <w:r>
              <w:rPr>
                <w:rFonts w:ascii="Aptos" w:hAnsi="Aptos"/>
                <w:b w:val="0"/>
                <w:sz w:val="13"/>
              </w:rPr>
              <w:t>17 Security Standard</w:t>
            </w:r>
          </w:p>
        </w:tc>
        <w:tc>
          <w:tcPr>
            <w:tcW w:type="dxa" w:w="1080"/>
            <w:vAlign w:val="top"/>
          </w:tcPr>
          <w:p>
            <w:r/>
            <w:r>
              <w:rPr>
                <w:rFonts w:ascii="Aptos" w:hAnsi="Aptos"/>
                <w:b w:val="0"/>
                <w:sz w:val="13"/>
              </w:rPr>
              <w:t>v1.0</w:t>
            </w:r>
          </w:p>
        </w:tc>
        <w:tc>
          <w:tcPr>
            <w:tcW w:type="dxa" w:w="1080"/>
            <w:vAlign w:val="top"/>
          </w:tcPr>
          <w:p>
            <w:r/>
            <w:r>
              <w:rPr>
                <w:rFonts w:ascii="Aptos" w:hAnsi="Aptos"/>
                <w:b w:val="0"/>
                <w:sz w:val="13"/>
              </w:rPr>
              <w:t>v2.0 or v1.1</w:t>
            </w:r>
          </w:p>
        </w:tc>
        <w:tc>
          <w:tcPr>
            <w:tcW w:type="dxa" w:w="4896"/>
            <w:vAlign w:val="top"/>
          </w:tcPr>
          <w:p>
            <w:r/>
            <w:r>
              <w:rPr>
                <w:rFonts w:ascii="Aptos" w:hAnsi="Aptos"/>
                <w:b w:val="0"/>
                <w:sz w:val="13"/>
              </w:rPr>
              <w:t>Strengthen least privilege, SBAC, separation of duties, fail-closed behavior, policy-as-code, and secure-by-design gates.</w:t>
            </w:r>
          </w:p>
        </w:tc>
      </w:tr>
    </w:tbl>
    <w:p/>
    <w:p>
      <w:pPr>
        <w:pStyle w:val="Heading1"/>
      </w:pPr>
      <w:r>
        <w:rPr>
          <w:rFonts w:ascii="Aptos Display" w:hAnsi="Aptos Display"/>
          <w:color w:val="1F4E79"/>
        </w:rPr>
        <w:t>8. Alternatives Considered</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81"/>
        <w:gridCol w:w="2581"/>
        <w:gridCol w:w="2581"/>
        <w:gridCol w:w="2581"/>
      </w:tblGrid>
      <w:tr>
        <w:tc>
          <w:tcPr>
            <w:tcW w:type="dxa" w:w="2592"/>
            <w:shd w:fill="1F4E79"/>
            <w:vAlign w:val="top"/>
          </w:tcPr>
          <w:p>
            <w:pPr>
              <w:jc w:val="center"/>
            </w:pPr>
            <w:r/>
            <w:r>
              <w:rPr>
                <w:rFonts w:ascii="Aptos" w:hAnsi="Aptos"/>
                <w:b/>
                <w:color w:val="FFFFFF"/>
                <w:sz w:val="15"/>
              </w:rPr>
              <w:t>Alternative</w:t>
            </w:r>
          </w:p>
        </w:tc>
        <w:tc>
          <w:tcPr>
            <w:tcW w:type="dxa" w:w="2880"/>
            <w:shd w:fill="1F4E79"/>
            <w:vAlign w:val="top"/>
          </w:tcPr>
          <w:p>
            <w:pPr>
              <w:jc w:val="center"/>
            </w:pPr>
            <w:r/>
            <w:r>
              <w:rPr>
                <w:rFonts w:ascii="Aptos" w:hAnsi="Aptos"/>
                <w:b/>
                <w:color w:val="FFFFFF"/>
                <w:sz w:val="15"/>
              </w:rPr>
              <w:t>Description</w:t>
            </w:r>
          </w:p>
        </w:tc>
        <w:tc>
          <w:tcPr>
            <w:tcW w:type="dxa" w:w="1296"/>
            <w:shd w:fill="1F4E79"/>
            <w:vAlign w:val="top"/>
          </w:tcPr>
          <w:p>
            <w:pPr>
              <w:jc w:val="center"/>
            </w:pPr>
            <w:r/>
            <w:r>
              <w:rPr>
                <w:rFonts w:ascii="Aptos" w:hAnsi="Aptos"/>
                <w:b/>
                <w:color w:val="FFFFFF"/>
                <w:sz w:val="15"/>
              </w:rPr>
              <w:t>Decision</w:t>
            </w:r>
          </w:p>
        </w:tc>
        <w:tc>
          <w:tcPr>
            <w:tcW w:type="dxa" w:w="3600"/>
            <w:shd w:fill="1F4E79"/>
            <w:vAlign w:val="top"/>
          </w:tcPr>
          <w:p>
            <w:pPr>
              <w:jc w:val="center"/>
            </w:pPr>
            <w:r/>
            <w:r>
              <w:rPr>
                <w:rFonts w:ascii="Aptos" w:hAnsi="Aptos"/>
                <w:b/>
                <w:color w:val="FFFFFF"/>
                <w:sz w:val="15"/>
              </w:rPr>
              <w:t>Rationale</w:t>
            </w:r>
          </w:p>
        </w:tc>
      </w:tr>
      <w:tr>
        <w:tc>
          <w:tcPr>
            <w:tcW w:type="dxa" w:w="2592"/>
            <w:vAlign w:val="top"/>
          </w:tcPr>
          <w:p>
            <w:r/>
            <w:r>
              <w:rPr>
                <w:rFonts w:ascii="Aptos" w:hAnsi="Aptos"/>
                <w:b w:val="0"/>
                <w:sz w:val="15"/>
              </w:rPr>
              <w:t>A1 - Do nothing</w:t>
            </w:r>
          </w:p>
        </w:tc>
        <w:tc>
          <w:tcPr>
            <w:tcW w:type="dxa" w:w="2880"/>
            <w:vAlign w:val="top"/>
          </w:tcPr>
          <w:p>
            <w:r/>
            <w:r>
              <w:rPr>
                <w:rFonts w:ascii="Aptos" w:hAnsi="Aptos"/>
                <w:b w:val="0"/>
                <w:sz w:val="15"/>
              </w:rPr>
              <w:t>Continue using existing principles already present across the documents.</w:t>
            </w:r>
          </w:p>
        </w:tc>
        <w:tc>
          <w:tcPr>
            <w:tcW w:type="dxa" w:w="1296"/>
            <w:vAlign w:val="top"/>
          </w:tcPr>
          <w:p>
            <w:r/>
            <w:r>
              <w:rPr>
                <w:rFonts w:ascii="Aptos" w:hAnsi="Aptos"/>
                <w:b w:val="0"/>
                <w:sz w:val="15"/>
              </w:rPr>
              <w:t>Rejected</w:t>
            </w:r>
          </w:p>
        </w:tc>
        <w:tc>
          <w:tcPr>
            <w:tcW w:type="dxa" w:w="3600"/>
            <w:vAlign w:val="top"/>
          </w:tcPr>
          <w:p>
            <w:r/>
            <w:r>
              <w:rPr>
                <w:rFonts w:ascii="Aptos" w:hAnsi="Aptos"/>
                <w:b w:val="0"/>
                <w:sz w:val="15"/>
              </w:rPr>
              <w:t>The principles are present but not uniformly explicit or enforceable; this creates drift and inconsistent interpretation.</w:t>
            </w:r>
          </w:p>
        </w:tc>
      </w:tr>
      <w:tr>
        <w:tc>
          <w:tcPr>
            <w:tcW w:type="dxa" w:w="2592"/>
            <w:shd w:fill="F7FBFF"/>
            <w:vAlign w:val="top"/>
          </w:tcPr>
          <w:p>
            <w:r/>
            <w:r>
              <w:rPr>
                <w:rFonts w:ascii="Aptos" w:hAnsi="Aptos"/>
                <w:b w:val="0"/>
                <w:sz w:val="15"/>
              </w:rPr>
              <w:t>A2 - Add a short paragraph to each document</w:t>
            </w:r>
          </w:p>
        </w:tc>
        <w:tc>
          <w:tcPr>
            <w:tcW w:type="dxa" w:w="2880"/>
            <w:shd w:fill="F7FBFF"/>
            <w:vAlign w:val="top"/>
          </w:tcPr>
          <w:p>
            <w:r/>
            <w:r>
              <w:rPr>
                <w:rFonts w:ascii="Aptos" w:hAnsi="Aptos"/>
                <w:b w:val="0"/>
                <w:sz w:val="15"/>
              </w:rPr>
              <w:t>Insert the 20 principles directly into every standard.</w:t>
            </w:r>
          </w:p>
        </w:tc>
        <w:tc>
          <w:tcPr>
            <w:tcW w:type="dxa" w:w="1296"/>
            <w:shd w:fill="F7FBFF"/>
            <w:vAlign w:val="top"/>
          </w:tcPr>
          <w:p>
            <w:r/>
            <w:r>
              <w:rPr>
                <w:rFonts w:ascii="Aptos" w:hAnsi="Aptos"/>
                <w:b w:val="0"/>
                <w:sz w:val="15"/>
              </w:rPr>
              <w:t>Rejected</w:t>
            </w:r>
          </w:p>
        </w:tc>
        <w:tc>
          <w:tcPr>
            <w:tcW w:type="dxa" w:w="3600"/>
            <w:shd w:fill="F7FBFF"/>
            <w:vAlign w:val="top"/>
          </w:tcPr>
          <w:p>
            <w:r/>
            <w:r>
              <w:rPr>
                <w:rFonts w:ascii="Aptos" w:hAnsi="Aptos"/>
                <w:b w:val="0"/>
                <w:sz w:val="15"/>
              </w:rPr>
              <w:t>This creates duplication and long-term maintenance risk when the principles evolve.</w:t>
            </w:r>
          </w:p>
        </w:tc>
      </w:tr>
      <w:tr>
        <w:tc>
          <w:tcPr>
            <w:tcW w:type="dxa" w:w="2592"/>
            <w:vAlign w:val="top"/>
          </w:tcPr>
          <w:p>
            <w:r/>
            <w:r>
              <w:rPr>
                <w:rFonts w:ascii="Aptos" w:hAnsi="Aptos"/>
                <w:b w:val="0"/>
                <w:sz w:val="15"/>
              </w:rPr>
              <w:t>A3 - Put the full layer only inside 01 AVCI</w:t>
            </w:r>
          </w:p>
        </w:tc>
        <w:tc>
          <w:tcPr>
            <w:tcW w:type="dxa" w:w="2880"/>
            <w:vAlign w:val="top"/>
          </w:tcPr>
          <w:p>
            <w:r/>
            <w:r>
              <w:rPr>
                <w:rFonts w:ascii="Aptos" w:hAnsi="Aptos"/>
                <w:b w:val="0"/>
                <w:sz w:val="15"/>
              </w:rPr>
              <w:t>Make AVCI the only canonical source for the principle layer.</w:t>
            </w:r>
          </w:p>
        </w:tc>
        <w:tc>
          <w:tcPr>
            <w:tcW w:type="dxa" w:w="1296"/>
            <w:vAlign w:val="top"/>
          </w:tcPr>
          <w:p>
            <w:r/>
            <w:r>
              <w:rPr>
                <w:rFonts w:ascii="Aptos" w:hAnsi="Aptos"/>
                <w:b w:val="0"/>
                <w:sz w:val="15"/>
              </w:rPr>
              <w:t>Partially rejected</w:t>
            </w:r>
          </w:p>
        </w:tc>
        <w:tc>
          <w:tcPr>
            <w:tcW w:type="dxa" w:w="3600"/>
            <w:vAlign w:val="top"/>
          </w:tcPr>
          <w:p>
            <w:r/>
            <w:r>
              <w:rPr>
                <w:rFonts w:ascii="Aptos" w:hAnsi="Aptos"/>
                <w:b w:val="0"/>
                <w:sz w:val="15"/>
              </w:rPr>
              <w:t>AVCI should reference and enforce the layer, but a dedicated 01A companion standard is cleaner and reduces document size.</w:t>
            </w:r>
          </w:p>
        </w:tc>
      </w:tr>
      <w:tr>
        <w:tc>
          <w:tcPr>
            <w:tcW w:type="dxa" w:w="2592"/>
            <w:shd w:fill="F7FBFF"/>
            <w:vAlign w:val="top"/>
          </w:tcPr>
          <w:p>
            <w:r/>
            <w:r>
              <w:rPr>
                <w:rFonts w:ascii="Aptos" w:hAnsi="Aptos"/>
                <w:b w:val="0"/>
                <w:sz w:val="15"/>
              </w:rPr>
              <w:t>A4 - Create 01A canonical companion standard and update all affected documents</w:t>
            </w:r>
          </w:p>
        </w:tc>
        <w:tc>
          <w:tcPr>
            <w:tcW w:type="dxa" w:w="2880"/>
            <w:shd w:fill="F7FBFF"/>
            <w:vAlign w:val="top"/>
          </w:tcPr>
          <w:p>
            <w:r/>
            <w:r>
              <w:rPr>
                <w:rFonts w:ascii="Aptos" w:hAnsi="Aptos"/>
                <w:b w:val="0"/>
                <w:sz w:val="15"/>
              </w:rPr>
              <w:t>Use one canonical principle standard and implement document-specific controls in each companion document.</w:t>
            </w:r>
          </w:p>
        </w:tc>
        <w:tc>
          <w:tcPr>
            <w:tcW w:type="dxa" w:w="1296"/>
            <w:shd w:fill="F7FBFF"/>
            <w:vAlign w:val="top"/>
          </w:tcPr>
          <w:p>
            <w:r/>
            <w:r>
              <w:rPr>
                <w:rFonts w:ascii="Aptos" w:hAnsi="Aptos"/>
                <w:b w:val="0"/>
                <w:sz w:val="15"/>
              </w:rPr>
              <w:t>Accepted</w:t>
            </w:r>
          </w:p>
        </w:tc>
        <w:tc>
          <w:tcPr>
            <w:tcW w:type="dxa" w:w="3600"/>
            <w:shd w:fill="F7FBFF"/>
            <w:vAlign w:val="top"/>
          </w:tcPr>
          <w:p>
            <w:r/>
            <w:r>
              <w:rPr>
                <w:rFonts w:ascii="Aptos" w:hAnsi="Aptos"/>
                <w:b w:val="0"/>
                <w:sz w:val="15"/>
              </w:rPr>
              <w:t>This provides a single source of truth while allowing each document to enforce the principles in its own domain.</w:t>
            </w:r>
          </w:p>
        </w:tc>
      </w:tr>
    </w:tbl>
    <w:p/>
    <w:p>
      <w:pPr>
        <w:pStyle w:val="Heading1"/>
      </w:pPr>
      <w:r>
        <w:rPr>
          <w:rFonts w:ascii="Aptos Display" w:hAnsi="Aptos Display"/>
          <w:color w:val="1F4E79"/>
        </w:rPr>
        <w:t>9. Consequences and Risk Treatment</w:t>
      </w:r>
    </w:p>
    <w:p>
      <w:pPr>
        <w:pStyle w:val="Heading2"/>
      </w:pPr>
      <w:r>
        <w:rPr>
          <w:rFonts w:ascii="Aptos" w:hAnsi="Aptos"/>
          <w:color w:val="1F4E79"/>
        </w:rPr>
        <w:t>9.1 Positive Consequences</w:t>
      </w:r>
    </w:p>
    <w:p>
      <w:pPr>
        <w:pStyle w:val="ListBullet"/>
      </w:pPr>
      <w:r>
        <w:rPr>
          <w:rFonts w:ascii="Aptos" w:hAnsi="Aptos"/>
          <w:sz w:val="19"/>
        </w:rPr>
        <w:t>Architecture, code, tests, AI behavior, MicroFunctions, and DevSecOps controls will share one enterprise design language.</w:t>
      </w:r>
    </w:p>
    <w:p>
      <w:pPr>
        <w:pStyle w:val="ListBullet"/>
      </w:pPr>
      <w:r>
        <w:rPr>
          <w:rFonts w:ascii="Aptos" w:hAnsi="Aptos"/>
          <w:sz w:val="19"/>
        </w:rPr>
        <w:t>Auto-Heal, Auto-Learn, and Auto-Improve will become safer because they must preserve or improve architecture boundaries and AVCI evidence.</w:t>
      </w:r>
    </w:p>
    <w:p>
      <w:pPr>
        <w:pStyle w:val="ListBullet"/>
      </w:pPr>
      <w:r>
        <w:rPr>
          <w:rFonts w:ascii="Aptos" w:hAnsi="Aptos"/>
          <w:sz w:val="19"/>
        </w:rPr>
        <w:t>Developer onboarding will be clearer because the principles are explicit and mapped to actual engineering behavior.</w:t>
      </w:r>
    </w:p>
    <w:p>
      <w:pPr>
        <w:pStyle w:val="ListBullet"/>
      </w:pPr>
      <w:r>
        <w:rPr>
          <w:rFonts w:ascii="Aptos" w:hAnsi="Aptos"/>
          <w:sz w:val="19"/>
        </w:rPr>
        <w:t>Architecture Review Board and CAB decisions will be easier to verify through Design Principles Impact Assessments.</w:t>
      </w:r>
    </w:p>
    <w:p>
      <w:pPr>
        <w:pStyle w:val="ListBullet"/>
      </w:pPr>
      <w:r>
        <w:rPr>
          <w:rFonts w:ascii="Aptos" w:hAnsi="Aptos"/>
          <w:sz w:val="19"/>
        </w:rPr>
        <w:t>CI/CD can become more objective by turning design principles into architecture fitness functions and automated checks.</w:t>
      </w:r>
    </w:p>
    <w:p>
      <w:pPr>
        <w:pStyle w:val="Heading2"/>
      </w:pPr>
      <w:r>
        <w:rPr>
          <w:rFonts w:ascii="Aptos" w:hAnsi="Aptos"/>
          <w:color w:val="1F4E79"/>
        </w:rPr>
        <w:t>9.2 Negative Consequences / Costs</w:t>
      </w:r>
    </w:p>
    <w:p>
      <w:pPr>
        <w:pStyle w:val="ListBullet"/>
      </w:pPr>
      <w:r>
        <w:rPr>
          <w:rFonts w:ascii="Aptos" w:hAnsi="Aptos"/>
          <w:sz w:val="19"/>
        </w:rPr>
        <w:t>The documentation package must be versioned and regenerated across multiple standards.</w:t>
      </w:r>
    </w:p>
    <w:p>
      <w:pPr>
        <w:pStyle w:val="ListBullet"/>
      </w:pPr>
      <w:r>
        <w:rPr>
          <w:rFonts w:ascii="Aptos" w:hAnsi="Aptos"/>
          <w:sz w:val="19"/>
        </w:rPr>
        <w:t>Initial CI/CD and pre-commit setup will require additional effort to encode principle checks.</w:t>
      </w:r>
    </w:p>
    <w:p>
      <w:pPr>
        <w:pStyle w:val="ListBullet"/>
      </w:pPr>
      <w:r>
        <w:rPr>
          <w:rFonts w:ascii="Aptos" w:hAnsi="Aptos"/>
          <w:sz w:val="19"/>
        </w:rPr>
        <w:t>Developers and AI users will need onboarding on SOLID, Clean Architecture, DDD, ports-and-adapters, and architectural fitness functions.</w:t>
      </w:r>
    </w:p>
    <w:p>
      <w:pPr>
        <w:pStyle w:val="ListBullet"/>
      </w:pPr>
      <w:r>
        <w:rPr>
          <w:rFonts w:ascii="Aptos" w:hAnsi="Aptos"/>
          <w:sz w:val="19"/>
        </w:rPr>
        <w:t>Some fast local fixes may be rejected if they weaken design boundaries or evidence requirements.</w:t>
      </w:r>
    </w:p>
    <w:p>
      <w:pPr>
        <w:pStyle w:val="Heading2"/>
      </w:pPr>
      <w:r>
        <w:rPr>
          <w:rFonts w:ascii="Aptos" w:hAnsi="Aptos"/>
          <w:color w:val="1F4E79"/>
        </w:rPr>
        <w:t>9.3 Risk Treatment</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62"/>
        <w:gridCol w:w="5162"/>
      </w:tblGrid>
      <w:tr>
        <w:tc>
          <w:tcPr>
            <w:tcW w:type="dxa" w:w="2448"/>
            <w:shd w:fill="1F4E79"/>
            <w:vAlign w:val="top"/>
          </w:tcPr>
          <w:p>
            <w:pPr>
              <w:jc w:val="center"/>
            </w:pPr>
            <w:r/>
            <w:r>
              <w:rPr>
                <w:rFonts w:ascii="Aptos" w:hAnsi="Aptos"/>
                <w:b/>
                <w:color w:val="FFFFFF"/>
                <w:sz w:val="16"/>
              </w:rPr>
              <w:t>Risk</w:t>
            </w:r>
          </w:p>
        </w:tc>
        <w:tc>
          <w:tcPr>
            <w:tcW w:type="dxa" w:w="7920"/>
            <w:shd w:fill="1F4E79"/>
            <w:vAlign w:val="top"/>
          </w:tcPr>
          <w:p>
            <w:pPr>
              <w:jc w:val="center"/>
            </w:pPr>
            <w:r/>
            <w:r>
              <w:rPr>
                <w:rFonts w:ascii="Aptos" w:hAnsi="Aptos"/>
                <w:b/>
                <w:color w:val="FFFFFF"/>
                <w:sz w:val="16"/>
              </w:rPr>
              <w:t>Treatment</w:t>
            </w:r>
          </w:p>
        </w:tc>
      </w:tr>
      <w:tr>
        <w:tc>
          <w:tcPr>
            <w:tcW w:type="dxa" w:w="2448"/>
            <w:vAlign w:val="top"/>
          </w:tcPr>
          <w:p>
            <w:r/>
            <w:r>
              <w:rPr>
                <w:rFonts w:ascii="Aptos" w:hAnsi="Aptos"/>
                <w:b w:val="0"/>
                <w:sz w:val="16"/>
              </w:rPr>
              <w:t>Documentation drift</w:t>
            </w:r>
          </w:p>
        </w:tc>
        <w:tc>
          <w:tcPr>
            <w:tcW w:type="dxa" w:w="7920"/>
            <w:vAlign w:val="top"/>
          </w:tcPr>
          <w:p>
            <w:r/>
            <w:r>
              <w:rPr>
                <w:rFonts w:ascii="Aptos" w:hAnsi="Aptos"/>
                <w:b w:val="0"/>
                <w:sz w:val="16"/>
              </w:rPr>
              <w:t>Use 01A as canonical source; all documents reference it instead of redefining the principles independently.</w:t>
            </w:r>
          </w:p>
        </w:tc>
      </w:tr>
      <w:tr>
        <w:tc>
          <w:tcPr>
            <w:tcW w:type="dxa" w:w="2448"/>
            <w:shd w:fill="F7FBFF"/>
            <w:vAlign w:val="top"/>
          </w:tcPr>
          <w:p>
            <w:r/>
            <w:r>
              <w:rPr>
                <w:rFonts w:ascii="Aptos" w:hAnsi="Aptos"/>
                <w:b w:val="0"/>
                <w:sz w:val="16"/>
              </w:rPr>
              <w:t>Over-engineering</w:t>
            </w:r>
          </w:p>
        </w:tc>
        <w:tc>
          <w:tcPr>
            <w:tcW w:type="dxa" w:w="7920"/>
            <w:shd w:fill="F7FBFF"/>
            <w:vAlign w:val="top"/>
          </w:tcPr>
          <w:p>
            <w:r/>
            <w:r>
              <w:rPr>
                <w:rFonts w:ascii="Aptos" w:hAnsi="Aptos"/>
                <w:b w:val="0"/>
                <w:sz w:val="16"/>
              </w:rPr>
              <w:t>Apply KISS and YAGNI as explicit principles. Do not create abstractions without current business or architecture need.</w:t>
            </w:r>
          </w:p>
        </w:tc>
      </w:tr>
      <w:tr>
        <w:tc>
          <w:tcPr>
            <w:tcW w:type="dxa" w:w="2448"/>
            <w:vAlign w:val="top"/>
          </w:tcPr>
          <w:p>
            <w:r/>
            <w:r>
              <w:rPr>
                <w:rFonts w:ascii="Aptos" w:hAnsi="Aptos"/>
                <w:b w:val="0"/>
                <w:sz w:val="16"/>
              </w:rPr>
              <w:t>Developer resistance</w:t>
            </w:r>
          </w:p>
        </w:tc>
        <w:tc>
          <w:tcPr>
            <w:tcW w:type="dxa" w:w="7920"/>
            <w:vAlign w:val="top"/>
          </w:tcPr>
          <w:p>
            <w:r/>
            <w:r>
              <w:rPr>
                <w:rFonts w:ascii="Aptos" w:hAnsi="Aptos"/>
                <w:b w:val="0"/>
                <w:sz w:val="16"/>
              </w:rPr>
              <w:t>Provide examples, checklists, and practical coding patterns in Developer Guide and CLAUDE.md.</w:t>
            </w:r>
          </w:p>
        </w:tc>
      </w:tr>
      <w:tr>
        <w:tc>
          <w:tcPr>
            <w:tcW w:type="dxa" w:w="2448"/>
            <w:shd w:fill="F7FBFF"/>
            <w:vAlign w:val="top"/>
          </w:tcPr>
          <w:p>
            <w:r/>
            <w:r>
              <w:rPr>
                <w:rFonts w:ascii="Aptos" w:hAnsi="Aptos"/>
                <w:b w:val="0"/>
                <w:sz w:val="16"/>
              </w:rPr>
              <w:t>False confidence in automated checks</w:t>
            </w:r>
          </w:p>
        </w:tc>
        <w:tc>
          <w:tcPr>
            <w:tcW w:type="dxa" w:w="7920"/>
            <w:shd w:fill="F7FBFF"/>
            <w:vAlign w:val="top"/>
          </w:tcPr>
          <w:p>
            <w:r/>
            <w:r>
              <w:rPr>
                <w:rFonts w:ascii="Aptos" w:hAnsi="Aptos"/>
                <w:b w:val="0"/>
                <w:sz w:val="16"/>
              </w:rPr>
              <w:t>Combine automated fitness functions with Maker-Checker review and Architecture Review Board gates.</w:t>
            </w:r>
          </w:p>
        </w:tc>
      </w:tr>
      <w:tr>
        <w:tc>
          <w:tcPr>
            <w:tcW w:type="dxa" w:w="2448"/>
            <w:vAlign w:val="top"/>
          </w:tcPr>
          <w:p>
            <w:r/>
            <w:r>
              <w:rPr>
                <w:rFonts w:ascii="Aptos" w:hAnsi="Aptos"/>
                <w:b w:val="0"/>
                <w:sz w:val="16"/>
              </w:rPr>
              <w:t>AI-generated bypasses</w:t>
            </w:r>
          </w:p>
        </w:tc>
        <w:tc>
          <w:tcPr>
            <w:tcW w:type="dxa" w:w="7920"/>
            <w:vAlign w:val="top"/>
          </w:tcPr>
          <w:p>
            <w:r/>
            <w:r>
              <w:rPr>
                <w:rFonts w:ascii="Aptos" w:hAnsi="Aptos"/>
                <w:b w:val="0"/>
                <w:sz w:val="16"/>
              </w:rPr>
              <w:t>Enforce through Harness, SBAC, OPA, guardrails, import checks, CODEOWNERS, and PR evidence.</w:t>
            </w:r>
          </w:p>
        </w:tc>
      </w:tr>
    </w:tbl>
    <w:p/>
    <w:p>
      <w:pPr>
        <w:pStyle w:val="Heading1"/>
      </w:pPr>
      <w:r>
        <w:rPr>
          <w:rFonts w:ascii="Aptos Display" w:hAnsi="Aptos Display"/>
          <w:color w:val="1F4E79"/>
        </w:rPr>
        <w:t>10. Required Evidence, Fitness Functions, and Gates</w:t>
      </w:r>
    </w:p>
    <w:p>
      <w:pPr>
        <w:pStyle w:val="BodyText"/>
        <w:spacing w:after="100" w:line="252" w:lineRule="auto"/>
      </w:pPr>
      <w:r>
        <w:rPr>
          <w:rFonts w:ascii="Aptos" w:hAnsi="Aptos"/>
          <w:sz w:val="20"/>
        </w:rPr>
        <w:t>Every material change must show design-principle impact and evidence. The following baseline will be refined in 01A and implemented in the revised standards.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62"/>
        <w:gridCol w:w="5162"/>
      </w:tblGrid>
      <w:tr>
        <w:tc>
          <w:tcPr>
            <w:tcW w:type="dxa" w:w="2592"/>
            <w:shd w:fill="1F4E79"/>
            <w:vAlign w:val="top"/>
          </w:tcPr>
          <w:p>
            <w:pPr>
              <w:jc w:val="center"/>
            </w:pPr>
            <w:r/>
            <w:r>
              <w:rPr>
                <w:rFonts w:ascii="Aptos" w:hAnsi="Aptos"/>
                <w:b/>
                <w:color w:val="FFFFFF"/>
                <w:sz w:val="15"/>
              </w:rPr>
              <w:t>Control Area</w:t>
            </w:r>
          </w:p>
        </w:tc>
        <w:tc>
          <w:tcPr>
            <w:tcW w:type="dxa" w:w="7776"/>
            <w:shd w:fill="1F4E79"/>
            <w:vAlign w:val="top"/>
          </w:tcPr>
          <w:p>
            <w:pPr>
              <w:jc w:val="center"/>
            </w:pPr>
            <w:r/>
            <w:r>
              <w:rPr>
                <w:rFonts w:ascii="Aptos" w:hAnsi="Aptos"/>
                <w:b/>
                <w:color w:val="FFFFFF"/>
                <w:sz w:val="15"/>
              </w:rPr>
              <w:t>Minimum Evidence / Fitness Function</w:t>
            </w:r>
          </w:p>
        </w:tc>
      </w:tr>
      <w:tr>
        <w:tc>
          <w:tcPr>
            <w:tcW w:type="dxa" w:w="2592"/>
            <w:vAlign w:val="top"/>
          </w:tcPr>
          <w:p>
            <w:r/>
            <w:r>
              <w:rPr>
                <w:rFonts w:ascii="Aptos" w:hAnsi="Aptos"/>
                <w:b w:val="0"/>
                <w:sz w:val="15"/>
              </w:rPr>
              <w:t>SOLID / Clean Architecture</w:t>
            </w:r>
          </w:p>
        </w:tc>
        <w:tc>
          <w:tcPr>
            <w:tcW w:type="dxa" w:w="7776"/>
            <w:vAlign w:val="top"/>
          </w:tcPr>
          <w:p>
            <w:r/>
            <w:r>
              <w:rPr>
                <w:rFonts w:ascii="Aptos" w:hAnsi="Aptos"/>
                <w:b w:val="0"/>
                <w:sz w:val="15"/>
              </w:rPr>
              <w:t>ArchUnit dependency checks; package-boundary tests; code review checklist; no domain dependency on adapters.</w:t>
            </w:r>
          </w:p>
        </w:tc>
      </w:tr>
      <w:tr>
        <w:tc>
          <w:tcPr>
            <w:tcW w:type="dxa" w:w="2592"/>
            <w:shd w:fill="F7FBFF"/>
            <w:vAlign w:val="top"/>
          </w:tcPr>
          <w:p>
            <w:r/>
            <w:r>
              <w:rPr>
                <w:rFonts w:ascii="Aptos" w:hAnsi="Aptos"/>
                <w:b w:val="0"/>
                <w:sz w:val="15"/>
              </w:rPr>
              <w:t>DDD / Bounded Contexts</w:t>
            </w:r>
          </w:p>
        </w:tc>
        <w:tc>
          <w:tcPr>
            <w:tcW w:type="dxa" w:w="7776"/>
            <w:shd w:fill="F7FBFF"/>
            <w:vAlign w:val="top"/>
          </w:tcPr>
          <w:p>
            <w:r/>
            <w:r>
              <w:rPr>
                <w:rFonts w:ascii="Aptos" w:hAnsi="Aptos"/>
                <w:b w:val="0"/>
                <w:sz w:val="15"/>
              </w:rPr>
              <w:t>Context ownership map; API/event boundary tests; no cross-context database writes.</w:t>
            </w:r>
          </w:p>
        </w:tc>
      </w:tr>
      <w:tr>
        <w:tc>
          <w:tcPr>
            <w:tcW w:type="dxa" w:w="2592"/>
            <w:vAlign w:val="top"/>
          </w:tcPr>
          <w:p>
            <w:r/>
            <w:r>
              <w:rPr>
                <w:rFonts w:ascii="Aptos" w:hAnsi="Aptos"/>
                <w:b w:val="0"/>
                <w:sz w:val="15"/>
              </w:rPr>
              <w:t>Ports and Adapters</w:t>
            </w:r>
          </w:p>
        </w:tc>
        <w:tc>
          <w:tcPr>
            <w:tcW w:type="dxa" w:w="7776"/>
            <w:vAlign w:val="top"/>
          </w:tcPr>
          <w:p>
            <w:r/>
            <w:r>
              <w:rPr>
                <w:rFonts w:ascii="Aptos" w:hAnsi="Aptos"/>
                <w:b w:val="0"/>
                <w:sz w:val="15"/>
              </w:rPr>
              <w:t>Inbound/outbound port contracts; adapter isolation; mockable interfaces; integration tests.</w:t>
            </w:r>
          </w:p>
        </w:tc>
      </w:tr>
      <w:tr>
        <w:tc>
          <w:tcPr>
            <w:tcW w:type="dxa" w:w="2592"/>
            <w:shd w:fill="F7FBFF"/>
            <w:vAlign w:val="top"/>
          </w:tcPr>
          <w:p>
            <w:r/>
            <w:r>
              <w:rPr>
                <w:rFonts w:ascii="Aptos" w:hAnsi="Aptos"/>
                <w:b w:val="0"/>
                <w:sz w:val="15"/>
              </w:rPr>
              <w:t>Idempotency</w:t>
            </w:r>
          </w:p>
        </w:tc>
        <w:tc>
          <w:tcPr>
            <w:tcW w:type="dxa" w:w="7776"/>
            <w:shd w:fill="F7FBFF"/>
            <w:vAlign w:val="top"/>
          </w:tcPr>
          <w:p>
            <w:r/>
            <w:r>
              <w:rPr>
                <w:rFonts w:ascii="Aptos" w:hAnsi="Aptos"/>
                <w:b w:val="0"/>
                <w:sz w:val="15"/>
              </w:rPr>
              <w:t>Idempotency-key tests; replay tests; processed-event registry tests; compensation tests.</w:t>
            </w:r>
          </w:p>
        </w:tc>
      </w:tr>
      <w:tr>
        <w:tc>
          <w:tcPr>
            <w:tcW w:type="dxa" w:w="2592"/>
            <w:vAlign w:val="top"/>
          </w:tcPr>
          <w:p>
            <w:r/>
            <w:r>
              <w:rPr>
                <w:rFonts w:ascii="Aptos" w:hAnsi="Aptos"/>
                <w:b w:val="0"/>
                <w:sz w:val="15"/>
              </w:rPr>
              <w:t>Determinism</w:t>
            </w:r>
          </w:p>
        </w:tc>
        <w:tc>
          <w:tcPr>
            <w:tcW w:type="dxa" w:w="7776"/>
            <w:vAlign w:val="top"/>
          </w:tcPr>
          <w:p>
            <w:r/>
            <w:r>
              <w:rPr>
                <w:rFonts w:ascii="Aptos" w:hAnsi="Aptos"/>
                <w:b w:val="0"/>
                <w:sz w:val="15"/>
              </w:rPr>
              <w:t>Pinned dependencies; reproducible builds; deterministic test clocks/seeds; migration checksums.</w:t>
            </w:r>
          </w:p>
        </w:tc>
      </w:tr>
      <w:tr>
        <w:tc>
          <w:tcPr>
            <w:tcW w:type="dxa" w:w="2592"/>
            <w:shd w:fill="F7FBFF"/>
            <w:vAlign w:val="top"/>
          </w:tcPr>
          <w:p>
            <w:r/>
            <w:r>
              <w:rPr>
                <w:rFonts w:ascii="Aptos" w:hAnsi="Aptos"/>
                <w:b w:val="0"/>
                <w:sz w:val="15"/>
              </w:rPr>
              <w:t>Fail-Safe</w:t>
            </w:r>
          </w:p>
        </w:tc>
        <w:tc>
          <w:tcPr>
            <w:tcW w:type="dxa" w:w="7776"/>
            <w:shd w:fill="F7FBFF"/>
            <w:vAlign w:val="top"/>
          </w:tcPr>
          <w:p>
            <w:r/>
            <w:r>
              <w:rPr>
                <w:rFonts w:ascii="Aptos" w:hAnsi="Aptos"/>
                <w:b w:val="0"/>
                <w:sz w:val="15"/>
              </w:rPr>
              <w:t>Negative tests for OPA, Harness, LiteLLM, guardrail, Vault, audit, and identity unavailability.</w:t>
            </w:r>
          </w:p>
        </w:tc>
      </w:tr>
      <w:tr>
        <w:tc>
          <w:tcPr>
            <w:tcW w:type="dxa" w:w="2592"/>
            <w:vAlign w:val="top"/>
          </w:tcPr>
          <w:p>
            <w:r/>
            <w:r>
              <w:rPr>
                <w:rFonts w:ascii="Aptos" w:hAnsi="Aptos"/>
                <w:b w:val="0"/>
                <w:sz w:val="15"/>
              </w:rPr>
              <w:t>Human-in-the-Loop</w:t>
            </w:r>
          </w:p>
        </w:tc>
        <w:tc>
          <w:tcPr>
            <w:tcW w:type="dxa" w:w="7776"/>
            <w:vAlign w:val="top"/>
          </w:tcPr>
          <w:p>
            <w:r/>
            <w:r>
              <w:rPr>
                <w:rFonts w:ascii="Aptos" w:hAnsi="Aptos"/>
                <w:b w:val="0"/>
                <w:sz w:val="15"/>
              </w:rPr>
              <w:t>Approval evidence; Flowable task record; risk-tier mapping; separation-of-duties check.</w:t>
            </w:r>
          </w:p>
        </w:tc>
      </w:tr>
      <w:tr>
        <w:tc>
          <w:tcPr>
            <w:tcW w:type="dxa" w:w="2592"/>
            <w:shd w:fill="F7FBFF"/>
            <w:vAlign w:val="top"/>
          </w:tcPr>
          <w:p>
            <w:r/>
            <w:r>
              <w:rPr>
                <w:rFonts w:ascii="Aptos" w:hAnsi="Aptos"/>
                <w:b w:val="0"/>
                <w:sz w:val="15"/>
              </w:rPr>
              <w:t>Least Privilege / SBAC</w:t>
            </w:r>
          </w:p>
        </w:tc>
        <w:tc>
          <w:tcPr>
            <w:tcW w:type="dxa" w:w="7776"/>
            <w:shd w:fill="F7FBFF"/>
            <w:vAlign w:val="top"/>
          </w:tcPr>
          <w:p>
            <w:r/>
            <w:r>
              <w:rPr>
                <w:rFonts w:ascii="Aptos" w:hAnsi="Aptos"/>
                <w:b w:val="0"/>
                <w:sz w:val="15"/>
              </w:rPr>
              <w:t>Skill, trust, role, policy, and classification decision record.</w:t>
            </w:r>
          </w:p>
        </w:tc>
      </w:tr>
      <w:tr>
        <w:tc>
          <w:tcPr>
            <w:tcW w:type="dxa" w:w="2592"/>
            <w:vAlign w:val="top"/>
          </w:tcPr>
          <w:p>
            <w:r/>
            <w:r>
              <w:rPr>
                <w:rFonts w:ascii="Aptos" w:hAnsi="Aptos"/>
                <w:b w:val="0"/>
                <w:sz w:val="15"/>
              </w:rPr>
              <w:t>Observability</w:t>
            </w:r>
          </w:p>
        </w:tc>
        <w:tc>
          <w:tcPr>
            <w:tcW w:type="dxa" w:w="7776"/>
            <w:vAlign w:val="top"/>
          </w:tcPr>
          <w:p>
            <w:r/>
            <w:r>
              <w:rPr>
                <w:rFonts w:ascii="Aptos" w:hAnsi="Aptos"/>
                <w:b w:val="0"/>
                <w:sz w:val="15"/>
              </w:rPr>
              <w:t>Trace/log/metric/audit evidence; correlation IDs; dashboards or SLO events where applicable.</w:t>
            </w:r>
          </w:p>
        </w:tc>
      </w:tr>
      <w:tr>
        <w:tc>
          <w:tcPr>
            <w:tcW w:type="dxa" w:w="2592"/>
            <w:shd w:fill="F7FBFF"/>
            <w:vAlign w:val="top"/>
          </w:tcPr>
          <w:p>
            <w:r/>
            <w:r>
              <w:rPr>
                <w:rFonts w:ascii="Aptos" w:hAnsi="Aptos"/>
                <w:b w:val="0"/>
                <w:sz w:val="15"/>
              </w:rPr>
              <w:t>Policy as Code</w:t>
            </w:r>
          </w:p>
        </w:tc>
        <w:tc>
          <w:tcPr>
            <w:tcW w:type="dxa" w:w="7776"/>
            <w:shd w:fill="F7FBFF"/>
            <w:vAlign w:val="top"/>
          </w:tcPr>
          <w:p>
            <w:r/>
            <w:r>
              <w:rPr>
                <w:rFonts w:ascii="Aptos" w:hAnsi="Aptos"/>
                <w:b w:val="0"/>
                <w:sz w:val="15"/>
              </w:rPr>
              <w:t>OPA/Conftest/Semgrep policy test results; policy version recorded in evidence.</w:t>
            </w:r>
          </w:p>
        </w:tc>
      </w:tr>
      <w:tr>
        <w:tc>
          <w:tcPr>
            <w:tcW w:type="dxa" w:w="2592"/>
            <w:vAlign w:val="top"/>
          </w:tcPr>
          <w:p>
            <w:r/>
            <w:r>
              <w:rPr>
                <w:rFonts w:ascii="Aptos" w:hAnsi="Aptos"/>
                <w:b w:val="0"/>
                <w:sz w:val="15"/>
              </w:rPr>
              <w:t>Testability</w:t>
            </w:r>
          </w:p>
        </w:tc>
        <w:tc>
          <w:tcPr>
            <w:tcW w:type="dxa" w:w="7776"/>
            <w:vAlign w:val="top"/>
          </w:tcPr>
          <w:p>
            <w:r/>
            <w:r>
              <w:rPr>
                <w:rFonts w:ascii="Aptos" w:hAnsi="Aptos"/>
                <w:b w:val="0"/>
                <w:sz w:val="15"/>
              </w:rPr>
              <w:t>Unit, component, contract, mutation, security, AI evaluation, and regression evidence.</w:t>
            </w:r>
          </w:p>
        </w:tc>
      </w:tr>
      <w:tr>
        <w:tc>
          <w:tcPr>
            <w:tcW w:type="dxa" w:w="2592"/>
            <w:shd w:fill="F7FBFF"/>
            <w:vAlign w:val="top"/>
          </w:tcPr>
          <w:p>
            <w:r/>
            <w:r>
              <w:rPr>
                <w:rFonts w:ascii="Aptos" w:hAnsi="Aptos"/>
                <w:b w:val="0"/>
                <w:sz w:val="15"/>
              </w:rPr>
              <w:t>Secure by Design</w:t>
            </w:r>
          </w:p>
        </w:tc>
        <w:tc>
          <w:tcPr>
            <w:tcW w:type="dxa" w:w="7776"/>
            <w:shd w:fill="F7FBFF"/>
            <w:vAlign w:val="top"/>
          </w:tcPr>
          <w:p>
            <w:r/>
            <w:r>
              <w:rPr>
                <w:rFonts w:ascii="Aptos" w:hAnsi="Aptos"/>
                <w:b w:val="0"/>
                <w:sz w:val="15"/>
              </w:rPr>
              <w:t>Threat-model update, SAST/SCA/secret scan, authorization tests, redaction tests.</w:t>
            </w:r>
          </w:p>
        </w:tc>
      </w:tr>
      <w:tr>
        <w:tc>
          <w:tcPr>
            <w:tcW w:type="dxa" w:w="2592"/>
            <w:vAlign w:val="top"/>
          </w:tcPr>
          <w:p>
            <w:r/>
            <w:r>
              <w:rPr>
                <w:rFonts w:ascii="Aptos" w:hAnsi="Aptos"/>
                <w:b w:val="0"/>
                <w:sz w:val="15"/>
              </w:rPr>
              <w:t>Resilience</w:t>
            </w:r>
          </w:p>
        </w:tc>
        <w:tc>
          <w:tcPr>
            <w:tcW w:type="dxa" w:w="7776"/>
            <w:vAlign w:val="top"/>
          </w:tcPr>
          <w:p>
            <w:r/>
            <w:r>
              <w:rPr>
                <w:rFonts w:ascii="Aptos" w:hAnsi="Aptos"/>
                <w:b w:val="0"/>
                <w:sz w:val="15"/>
              </w:rPr>
              <w:t>Timeout/retry/circuit-breaker tests; DLQ and compensation evidence.</w:t>
            </w:r>
          </w:p>
        </w:tc>
      </w:tr>
      <w:tr>
        <w:tc>
          <w:tcPr>
            <w:tcW w:type="dxa" w:w="2592"/>
            <w:shd w:fill="F7FBFF"/>
            <w:vAlign w:val="top"/>
          </w:tcPr>
          <w:p>
            <w:r/>
            <w:r>
              <w:rPr>
                <w:rFonts w:ascii="Aptos" w:hAnsi="Aptos"/>
                <w:b w:val="0"/>
                <w:sz w:val="15"/>
              </w:rPr>
              <w:t>Reversibility</w:t>
            </w:r>
          </w:p>
        </w:tc>
        <w:tc>
          <w:tcPr>
            <w:tcW w:type="dxa" w:w="7776"/>
            <w:shd w:fill="F7FBFF"/>
            <w:vAlign w:val="top"/>
          </w:tcPr>
          <w:p>
            <w:r/>
            <w:r>
              <w:rPr>
                <w:rFonts w:ascii="Aptos" w:hAnsi="Aptos"/>
                <w:b w:val="0"/>
                <w:sz w:val="15"/>
              </w:rPr>
              <w:t>Rollback, forward-fix, feature-toggle, compensation, or deactivation plan.</w:t>
            </w:r>
          </w:p>
        </w:tc>
      </w:tr>
      <w:tr>
        <w:tc>
          <w:tcPr>
            <w:tcW w:type="dxa" w:w="2592"/>
            <w:vAlign w:val="top"/>
          </w:tcPr>
          <w:p>
            <w:r/>
            <w:r>
              <w:rPr>
                <w:rFonts w:ascii="Aptos" w:hAnsi="Aptos"/>
                <w:b w:val="0"/>
                <w:sz w:val="15"/>
              </w:rPr>
              <w:t>AVCI</w:t>
            </w:r>
          </w:p>
        </w:tc>
        <w:tc>
          <w:tcPr>
            <w:tcW w:type="dxa" w:w="7776"/>
            <w:vAlign w:val="top"/>
          </w:tcPr>
          <w:p>
            <w:r/>
            <w:r>
              <w:rPr>
                <w:rFonts w:ascii="Aptos" w:hAnsi="Aptos"/>
                <w:b w:val="0"/>
                <w:sz w:val="15"/>
              </w:rPr>
              <w:t>Owner, source, evidence, classification, and improvement path captured in PR/MR and release evidence.</w:t>
            </w:r>
          </w:p>
        </w:tc>
      </w:tr>
    </w:tbl>
    <w:p/>
    <w:p>
      <w:pPr>
        <w:pStyle w:val="Heading1"/>
      </w:pPr>
      <w:r>
        <w:rPr>
          <w:rFonts w:ascii="Aptos Display" w:hAnsi="Aptos Display"/>
          <w:color w:val="1F4E79"/>
        </w:rPr>
        <w:t>11. Implementation Plan</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81"/>
        <w:gridCol w:w="2581"/>
        <w:gridCol w:w="2581"/>
        <w:gridCol w:w="2581"/>
      </w:tblGrid>
      <w:tr>
        <w:tc>
          <w:tcPr>
            <w:tcW w:type="dxa" w:w="720"/>
            <w:shd w:fill="1F4E79"/>
            <w:vAlign w:val="top"/>
          </w:tcPr>
          <w:p>
            <w:pPr>
              <w:jc w:val="center"/>
            </w:pPr>
            <w:r/>
            <w:r>
              <w:rPr>
                <w:rFonts w:ascii="Aptos" w:hAnsi="Aptos"/>
                <w:b/>
                <w:color w:val="FFFFFF"/>
                <w:sz w:val="16"/>
              </w:rPr>
              <w:t>Step</w:t>
            </w:r>
          </w:p>
        </w:tc>
        <w:tc>
          <w:tcPr>
            <w:tcW w:type="dxa" w:w="4320"/>
            <w:shd w:fill="1F4E79"/>
            <w:vAlign w:val="top"/>
          </w:tcPr>
          <w:p>
            <w:pPr>
              <w:jc w:val="center"/>
            </w:pPr>
            <w:r/>
            <w:r>
              <w:rPr>
                <w:rFonts w:ascii="Aptos" w:hAnsi="Aptos"/>
                <w:b/>
                <w:color w:val="FFFFFF"/>
                <w:sz w:val="16"/>
              </w:rPr>
              <w:t>Action</w:t>
            </w:r>
          </w:p>
        </w:tc>
        <w:tc>
          <w:tcPr>
            <w:tcW w:type="dxa" w:w="2880"/>
            <w:shd w:fill="1F4E79"/>
            <w:vAlign w:val="top"/>
          </w:tcPr>
          <w:p>
            <w:pPr>
              <w:jc w:val="center"/>
            </w:pPr>
            <w:r/>
            <w:r>
              <w:rPr>
                <w:rFonts w:ascii="Aptos" w:hAnsi="Aptos"/>
                <w:b/>
                <w:color w:val="FFFFFF"/>
                <w:sz w:val="16"/>
              </w:rPr>
              <w:t>Owner</w:t>
            </w:r>
          </w:p>
        </w:tc>
        <w:tc>
          <w:tcPr>
            <w:tcW w:type="dxa" w:w="2448"/>
            <w:shd w:fill="1F4E79"/>
            <w:vAlign w:val="top"/>
          </w:tcPr>
          <w:p>
            <w:pPr>
              <w:jc w:val="center"/>
            </w:pPr>
            <w:r/>
            <w:r>
              <w:rPr>
                <w:rFonts w:ascii="Aptos" w:hAnsi="Aptos"/>
                <w:b/>
                <w:color w:val="FFFFFF"/>
                <w:sz w:val="16"/>
              </w:rPr>
              <w:t>Timing</w:t>
            </w:r>
          </w:p>
        </w:tc>
      </w:tr>
      <w:tr>
        <w:tc>
          <w:tcPr>
            <w:tcW w:type="dxa" w:w="720"/>
            <w:vAlign w:val="top"/>
          </w:tcPr>
          <w:p>
            <w:r/>
            <w:r>
              <w:rPr>
                <w:rFonts w:ascii="Aptos" w:hAnsi="Aptos"/>
                <w:b w:val="0"/>
                <w:sz w:val="16"/>
              </w:rPr>
              <w:t>1</w:t>
            </w:r>
          </w:p>
        </w:tc>
        <w:tc>
          <w:tcPr>
            <w:tcW w:type="dxa" w:w="4320"/>
            <w:vAlign w:val="top"/>
          </w:tcPr>
          <w:p>
            <w:r/>
            <w:r>
              <w:rPr>
                <w:rFonts w:ascii="Aptos" w:hAnsi="Aptos"/>
                <w:b w:val="0"/>
                <w:sz w:val="16"/>
              </w:rPr>
              <w:t>Approve this ADR</w:t>
            </w:r>
          </w:p>
        </w:tc>
        <w:tc>
          <w:tcPr>
            <w:tcW w:type="dxa" w:w="2880"/>
            <w:vAlign w:val="top"/>
          </w:tcPr>
          <w:p>
            <w:r/>
            <w:r>
              <w:rPr>
                <w:rFonts w:ascii="Aptos" w:hAnsi="Aptos"/>
                <w:b w:val="0"/>
                <w:sz w:val="16"/>
              </w:rPr>
              <w:t>Solutions Architect / Architecture Review Board</w:t>
            </w:r>
          </w:p>
        </w:tc>
        <w:tc>
          <w:tcPr>
            <w:tcW w:type="dxa" w:w="2448"/>
            <w:vAlign w:val="top"/>
          </w:tcPr>
          <w:p>
            <w:r/>
            <w:r>
              <w:rPr>
                <w:rFonts w:ascii="Aptos" w:hAnsi="Aptos"/>
                <w:b w:val="0"/>
                <w:sz w:val="16"/>
              </w:rPr>
              <w:t>Before document regeneration</w:t>
            </w:r>
          </w:p>
        </w:tc>
      </w:tr>
      <w:tr>
        <w:tc>
          <w:tcPr>
            <w:tcW w:type="dxa" w:w="720"/>
            <w:shd w:fill="F7FBFF"/>
            <w:vAlign w:val="top"/>
          </w:tcPr>
          <w:p>
            <w:r/>
            <w:r>
              <w:rPr>
                <w:rFonts w:ascii="Aptos" w:hAnsi="Aptos"/>
                <w:b w:val="0"/>
                <w:sz w:val="16"/>
              </w:rPr>
              <w:t>2</w:t>
            </w:r>
          </w:p>
        </w:tc>
        <w:tc>
          <w:tcPr>
            <w:tcW w:type="dxa" w:w="4320"/>
            <w:shd w:fill="F7FBFF"/>
            <w:vAlign w:val="top"/>
          </w:tcPr>
          <w:p>
            <w:r/>
            <w:r>
              <w:rPr>
                <w:rFonts w:ascii="Aptos" w:hAnsi="Aptos"/>
                <w:b w:val="0"/>
                <w:sz w:val="16"/>
              </w:rPr>
              <w:t>Create 01A canonical companion standard</w:t>
            </w:r>
          </w:p>
        </w:tc>
        <w:tc>
          <w:tcPr>
            <w:tcW w:type="dxa" w:w="2880"/>
            <w:shd w:fill="F7FBFF"/>
            <w:vAlign w:val="top"/>
          </w:tcPr>
          <w:p>
            <w:r/>
            <w:r>
              <w:rPr>
                <w:rFonts w:ascii="Aptos" w:hAnsi="Aptos"/>
                <w:b w:val="0"/>
                <w:sz w:val="16"/>
              </w:rPr>
              <w:t>Solutions Architecture Office</w:t>
            </w:r>
          </w:p>
        </w:tc>
        <w:tc>
          <w:tcPr>
            <w:tcW w:type="dxa" w:w="2448"/>
            <w:shd w:fill="F7FBFF"/>
            <w:vAlign w:val="top"/>
          </w:tcPr>
          <w:p>
            <w:r/>
            <w:r>
              <w:rPr>
                <w:rFonts w:ascii="Aptos" w:hAnsi="Aptos"/>
                <w:b w:val="0"/>
                <w:sz w:val="16"/>
              </w:rPr>
              <w:t>Next artifact</w:t>
            </w:r>
          </w:p>
        </w:tc>
      </w:tr>
      <w:tr>
        <w:tc>
          <w:tcPr>
            <w:tcW w:type="dxa" w:w="720"/>
            <w:vAlign w:val="top"/>
          </w:tcPr>
          <w:p>
            <w:r/>
            <w:r>
              <w:rPr>
                <w:rFonts w:ascii="Aptos" w:hAnsi="Aptos"/>
                <w:b w:val="0"/>
                <w:sz w:val="16"/>
              </w:rPr>
              <w:t>3</w:t>
            </w:r>
          </w:p>
        </w:tc>
        <w:tc>
          <w:tcPr>
            <w:tcW w:type="dxa" w:w="4320"/>
            <w:vAlign w:val="top"/>
          </w:tcPr>
          <w:p>
            <w:r/>
            <w:r>
              <w:rPr>
                <w:rFonts w:ascii="Aptos" w:hAnsi="Aptos"/>
                <w:b w:val="0"/>
                <w:sz w:val="16"/>
              </w:rPr>
              <w:t>Revise 01 AVCI to v3.0</w:t>
            </w:r>
          </w:p>
        </w:tc>
        <w:tc>
          <w:tcPr>
            <w:tcW w:type="dxa" w:w="2880"/>
            <w:vAlign w:val="top"/>
          </w:tcPr>
          <w:p>
            <w:r/>
            <w:r>
              <w:rPr>
                <w:rFonts w:ascii="Aptos" w:hAnsi="Aptos"/>
                <w:b w:val="0"/>
                <w:sz w:val="16"/>
              </w:rPr>
              <w:t>Solutions Architecture Office</w:t>
            </w:r>
          </w:p>
        </w:tc>
        <w:tc>
          <w:tcPr>
            <w:tcW w:type="dxa" w:w="2448"/>
            <w:vAlign w:val="top"/>
          </w:tcPr>
          <w:p>
            <w:r/>
            <w:r>
              <w:rPr>
                <w:rFonts w:ascii="Aptos" w:hAnsi="Aptos"/>
                <w:b w:val="0"/>
                <w:sz w:val="16"/>
              </w:rPr>
              <w:t>After 01A draft</w:t>
            </w:r>
          </w:p>
        </w:tc>
      </w:tr>
      <w:tr>
        <w:tc>
          <w:tcPr>
            <w:tcW w:type="dxa" w:w="720"/>
            <w:shd w:fill="F7FBFF"/>
            <w:vAlign w:val="top"/>
          </w:tcPr>
          <w:p>
            <w:r/>
            <w:r>
              <w:rPr>
                <w:rFonts w:ascii="Aptos" w:hAnsi="Aptos"/>
                <w:b w:val="0"/>
                <w:sz w:val="16"/>
              </w:rPr>
              <w:t>4</w:t>
            </w:r>
          </w:p>
        </w:tc>
        <w:tc>
          <w:tcPr>
            <w:tcW w:type="dxa" w:w="4320"/>
            <w:shd w:fill="F7FBFF"/>
            <w:vAlign w:val="top"/>
          </w:tcPr>
          <w:p>
            <w:r/>
            <w:r>
              <w:rPr>
                <w:rFonts w:ascii="Aptos" w:hAnsi="Aptos"/>
                <w:b w:val="0"/>
                <w:sz w:val="16"/>
              </w:rPr>
              <w:t>Revise 02 Engineering Blueprint to v5.0</w:t>
            </w:r>
          </w:p>
        </w:tc>
        <w:tc>
          <w:tcPr>
            <w:tcW w:type="dxa" w:w="2880"/>
            <w:shd w:fill="F7FBFF"/>
            <w:vAlign w:val="top"/>
          </w:tcPr>
          <w:p>
            <w:r/>
            <w:r>
              <w:rPr>
                <w:rFonts w:ascii="Aptos" w:hAnsi="Aptos"/>
                <w:b w:val="0"/>
                <w:sz w:val="16"/>
              </w:rPr>
              <w:t>Enterprise Architecture</w:t>
            </w:r>
          </w:p>
        </w:tc>
        <w:tc>
          <w:tcPr>
            <w:tcW w:type="dxa" w:w="2448"/>
            <w:shd w:fill="F7FBFF"/>
            <w:vAlign w:val="top"/>
          </w:tcPr>
          <w:p>
            <w:r/>
            <w:r>
              <w:rPr>
                <w:rFonts w:ascii="Aptos" w:hAnsi="Aptos"/>
                <w:b w:val="0"/>
                <w:sz w:val="16"/>
              </w:rPr>
              <w:t>After 01 v3.0</w:t>
            </w:r>
          </w:p>
        </w:tc>
      </w:tr>
      <w:tr>
        <w:tc>
          <w:tcPr>
            <w:tcW w:type="dxa" w:w="720"/>
            <w:vAlign w:val="top"/>
          </w:tcPr>
          <w:p>
            <w:r/>
            <w:r>
              <w:rPr>
                <w:rFonts w:ascii="Aptos" w:hAnsi="Aptos"/>
                <w:b w:val="0"/>
                <w:sz w:val="16"/>
              </w:rPr>
              <w:t>5</w:t>
            </w:r>
          </w:p>
        </w:tc>
        <w:tc>
          <w:tcPr>
            <w:tcW w:type="dxa" w:w="4320"/>
            <w:vAlign w:val="top"/>
          </w:tcPr>
          <w:p>
            <w:r/>
            <w:r>
              <w:rPr>
                <w:rFonts w:ascii="Aptos" w:hAnsi="Aptos"/>
                <w:b w:val="0"/>
                <w:sz w:val="16"/>
              </w:rPr>
              <w:t>Revise Developer Guide, Unit Testing, CLAUDE.md, DevSecOps, and MicroFunction documents</w:t>
            </w:r>
          </w:p>
        </w:tc>
        <w:tc>
          <w:tcPr>
            <w:tcW w:type="dxa" w:w="2880"/>
            <w:vAlign w:val="top"/>
          </w:tcPr>
          <w:p>
            <w:r/>
            <w:r>
              <w:rPr>
                <w:rFonts w:ascii="Aptos" w:hAnsi="Aptos"/>
                <w:b w:val="0"/>
                <w:sz w:val="16"/>
              </w:rPr>
              <w:t>Document owners</w:t>
            </w:r>
          </w:p>
        </w:tc>
        <w:tc>
          <w:tcPr>
            <w:tcW w:type="dxa" w:w="2448"/>
            <w:vAlign w:val="top"/>
          </w:tcPr>
          <w:p>
            <w:r/>
            <w:r>
              <w:rPr>
                <w:rFonts w:ascii="Aptos" w:hAnsi="Aptos"/>
                <w:b w:val="0"/>
                <w:sz w:val="16"/>
              </w:rPr>
              <w:t>Priority batch</w:t>
            </w:r>
          </w:p>
        </w:tc>
      </w:tr>
      <w:tr>
        <w:tc>
          <w:tcPr>
            <w:tcW w:type="dxa" w:w="720"/>
            <w:shd w:fill="F7FBFF"/>
            <w:vAlign w:val="top"/>
          </w:tcPr>
          <w:p>
            <w:r/>
            <w:r>
              <w:rPr>
                <w:rFonts w:ascii="Aptos" w:hAnsi="Aptos"/>
                <w:b w:val="0"/>
                <w:sz w:val="16"/>
              </w:rPr>
              <w:t>6</w:t>
            </w:r>
          </w:p>
        </w:tc>
        <w:tc>
          <w:tcPr>
            <w:tcW w:type="dxa" w:w="4320"/>
            <w:shd w:fill="F7FBFF"/>
            <w:vAlign w:val="top"/>
          </w:tcPr>
          <w:p>
            <w:r/>
            <w:r>
              <w:rPr>
                <w:rFonts w:ascii="Aptos" w:hAnsi="Aptos"/>
                <w:b w:val="0"/>
                <w:sz w:val="16"/>
              </w:rPr>
              <w:t>Revise specialist standards</w:t>
            </w:r>
          </w:p>
        </w:tc>
        <w:tc>
          <w:tcPr>
            <w:tcW w:type="dxa" w:w="2880"/>
            <w:shd w:fill="F7FBFF"/>
            <w:vAlign w:val="top"/>
          </w:tcPr>
          <w:p>
            <w:r/>
            <w:r>
              <w:rPr>
                <w:rFonts w:ascii="Aptos" w:hAnsi="Aptos"/>
                <w:b w:val="0"/>
                <w:sz w:val="16"/>
              </w:rPr>
              <w:t>Document owners</w:t>
            </w:r>
          </w:p>
        </w:tc>
        <w:tc>
          <w:tcPr>
            <w:tcW w:type="dxa" w:w="2448"/>
            <w:shd w:fill="F7FBFF"/>
            <w:vAlign w:val="top"/>
          </w:tcPr>
          <w:p>
            <w:r/>
            <w:r>
              <w:rPr>
                <w:rFonts w:ascii="Aptos" w:hAnsi="Aptos"/>
                <w:b w:val="0"/>
                <w:sz w:val="16"/>
              </w:rPr>
              <w:t>Second batch</w:t>
            </w:r>
          </w:p>
        </w:tc>
      </w:tr>
      <w:tr>
        <w:tc>
          <w:tcPr>
            <w:tcW w:type="dxa" w:w="720"/>
            <w:vAlign w:val="top"/>
          </w:tcPr>
          <w:p>
            <w:r/>
            <w:r>
              <w:rPr>
                <w:rFonts w:ascii="Aptos" w:hAnsi="Aptos"/>
                <w:b w:val="0"/>
                <w:sz w:val="16"/>
              </w:rPr>
              <w:t>7</w:t>
            </w:r>
          </w:p>
        </w:tc>
        <w:tc>
          <w:tcPr>
            <w:tcW w:type="dxa" w:w="4320"/>
            <w:vAlign w:val="top"/>
          </w:tcPr>
          <w:p>
            <w:r/>
            <w:r>
              <w:rPr>
                <w:rFonts w:ascii="Aptos" w:hAnsi="Aptos"/>
                <w:b w:val="0"/>
                <w:sz w:val="16"/>
              </w:rPr>
              <w:t>Update repository templates and CI rules</w:t>
            </w:r>
          </w:p>
        </w:tc>
        <w:tc>
          <w:tcPr>
            <w:tcW w:type="dxa" w:w="2880"/>
            <w:vAlign w:val="top"/>
          </w:tcPr>
          <w:p>
            <w:r/>
            <w:r>
              <w:rPr>
                <w:rFonts w:ascii="Aptos" w:hAnsi="Aptos"/>
                <w:b w:val="0"/>
                <w:sz w:val="16"/>
              </w:rPr>
              <w:t>DevSecOps / Security / QA</w:t>
            </w:r>
          </w:p>
        </w:tc>
        <w:tc>
          <w:tcPr>
            <w:tcW w:type="dxa" w:w="2448"/>
            <w:vAlign w:val="top"/>
          </w:tcPr>
          <w:p>
            <w:r/>
            <w:r>
              <w:rPr>
                <w:rFonts w:ascii="Aptos" w:hAnsi="Aptos"/>
                <w:b w:val="0"/>
                <w:sz w:val="16"/>
              </w:rPr>
              <w:t>Before development kickoff</w:t>
            </w:r>
          </w:p>
        </w:tc>
      </w:tr>
      <w:tr>
        <w:tc>
          <w:tcPr>
            <w:tcW w:type="dxa" w:w="720"/>
            <w:shd w:fill="F7FBFF"/>
            <w:vAlign w:val="top"/>
          </w:tcPr>
          <w:p>
            <w:r/>
            <w:r>
              <w:rPr>
                <w:rFonts w:ascii="Aptos" w:hAnsi="Aptos"/>
                <w:b w:val="0"/>
                <w:sz w:val="16"/>
              </w:rPr>
              <w:t>8</w:t>
            </w:r>
          </w:p>
        </w:tc>
        <w:tc>
          <w:tcPr>
            <w:tcW w:type="dxa" w:w="4320"/>
            <w:shd w:fill="F7FBFF"/>
            <w:vAlign w:val="top"/>
          </w:tcPr>
          <w:p>
            <w:r/>
            <w:r>
              <w:rPr>
                <w:rFonts w:ascii="Aptos" w:hAnsi="Aptos"/>
                <w:b w:val="0"/>
                <w:sz w:val="16"/>
              </w:rPr>
              <w:t>Conduct team onboarding</w:t>
            </w:r>
          </w:p>
        </w:tc>
        <w:tc>
          <w:tcPr>
            <w:tcW w:type="dxa" w:w="2880"/>
            <w:shd w:fill="F7FBFF"/>
            <w:vAlign w:val="top"/>
          </w:tcPr>
          <w:p>
            <w:r/>
            <w:r>
              <w:rPr>
                <w:rFonts w:ascii="Aptos" w:hAnsi="Aptos"/>
                <w:b w:val="0"/>
                <w:sz w:val="16"/>
              </w:rPr>
              <w:t>IT Head / Development Lead</w:t>
            </w:r>
          </w:p>
        </w:tc>
        <w:tc>
          <w:tcPr>
            <w:tcW w:type="dxa" w:w="2448"/>
            <w:shd w:fill="F7FBFF"/>
            <w:vAlign w:val="top"/>
          </w:tcPr>
          <w:p>
            <w:r/>
            <w:r>
              <w:rPr>
                <w:rFonts w:ascii="Aptos" w:hAnsi="Aptos"/>
                <w:b w:val="0"/>
                <w:sz w:val="16"/>
              </w:rPr>
              <w:t>Before mergeable production code</w:t>
            </w:r>
          </w:p>
        </w:tc>
      </w:tr>
    </w:tbl>
    <w:p/>
    <w:p>
      <w:pPr>
        <w:pStyle w:val="Heading1"/>
      </w:pPr>
      <w:r>
        <w:rPr>
          <w:rFonts w:ascii="Aptos Display" w:hAnsi="Aptos Display"/>
          <w:color w:val="1F4E79"/>
        </w:rPr>
        <w:t>12. RACI</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065"/>
        <w:gridCol w:w="2065"/>
        <w:gridCol w:w="2065"/>
        <w:gridCol w:w="2065"/>
        <w:gridCol w:w="2065"/>
      </w:tblGrid>
      <w:tr>
        <w:tc>
          <w:tcPr>
            <w:tcW w:type="dxa" w:w="2376"/>
            <w:shd w:fill="1F4E79"/>
            <w:vAlign w:val="top"/>
          </w:tcPr>
          <w:p>
            <w:pPr>
              <w:jc w:val="center"/>
            </w:pPr>
            <w:r/>
            <w:r>
              <w:rPr>
                <w:rFonts w:ascii="Aptos" w:hAnsi="Aptos"/>
                <w:b/>
                <w:color w:val="FFFFFF"/>
                <w:sz w:val="15"/>
              </w:rPr>
              <w:t>Activity</w:t>
            </w:r>
          </w:p>
        </w:tc>
        <w:tc>
          <w:tcPr>
            <w:tcW w:type="dxa" w:w="1944"/>
            <w:shd w:fill="1F4E79"/>
            <w:vAlign w:val="top"/>
          </w:tcPr>
          <w:p>
            <w:pPr>
              <w:jc w:val="center"/>
            </w:pPr>
            <w:r/>
            <w:r>
              <w:rPr>
                <w:rFonts w:ascii="Aptos" w:hAnsi="Aptos"/>
                <w:b/>
                <w:color w:val="FFFFFF"/>
                <w:sz w:val="15"/>
              </w:rPr>
              <w:t>Responsible</w:t>
            </w:r>
          </w:p>
        </w:tc>
        <w:tc>
          <w:tcPr>
            <w:tcW w:type="dxa" w:w="2088"/>
            <w:shd w:fill="1F4E79"/>
            <w:vAlign w:val="top"/>
          </w:tcPr>
          <w:p>
            <w:pPr>
              <w:jc w:val="center"/>
            </w:pPr>
            <w:r/>
            <w:r>
              <w:rPr>
                <w:rFonts w:ascii="Aptos" w:hAnsi="Aptos"/>
                <w:b/>
                <w:color w:val="FFFFFF"/>
                <w:sz w:val="15"/>
              </w:rPr>
              <w:t>Accountable</w:t>
            </w:r>
          </w:p>
        </w:tc>
        <w:tc>
          <w:tcPr>
            <w:tcW w:type="dxa" w:w="2088"/>
            <w:shd w:fill="1F4E79"/>
            <w:vAlign w:val="top"/>
          </w:tcPr>
          <w:p>
            <w:pPr>
              <w:jc w:val="center"/>
            </w:pPr>
            <w:r/>
            <w:r>
              <w:rPr>
                <w:rFonts w:ascii="Aptos" w:hAnsi="Aptos"/>
                <w:b/>
                <w:color w:val="FFFFFF"/>
                <w:sz w:val="15"/>
              </w:rPr>
              <w:t>Consulted</w:t>
            </w:r>
          </w:p>
        </w:tc>
        <w:tc>
          <w:tcPr>
            <w:tcW w:type="dxa" w:w="1872"/>
            <w:shd w:fill="1F4E79"/>
            <w:vAlign w:val="top"/>
          </w:tcPr>
          <w:p>
            <w:pPr>
              <w:jc w:val="center"/>
            </w:pPr>
            <w:r/>
            <w:r>
              <w:rPr>
                <w:rFonts w:ascii="Aptos" w:hAnsi="Aptos"/>
                <w:b/>
                <w:color w:val="FFFFFF"/>
                <w:sz w:val="15"/>
              </w:rPr>
              <w:t>Informed</w:t>
            </w:r>
          </w:p>
        </w:tc>
      </w:tr>
      <w:tr>
        <w:tc>
          <w:tcPr>
            <w:tcW w:type="dxa" w:w="2376"/>
            <w:vAlign w:val="top"/>
          </w:tcPr>
          <w:p>
            <w:r/>
            <w:r>
              <w:rPr>
                <w:rFonts w:ascii="Aptos" w:hAnsi="Aptos"/>
                <w:b w:val="0"/>
                <w:sz w:val="15"/>
              </w:rPr>
              <w:t>Approve ADR</w:t>
            </w:r>
          </w:p>
        </w:tc>
        <w:tc>
          <w:tcPr>
            <w:tcW w:type="dxa" w:w="1944"/>
            <w:vAlign w:val="top"/>
          </w:tcPr>
          <w:p>
            <w:r/>
            <w:r>
              <w:rPr>
                <w:rFonts w:ascii="Aptos" w:hAnsi="Aptos"/>
                <w:b w:val="0"/>
                <w:sz w:val="15"/>
              </w:rPr>
              <w:t>Solutions Architect / IT Head</w:t>
            </w:r>
          </w:p>
        </w:tc>
        <w:tc>
          <w:tcPr>
            <w:tcW w:type="dxa" w:w="2088"/>
            <w:vAlign w:val="top"/>
          </w:tcPr>
          <w:p>
            <w:r/>
            <w:r>
              <w:rPr>
                <w:rFonts w:ascii="Aptos" w:hAnsi="Aptos"/>
                <w:b w:val="0"/>
                <w:sz w:val="15"/>
              </w:rPr>
              <w:t>Architecture Review Board</w:t>
            </w:r>
          </w:p>
        </w:tc>
        <w:tc>
          <w:tcPr>
            <w:tcW w:type="dxa" w:w="2088"/>
            <w:vAlign w:val="top"/>
          </w:tcPr>
          <w:p>
            <w:r/>
            <w:r>
              <w:rPr>
                <w:rFonts w:ascii="Aptos" w:hAnsi="Aptos"/>
                <w:b w:val="0"/>
                <w:sz w:val="15"/>
              </w:rPr>
              <w:t>Security, DevSecOps, QA</w:t>
            </w:r>
          </w:p>
        </w:tc>
        <w:tc>
          <w:tcPr>
            <w:tcW w:type="dxa" w:w="1872"/>
            <w:vAlign w:val="top"/>
          </w:tcPr>
          <w:p>
            <w:r/>
            <w:r>
              <w:rPr>
                <w:rFonts w:ascii="Aptos" w:hAnsi="Aptos"/>
                <w:b w:val="0"/>
                <w:sz w:val="15"/>
              </w:rPr>
              <w:t>Development Team, Internal Audit</w:t>
            </w:r>
          </w:p>
        </w:tc>
      </w:tr>
      <w:tr>
        <w:tc>
          <w:tcPr>
            <w:tcW w:type="dxa" w:w="2376"/>
            <w:shd w:fill="F7FBFF"/>
            <w:vAlign w:val="top"/>
          </w:tcPr>
          <w:p>
            <w:r/>
            <w:r>
              <w:rPr>
                <w:rFonts w:ascii="Aptos" w:hAnsi="Aptos"/>
                <w:b w:val="0"/>
                <w:sz w:val="15"/>
              </w:rPr>
              <w:t>Create 01A companion standard</w:t>
            </w:r>
          </w:p>
        </w:tc>
        <w:tc>
          <w:tcPr>
            <w:tcW w:type="dxa" w:w="1944"/>
            <w:shd w:fill="F7FBFF"/>
            <w:vAlign w:val="top"/>
          </w:tcPr>
          <w:p>
            <w:r/>
            <w:r>
              <w:rPr>
                <w:rFonts w:ascii="Aptos" w:hAnsi="Aptos"/>
                <w:b w:val="0"/>
                <w:sz w:val="15"/>
              </w:rPr>
              <w:t>Solutions Architecture Office</w:t>
            </w:r>
          </w:p>
        </w:tc>
        <w:tc>
          <w:tcPr>
            <w:tcW w:type="dxa" w:w="2088"/>
            <w:shd w:fill="F7FBFF"/>
            <w:vAlign w:val="top"/>
          </w:tcPr>
          <w:p>
            <w:r/>
            <w:r>
              <w:rPr>
                <w:rFonts w:ascii="Aptos" w:hAnsi="Aptos"/>
                <w:b w:val="0"/>
                <w:sz w:val="15"/>
              </w:rPr>
              <w:t>Solutions Architect / IT Head</w:t>
            </w:r>
          </w:p>
        </w:tc>
        <w:tc>
          <w:tcPr>
            <w:tcW w:type="dxa" w:w="2088"/>
            <w:shd w:fill="F7FBFF"/>
            <w:vAlign w:val="top"/>
          </w:tcPr>
          <w:p>
            <w:r/>
            <w:r>
              <w:rPr>
                <w:rFonts w:ascii="Aptos" w:hAnsi="Aptos"/>
                <w:b w:val="0"/>
                <w:sz w:val="15"/>
              </w:rPr>
              <w:t>Dev Lead, Security, QA, DevSecOps</w:t>
            </w:r>
          </w:p>
        </w:tc>
        <w:tc>
          <w:tcPr>
            <w:tcW w:type="dxa" w:w="1872"/>
            <w:shd w:fill="F7FBFF"/>
            <w:vAlign w:val="top"/>
          </w:tcPr>
          <w:p>
            <w:r/>
            <w:r>
              <w:rPr>
                <w:rFonts w:ascii="Aptos" w:hAnsi="Aptos"/>
                <w:b w:val="0"/>
                <w:sz w:val="15"/>
              </w:rPr>
              <w:t>All AIRA stakeholders</w:t>
            </w:r>
          </w:p>
        </w:tc>
      </w:tr>
      <w:tr>
        <w:tc>
          <w:tcPr>
            <w:tcW w:type="dxa" w:w="2376"/>
            <w:vAlign w:val="top"/>
          </w:tcPr>
          <w:p>
            <w:r/>
            <w:r>
              <w:rPr>
                <w:rFonts w:ascii="Aptos" w:hAnsi="Aptos"/>
                <w:b w:val="0"/>
                <w:sz w:val="15"/>
              </w:rPr>
              <w:t>Revise core standards</w:t>
            </w:r>
          </w:p>
        </w:tc>
        <w:tc>
          <w:tcPr>
            <w:tcW w:type="dxa" w:w="1944"/>
            <w:vAlign w:val="top"/>
          </w:tcPr>
          <w:p>
            <w:r/>
            <w:r>
              <w:rPr>
                <w:rFonts w:ascii="Aptos" w:hAnsi="Aptos"/>
                <w:b w:val="0"/>
                <w:sz w:val="15"/>
              </w:rPr>
              <w:t>Document Owners</w:t>
            </w:r>
          </w:p>
        </w:tc>
        <w:tc>
          <w:tcPr>
            <w:tcW w:type="dxa" w:w="2088"/>
            <w:vAlign w:val="top"/>
          </w:tcPr>
          <w:p>
            <w:r/>
            <w:r>
              <w:rPr>
                <w:rFonts w:ascii="Aptos" w:hAnsi="Aptos"/>
                <w:b w:val="0"/>
                <w:sz w:val="15"/>
              </w:rPr>
              <w:t>Solutions Architect / IT Head</w:t>
            </w:r>
          </w:p>
        </w:tc>
        <w:tc>
          <w:tcPr>
            <w:tcW w:type="dxa" w:w="2088"/>
            <w:vAlign w:val="top"/>
          </w:tcPr>
          <w:p>
            <w:r/>
            <w:r>
              <w:rPr>
                <w:rFonts w:ascii="Aptos" w:hAnsi="Aptos"/>
                <w:b w:val="0"/>
                <w:sz w:val="15"/>
              </w:rPr>
              <w:t>Architecture, Security, QA, DevSecOps</w:t>
            </w:r>
          </w:p>
        </w:tc>
        <w:tc>
          <w:tcPr>
            <w:tcW w:type="dxa" w:w="1872"/>
            <w:vAlign w:val="top"/>
          </w:tcPr>
          <w:p>
            <w:r/>
            <w:r>
              <w:rPr>
                <w:rFonts w:ascii="Aptos" w:hAnsi="Aptos"/>
                <w:b w:val="0"/>
                <w:sz w:val="15"/>
              </w:rPr>
              <w:t>Development Team</w:t>
            </w:r>
          </w:p>
        </w:tc>
      </w:tr>
      <w:tr>
        <w:tc>
          <w:tcPr>
            <w:tcW w:type="dxa" w:w="2376"/>
            <w:shd w:fill="F7FBFF"/>
            <w:vAlign w:val="top"/>
          </w:tcPr>
          <w:p>
            <w:r/>
            <w:r>
              <w:rPr>
                <w:rFonts w:ascii="Aptos" w:hAnsi="Aptos"/>
                <w:b w:val="0"/>
                <w:sz w:val="15"/>
              </w:rPr>
              <w:t>Implement CI/fitness checks</w:t>
            </w:r>
          </w:p>
        </w:tc>
        <w:tc>
          <w:tcPr>
            <w:tcW w:type="dxa" w:w="1944"/>
            <w:shd w:fill="F7FBFF"/>
            <w:vAlign w:val="top"/>
          </w:tcPr>
          <w:p>
            <w:r/>
            <w:r>
              <w:rPr>
                <w:rFonts w:ascii="Aptos" w:hAnsi="Aptos"/>
                <w:b w:val="0"/>
                <w:sz w:val="15"/>
              </w:rPr>
              <w:t>DevSecOps / QA / Security</w:t>
            </w:r>
          </w:p>
        </w:tc>
        <w:tc>
          <w:tcPr>
            <w:tcW w:type="dxa" w:w="2088"/>
            <w:shd w:fill="F7FBFF"/>
            <w:vAlign w:val="top"/>
          </w:tcPr>
          <w:p>
            <w:r/>
            <w:r>
              <w:rPr>
                <w:rFonts w:ascii="Aptos" w:hAnsi="Aptos"/>
                <w:b w:val="0"/>
                <w:sz w:val="15"/>
              </w:rPr>
              <w:t>DevSecOps Lead</w:t>
            </w:r>
          </w:p>
        </w:tc>
        <w:tc>
          <w:tcPr>
            <w:tcW w:type="dxa" w:w="2088"/>
            <w:shd w:fill="F7FBFF"/>
            <w:vAlign w:val="top"/>
          </w:tcPr>
          <w:p>
            <w:r/>
            <w:r>
              <w:rPr>
                <w:rFonts w:ascii="Aptos" w:hAnsi="Aptos"/>
                <w:b w:val="0"/>
                <w:sz w:val="15"/>
              </w:rPr>
              <w:t>Developers, Architecture</w:t>
            </w:r>
          </w:p>
        </w:tc>
        <w:tc>
          <w:tcPr>
            <w:tcW w:type="dxa" w:w="1872"/>
            <w:shd w:fill="F7FBFF"/>
            <w:vAlign w:val="top"/>
          </w:tcPr>
          <w:p>
            <w:r/>
            <w:r>
              <w:rPr>
                <w:rFonts w:ascii="Aptos" w:hAnsi="Aptos"/>
                <w:b w:val="0"/>
                <w:sz w:val="15"/>
              </w:rPr>
              <w:t>Architecture Board, Internal Audit</w:t>
            </w:r>
          </w:p>
        </w:tc>
      </w:tr>
      <w:tr>
        <w:tc>
          <w:tcPr>
            <w:tcW w:type="dxa" w:w="2376"/>
            <w:vAlign w:val="top"/>
          </w:tcPr>
          <w:p>
            <w:r/>
            <w:r>
              <w:rPr>
                <w:rFonts w:ascii="Aptos" w:hAnsi="Aptos"/>
                <w:b w:val="0"/>
                <w:sz w:val="15"/>
              </w:rPr>
              <w:t>Apply rules in PR/MR</w:t>
            </w:r>
          </w:p>
        </w:tc>
        <w:tc>
          <w:tcPr>
            <w:tcW w:type="dxa" w:w="1944"/>
            <w:vAlign w:val="top"/>
          </w:tcPr>
          <w:p>
            <w:r/>
            <w:r>
              <w:rPr>
                <w:rFonts w:ascii="Aptos" w:hAnsi="Aptos"/>
                <w:b w:val="0"/>
                <w:sz w:val="15"/>
              </w:rPr>
              <w:t>Developers and AI-assisted users</w:t>
            </w:r>
          </w:p>
        </w:tc>
        <w:tc>
          <w:tcPr>
            <w:tcW w:type="dxa" w:w="2088"/>
            <w:vAlign w:val="top"/>
          </w:tcPr>
          <w:p>
            <w:r/>
            <w:r>
              <w:rPr>
                <w:rFonts w:ascii="Aptos" w:hAnsi="Aptos"/>
                <w:b w:val="0"/>
                <w:sz w:val="15"/>
              </w:rPr>
              <w:t>Development Lead</w:t>
            </w:r>
          </w:p>
        </w:tc>
        <w:tc>
          <w:tcPr>
            <w:tcW w:type="dxa" w:w="2088"/>
            <w:vAlign w:val="top"/>
          </w:tcPr>
          <w:p>
            <w:r/>
            <w:r>
              <w:rPr>
                <w:rFonts w:ascii="Aptos" w:hAnsi="Aptos"/>
                <w:b w:val="0"/>
                <w:sz w:val="15"/>
              </w:rPr>
              <w:t>QA, Security, Architecture</w:t>
            </w:r>
          </w:p>
        </w:tc>
        <w:tc>
          <w:tcPr>
            <w:tcW w:type="dxa" w:w="1872"/>
            <w:vAlign w:val="top"/>
          </w:tcPr>
          <w:p>
            <w:r/>
            <w:r>
              <w:rPr>
                <w:rFonts w:ascii="Aptos" w:hAnsi="Aptos"/>
                <w:b w:val="0"/>
                <w:sz w:val="15"/>
              </w:rPr>
              <w:t>Internal Audit</w:t>
            </w:r>
          </w:p>
        </w:tc>
      </w:tr>
      <w:tr>
        <w:tc>
          <w:tcPr>
            <w:tcW w:type="dxa" w:w="2376"/>
            <w:shd w:fill="F7FBFF"/>
            <w:vAlign w:val="top"/>
          </w:tcPr>
          <w:p>
            <w:r/>
            <w:r>
              <w:rPr>
                <w:rFonts w:ascii="Aptos" w:hAnsi="Aptos"/>
                <w:b w:val="0"/>
                <w:sz w:val="15"/>
              </w:rPr>
              <w:t>Review exceptions</w:t>
            </w:r>
          </w:p>
        </w:tc>
        <w:tc>
          <w:tcPr>
            <w:tcW w:type="dxa" w:w="1944"/>
            <w:shd w:fill="F7FBFF"/>
            <w:vAlign w:val="top"/>
          </w:tcPr>
          <w:p>
            <w:r/>
            <w:r>
              <w:rPr>
                <w:rFonts w:ascii="Aptos" w:hAnsi="Aptos"/>
                <w:b w:val="0"/>
                <w:sz w:val="15"/>
              </w:rPr>
              <w:t>Requesting Owner</w:t>
            </w:r>
          </w:p>
        </w:tc>
        <w:tc>
          <w:tcPr>
            <w:tcW w:type="dxa" w:w="2088"/>
            <w:shd w:fill="F7FBFF"/>
            <w:vAlign w:val="top"/>
          </w:tcPr>
          <w:p>
            <w:r/>
            <w:r>
              <w:rPr>
                <w:rFonts w:ascii="Aptos" w:hAnsi="Aptos"/>
                <w:b w:val="0"/>
                <w:sz w:val="15"/>
              </w:rPr>
              <w:t>CAB / Architecture Board / Risk Owner</w:t>
            </w:r>
          </w:p>
        </w:tc>
        <w:tc>
          <w:tcPr>
            <w:tcW w:type="dxa" w:w="2088"/>
            <w:shd w:fill="F7FBFF"/>
            <w:vAlign w:val="top"/>
          </w:tcPr>
          <w:p>
            <w:r/>
            <w:r>
              <w:rPr>
                <w:rFonts w:ascii="Aptos" w:hAnsi="Aptos"/>
                <w:b w:val="0"/>
                <w:sz w:val="15"/>
              </w:rPr>
              <w:t>Security, Compliance</w:t>
            </w:r>
          </w:p>
        </w:tc>
        <w:tc>
          <w:tcPr>
            <w:tcW w:type="dxa" w:w="1872"/>
            <w:shd w:fill="F7FBFF"/>
            <w:vAlign w:val="top"/>
          </w:tcPr>
          <w:p>
            <w:r/>
            <w:r>
              <w:rPr>
                <w:rFonts w:ascii="Aptos" w:hAnsi="Aptos"/>
                <w:b w:val="0"/>
                <w:sz w:val="15"/>
              </w:rPr>
              <w:t>Affected teams</w:t>
            </w:r>
          </w:p>
        </w:tc>
      </w:tr>
    </w:tbl>
    <w:p/>
    <w:p>
      <w:pPr>
        <w:pStyle w:val="Heading1"/>
      </w:pPr>
      <w:r>
        <w:rPr>
          <w:rFonts w:ascii="Aptos Display" w:hAnsi="Aptos Display"/>
          <w:color w:val="1F4E79"/>
        </w:rPr>
        <w:t>13. Approval and Review</w:t>
      </w:r>
    </w:p>
    <w:p>
      <w:pPr>
        <w:pStyle w:val="BodyText"/>
        <w:spacing w:after="100" w:line="252" w:lineRule="auto"/>
      </w:pPr>
      <w:r>
        <w:rPr>
          <w:rFonts w:ascii="Aptos" w:hAnsi="Aptos"/>
          <w:sz w:val="20"/>
        </w:rPr>
        <w:t>This ADR becomes effective only after Architecture Review Board or CAB approval. Until approved, it is a proposed decision and may be used as a draft basis for review. Once approved, it becomes the controlling decision for the creation of 01A and the cross-document revision package.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81"/>
        <w:gridCol w:w="2581"/>
        <w:gridCol w:w="2581"/>
        <w:gridCol w:w="2581"/>
      </w:tblGrid>
      <w:tr>
        <w:tc>
          <w:tcPr>
            <w:tcW w:type="dxa" w:w="2015"/>
            <w:shd w:fill="1F4E79"/>
            <w:vAlign w:val="top"/>
          </w:tcPr>
          <w:p>
            <w:pPr>
              <w:jc w:val="center"/>
            </w:pPr>
            <w:r/>
            <w:r>
              <w:rPr>
                <w:rFonts w:ascii="Aptos" w:hAnsi="Aptos"/>
                <w:b/>
                <w:color w:val="FFFFFF"/>
                <w:sz w:val="16"/>
              </w:rPr>
              <w:t>Role</w:t>
            </w:r>
          </w:p>
        </w:tc>
        <w:tc>
          <w:tcPr>
            <w:tcW w:type="dxa" w:w="3744"/>
            <w:shd w:fill="1F4E79"/>
            <w:vAlign w:val="top"/>
          </w:tcPr>
          <w:p>
            <w:pPr>
              <w:jc w:val="center"/>
            </w:pPr>
            <w:r/>
            <w:r>
              <w:rPr>
                <w:rFonts w:ascii="Aptos" w:hAnsi="Aptos"/>
                <w:b/>
                <w:color w:val="FFFFFF"/>
                <w:sz w:val="16"/>
              </w:rPr>
              <w:t>Name / Group</w:t>
            </w:r>
          </w:p>
        </w:tc>
        <w:tc>
          <w:tcPr>
            <w:tcW w:type="dxa" w:w="2880"/>
            <w:shd w:fill="1F4E79"/>
            <w:vAlign w:val="top"/>
          </w:tcPr>
          <w:p>
            <w:pPr>
              <w:jc w:val="center"/>
            </w:pPr>
            <w:r/>
            <w:r>
              <w:rPr>
                <w:rFonts w:ascii="Aptos" w:hAnsi="Aptos"/>
                <w:b/>
                <w:color w:val="FFFFFF"/>
                <w:sz w:val="16"/>
              </w:rPr>
              <w:t>Signature / Evidence Ref</w:t>
            </w:r>
          </w:p>
        </w:tc>
        <w:tc>
          <w:tcPr>
            <w:tcW w:type="dxa" w:w="1728"/>
            <w:shd w:fill="1F4E79"/>
            <w:vAlign w:val="top"/>
          </w:tcPr>
          <w:p>
            <w:pPr>
              <w:jc w:val="center"/>
            </w:pPr>
            <w:r/>
            <w:r>
              <w:rPr>
                <w:rFonts w:ascii="Aptos" w:hAnsi="Aptos"/>
                <w:b/>
                <w:color w:val="FFFFFF"/>
                <w:sz w:val="16"/>
              </w:rPr>
              <w:t>Date</w:t>
            </w:r>
          </w:p>
        </w:tc>
      </w:tr>
      <w:tr>
        <w:tc>
          <w:tcPr>
            <w:tcW w:type="dxa" w:w="2015"/>
            <w:vAlign w:val="top"/>
          </w:tcPr>
          <w:p>
            <w:r/>
            <w:r>
              <w:rPr>
                <w:rFonts w:ascii="Aptos" w:hAnsi="Aptos"/>
                <w:b w:val="0"/>
                <w:sz w:val="16"/>
              </w:rPr>
              <w:t>Prepared by</w:t>
            </w:r>
          </w:p>
        </w:tc>
        <w:tc>
          <w:tcPr>
            <w:tcW w:type="dxa" w:w="3744"/>
            <w:vAlign w:val="top"/>
          </w:tcPr>
          <w:p>
            <w:r/>
            <w:r>
              <w:rPr>
                <w:rFonts w:ascii="Aptos" w:hAnsi="Aptos"/>
                <w:b w:val="0"/>
                <w:sz w:val="16"/>
              </w:rPr>
              <w:t>Solutions Architecture Office / IT Head</w:t>
            </w:r>
          </w:p>
        </w:tc>
        <w:tc>
          <w:tcPr>
            <w:tcW w:type="dxa" w:w="2880"/>
            <w:vAlign w:val="top"/>
          </w:tcPr>
          <w:p>
            <w:r/>
            <w:r>
              <w:rPr>
                <w:rFonts w:ascii="Aptos" w:hAnsi="Aptos"/>
                <w:b w:val="0"/>
                <w:sz w:val="16"/>
              </w:rPr>
            </w:r>
          </w:p>
        </w:tc>
        <w:tc>
          <w:tcPr>
            <w:tcW w:type="dxa" w:w="1728"/>
            <w:vAlign w:val="top"/>
          </w:tcPr>
          <w:p>
            <w:r/>
            <w:r>
              <w:rPr>
                <w:rFonts w:ascii="Aptos" w:hAnsi="Aptos"/>
                <w:b w:val="0"/>
                <w:sz w:val="16"/>
              </w:rPr>
            </w:r>
          </w:p>
        </w:tc>
      </w:tr>
      <w:tr>
        <w:tc>
          <w:tcPr>
            <w:tcW w:type="dxa" w:w="2015"/>
            <w:shd w:fill="F7FBFF"/>
            <w:vAlign w:val="top"/>
          </w:tcPr>
          <w:p>
            <w:r/>
            <w:r>
              <w:rPr>
                <w:rFonts w:ascii="Aptos" w:hAnsi="Aptos"/>
                <w:b w:val="0"/>
                <w:sz w:val="16"/>
              </w:rPr>
              <w:t>Reviewed by</w:t>
            </w:r>
          </w:p>
        </w:tc>
        <w:tc>
          <w:tcPr>
            <w:tcW w:type="dxa" w:w="3744"/>
            <w:shd w:fill="F7FBFF"/>
            <w:vAlign w:val="top"/>
          </w:tcPr>
          <w:p>
            <w:r/>
            <w:r>
              <w:rPr>
                <w:rFonts w:ascii="Aptos" w:hAnsi="Aptos"/>
                <w:b w:val="0"/>
                <w:sz w:val="16"/>
              </w:rPr>
              <w:t>Software Development Lead</w:t>
            </w:r>
          </w:p>
        </w:tc>
        <w:tc>
          <w:tcPr>
            <w:tcW w:type="dxa" w:w="2880"/>
            <w:shd w:fill="F7FBFF"/>
            <w:vAlign w:val="top"/>
          </w:tcPr>
          <w:p>
            <w:r/>
            <w:r>
              <w:rPr>
                <w:rFonts w:ascii="Aptos" w:hAnsi="Aptos"/>
                <w:b w:val="0"/>
                <w:sz w:val="16"/>
              </w:rPr>
            </w:r>
          </w:p>
        </w:tc>
        <w:tc>
          <w:tcPr>
            <w:tcW w:type="dxa" w:w="1728"/>
            <w:shd w:fill="F7FBFF"/>
            <w:vAlign w:val="top"/>
          </w:tcPr>
          <w:p>
            <w:r/>
            <w:r>
              <w:rPr>
                <w:rFonts w:ascii="Aptos" w:hAnsi="Aptos"/>
                <w:b w:val="0"/>
                <w:sz w:val="16"/>
              </w:rPr>
            </w:r>
          </w:p>
        </w:tc>
      </w:tr>
      <w:tr>
        <w:tc>
          <w:tcPr>
            <w:tcW w:type="dxa" w:w="2015"/>
            <w:vAlign w:val="top"/>
          </w:tcPr>
          <w:p>
            <w:r/>
            <w:r>
              <w:rPr>
                <w:rFonts w:ascii="Aptos" w:hAnsi="Aptos"/>
                <w:b w:val="0"/>
                <w:sz w:val="16"/>
              </w:rPr>
              <w:t>Reviewed by</w:t>
            </w:r>
          </w:p>
        </w:tc>
        <w:tc>
          <w:tcPr>
            <w:tcW w:type="dxa" w:w="3744"/>
            <w:vAlign w:val="top"/>
          </w:tcPr>
          <w:p>
            <w:r/>
            <w:r>
              <w:rPr>
                <w:rFonts w:ascii="Aptos" w:hAnsi="Aptos"/>
                <w:b w:val="0"/>
                <w:sz w:val="16"/>
              </w:rPr>
              <w:t>DevSecOps Lead</w:t>
            </w:r>
          </w:p>
        </w:tc>
        <w:tc>
          <w:tcPr>
            <w:tcW w:type="dxa" w:w="2880"/>
            <w:vAlign w:val="top"/>
          </w:tcPr>
          <w:p>
            <w:r/>
            <w:r>
              <w:rPr>
                <w:rFonts w:ascii="Aptos" w:hAnsi="Aptos"/>
                <w:b w:val="0"/>
                <w:sz w:val="16"/>
              </w:rPr>
            </w:r>
          </w:p>
        </w:tc>
        <w:tc>
          <w:tcPr>
            <w:tcW w:type="dxa" w:w="1728"/>
            <w:vAlign w:val="top"/>
          </w:tcPr>
          <w:p>
            <w:r/>
            <w:r>
              <w:rPr>
                <w:rFonts w:ascii="Aptos" w:hAnsi="Aptos"/>
                <w:b w:val="0"/>
                <w:sz w:val="16"/>
              </w:rPr>
            </w:r>
          </w:p>
        </w:tc>
      </w:tr>
      <w:tr>
        <w:tc>
          <w:tcPr>
            <w:tcW w:type="dxa" w:w="2015"/>
            <w:shd w:fill="F7FBFF"/>
            <w:vAlign w:val="top"/>
          </w:tcPr>
          <w:p>
            <w:r/>
            <w:r>
              <w:rPr>
                <w:rFonts w:ascii="Aptos" w:hAnsi="Aptos"/>
                <w:b w:val="0"/>
                <w:sz w:val="16"/>
              </w:rPr>
              <w:t>Reviewed by</w:t>
            </w:r>
          </w:p>
        </w:tc>
        <w:tc>
          <w:tcPr>
            <w:tcW w:type="dxa" w:w="3744"/>
            <w:shd w:fill="F7FBFF"/>
            <w:vAlign w:val="top"/>
          </w:tcPr>
          <w:p>
            <w:r/>
            <w:r>
              <w:rPr>
                <w:rFonts w:ascii="Aptos" w:hAnsi="Aptos"/>
                <w:b w:val="0"/>
                <w:sz w:val="16"/>
              </w:rPr>
              <w:t>Security Administrator</w:t>
            </w:r>
          </w:p>
        </w:tc>
        <w:tc>
          <w:tcPr>
            <w:tcW w:type="dxa" w:w="2880"/>
            <w:shd w:fill="F7FBFF"/>
            <w:vAlign w:val="top"/>
          </w:tcPr>
          <w:p>
            <w:r/>
            <w:r>
              <w:rPr>
                <w:rFonts w:ascii="Aptos" w:hAnsi="Aptos"/>
                <w:b w:val="0"/>
                <w:sz w:val="16"/>
              </w:rPr>
            </w:r>
          </w:p>
        </w:tc>
        <w:tc>
          <w:tcPr>
            <w:tcW w:type="dxa" w:w="1728"/>
            <w:shd w:fill="F7FBFF"/>
            <w:vAlign w:val="top"/>
          </w:tcPr>
          <w:p>
            <w:r/>
            <w:r>
              <w:rPr>
                <w:rFonts w:ascii="Aptos" w:hAnsi="Aptos"/>
                <w:b w:val="0"/>
                <w:sz w:val="16"/>
              </w:rPr>
            </w:r>
          </w:p>
        </w:tc>
      </w:tr>
      <w:tr>
        <w:tc>
          <w:tcPr>
            <w:tcW w:type="dxa" w:w="2015"/>
            <w:vAlign w:val="top"/>
          </w:tcPr>
          <w:p>
            <w:r/>
            <w:r>
              <w:rPr>
                <w:rFonts w:ascii="Aptos" w:hAnsi="Aptos"/>
                <w:b w:val="0"/>
                <w:sz w:val="16"/>
              </w:rPr>
              <w:t>Reviewed by</w:t>
            </w:r>
          </w:p>
        </w:tc>
        <w:tc>
          <w:tcPr>
            <w:tcW w:type="dxa" w:w="3744"/>
            <w:vAlign w:val="top"/>
          </w:tcPr>
          <w:p>
            <w:r/>
            <w:r>
              <w:rPr>
                <w:rFonts w:ascii="Aptos" w:hAnsi="Aptos"/>
                <w:b w:val="0"/>
                <w:sz w:val="16"/>
              </w:rPr>
              <w:t>QA / Test Lead</w:t>
            </w:r>
          </w:p>
        </w:tc>
        <w:tc>
          <w:tcPr>
            <w:tcW w:type="dxa" w:w="2880"/>
            <w:vAlign w:val="top"/>
          </w:tcPr>
          <w:p>
            <w:r/>
            <w:r>
              <w:rPr>
                <w:rFonts w:ascii="Aptos" w:hAnsi="Aptos"/>
                <w:b w:val="0"/>
                <w:sz w:val="16"/>
              </w:rPr>
            </w:r>
          </w:p>
        </w:tc>
        <w:tc>
          <w:tcPr>
            <w:tcW w:type="dxa" w:w="1728"/>
            <w:vAlign w:val="top"/>
          </w:tcPr>
          <w:p>
            <w:r/>
            <w:r>
              <w:rPr>
                <w:rFonts w:ascii="Aptos" w:hAnsi="Aptos"/>
                <w:b w:val="0"/>
                <w:sz w:val="16"/>
              </w:rPr>
            </w:r>
          </w:p>
        </w:tc>
      </w:tr>
      <w:tr>
        <w:tc>
          <w:tcPr>
            <w:tcW w:type="dxa" w:w="2015"/>
            <w:shd w:fill="F7FBFF"/>
            <w:vAlign w:val="top"/>
          </w:tcPr>
          <w:p>
            <w:r/>
            <w:r>
              <w:rPr>
                <w:rFonts w:ascii="Aptos" w:hAnsi="Aptos"/>
                <w:b w:val="0"/>
                <w:sz w:val="16"/>
              </w:rPr>
              <w:t>Approved by</w:t>
            </w:r>
          </w:p>
        </w:tc>
        <w:tc>
          <w:tcPr>
            <w:tcW w:type="dxa" w:w="3744"/>
            <w:shd w:fill="F7FBFF"/>
            <w:vAlign w:val="top"/>
          </w:tcPr>
          <w:p>
            <w:r/>
            <w:r>
              <w:rPr>
                <w:rFonts w:ascii="Aptos" w:hAnsi="Aptos"/>
                <w:b w:val="0"/>
                <w:sz w:val="16"/>
              </w:rPr>
              <w:t>Architecture Review Board / CAB</w:t>
            </w:r>
          </w:p>
        </w:tc>
        <w:tc>
          <w:tcPr>
            <w:tcW w:type="dxa" w:w="2880"/>
            <w:shd w:fill="F7FBFF"/>
            <w:vAlign w:val="top"/>
          </w:tcPr>
          <w:p>
            <w:r/>
            <w:r>
              <w:rPr>
                <w:rFonts w:ascii="Aptos" w:hAnsi="Aptos"/>
                <w:b w:val="0"/>
                <w:sz w:val="16"/>
              </w:rPr>
            </w:r>
          </w:p>
        </w:tc>
        <w:tc>
          <w:tcPr>
            <w:tcW w:type="dxa" w:w="1728"/>
            <w:shd w:fill="F7FBFF"/>
            <w:vAlign w:val="top"/>
          </w:tcPr>
          <w:p>
            <w:r/>
            <w:r>
              <w:rPr>
                <w:rFonts w:ascii="Aptos" w:hAnsi="Aptos"/>
                <w:b w:val="0"/>
                <w:sz w:val="16"/>
              </w:rPr>
            </w:r>
          </w:p>
        </w:tc>
      </w:tr>
    </w:tbl>
    <w:p/>
    <w:p>
      <w:pPr>
        <w:pStyle w:val="Heading1"/>
      </w:pPr>
      <w:r>
        <w:rPr>
          <w:rFonts w:ascii="Aptos Display" w:hAnsi="Aptos Display"/>
          <w:color w:val="1F4E79"/>
        </w:rPr>
        <w:t>14. AVCI Compliance Summary</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62"/>
        <w:gridCol w:w="5162"/>
      </w:tblGrid>
      <w:tr>
        <w:tc>
          <w:tcPr>
            <w:tcW w:type="dxa" w:w="2160"/>
            <w:shd w:fill="1F4E79"/>
            <w:vAlign w:val="top"/>
          </w:tcPr>
          <w:p>
            <w:pPr>
              <w:jc w:val="center"/>
            </w:pPr>
            <w:r/>
            <w:r>
              <w:rPr>
                <w:rFonts w:ascii="Aptos" w:hAnsi="Aptos"/>
                <w:b/>
                <w:color w:val="FFFFFF"/>
                <w:sz w:val="16"/>
              </w:rPr>
              <w:t>AVCI Property</w:t>
            </w:r>
          </w:p>
        </w:tc>
        <w:tc>
          <w:tcPr>
            <w:tcW w:type="dxa" w:w="8208"/>
            <w:shd w:fill="1F4E79"/>
            <w:vAlign w:val="top"/>
          </w:tcPr>
          <w:p>
            <w:pPr>
              <w:jc w:val="center"/>
            </w:pPr>
            <w:r/>
            <w:r>
              <w:rPr>
                <w:rFonts w:ascii="Aptos" w:hAnsi="Aptos"/>
                <w:b/>
                <w:color w:val="FFFFFF"/>
                <w:sz w:val="16"/>
              </w:rPr>
              <w:t>Compliance Statement</w:t>
            </w:r>
          </w:p>
        </w:tc>
      </w:tr>
      <w:tr>
        <w:tc>
          <w:tcPr>
            <w:tcW w:type="dxa" w:w="2160"/>
            <w:vAlign w:val="top"/>
          </w:tcPr>
          <w:p>
            <w:r/>
            <w:r>
              <w:rPr>
                <w:rFonts w:ascii="Aptos" w:hAnsi="Aptos"/>
                <w:b w:val="0"/>
                <w:sz w:val="16"/>
              </w:rPr>
              <w:t>Attributable</w:t>
            </w:r>
          </w:p>
        </w:tc>
        <w:tc>
          <w:tcPr>
            <w:tcW w:type="dxa" w:w="8208"/>
            <w:vAlign w:val="top"/>
          </w:tcPr>
          <w:p>
            <w:r/>
            <w:r>
              <w:rPr>
                <w:rFonts w:ascii="Aptos" w:hAnsi="Aptos"/>
                <w:b w:val="0"/>
                <w:sz w:val="16"/>
              </w:rPr>
              <w:t>This ADR has a named owner, document ID, version, decision date, related standards, and evidence path.</w:t>
            </w:r>
          </w:p>
        </w:tc>
      </w:tr>
      <w:tr>
        <w:tc>
          <w:tcPr>
            <w:tcW w:type="dxa" w:w="2160"/>
            <w:shd w:fill="F7FBFF"/>
            <w:vAlign w:val="top"/>
          </w:tcPr>
          <w:p>
            <w:r/>
            <w:r>
              <w:rPr>
                <w:rFonts w:ascii="Aptos" w:hAnsi="Aptos"/>
                <w:b w:val="0"/>
                <w:sz w:val="16"/>
              </w:rPr>
              <w:t>Verifiable</w:t>
            </w:r>
          </w:p>
        </w:tc>
        <w:tc>
          <w:tcPr>
            <w:tcW w:type="dxa" w:w="8208"/>
            <w:shd w:fill="F7FBFF"/>
            <w:vAlign w:val="top"/>
          </w:tcPr>
          <w:p>
            <w:r/>
            <w:r>
              <w:rPr>
                <w:rFonts w:ascii="Aptos" w:hAnsi="Aptos"/>
                <w:b w:val="0"/>
                <w:sz w:val="16"/>
              </w:rPr>
              <w:t>The decision is verifiable through revised document versions, PR/MR evidence, CI gates, architecture fitness functions, ADR/TDL impact assessments, and approval records.</w:t>
            </w:r>
          </w:p>
        </w:tc>
      </w:tr>
      <w:tr>
        <w:tc>
          <w:tcPr>
            <w:tcW w:type="dxa" w:w="2160"/>
            <w:vAlign w:val="top"/>
          </w:tcPr>
          <w:p>
            <w:r/>
            <w:r>
              <w:rPr>
                <w:rFonts w:ascii="Aptos" w:hAnsi="Aptos"/>
                <w:b w:val="0"/>
                <w:sz w:val="16"/>
              </w:rPr>
              <w:t>Classifiable</w:t>
            </w:r>
          </w:p>
        </w:tc>
        <w:tc>
          <w:tcPr>
            <w:tcW w:type="dxa" w:w="8208"/>
            <w:vAlign w:val="top"/>
          </w:tcPr>
          <w:p>
            <w:r/>
            <w:r>
              <w:rPr>
                <w:rFonts w:ascii="Aptos" w:hAnsi="Aptos"/>
                <w:b w:val="0"/>
                <w:sz w:val="16"/>
              </w:rPr>
              <w:t>This ADR is classified CONFIDENTIAL - Internal Use Only. It applies to architecture, engineering, AI governance, security, testing, DevSecOps, and knowledge-governance domains.</w:t>
            </w:r>
          </w:p>
        </w:tc>
      </w:tr>
      <w:tr>
        <w:tc>
          <w:tcPr>
            <w:tcW w:type="dxa" w:w="2160"/>
            <w:shd w:fill="F7FBFF"/>
            <w:vAlign w:val="top"/>
          </w:tcPr>
          <w:p>
            <w:r/>
            <w:r>
              <w:rPr>
                <w:rFonts w:ascii="Aptos" w:hAnsi="Aptos"/>
                <w:b w:val="0"/>
                <w:sz w:val="16"/>
              </w:rPr>
              <w:t>Improvable</w:t>
            </w:r>
          </w:p>
        </w:tc>
        <w:tc>
          <w:tcPr>
            <w:tcW w:type="dxa" w:w="8208"/>
            <w:shd w:fill="F7FBFF"/>
            <w:vAlign w:val="top"/>
          </w:tcPr>
          <w:p>
            <w:r/>
            <w:r>
              <w:rPr>
                <w:rFonts w:ascii="Aptos" w:hAnsi="Aptos"/>
                <w:b w:val="0"/>
                <w:sz w:val="16"/>
              </w:rPr>
              <w:t>This ADR will be reviewed quarterly or upon material architecture, security, technology, AI-governance, or compliance change. Supersedence must occur through a new ADR or approved revision.</w:t>
            </w:r>
          </w:p>
        </w:tc>
      </w:tr>
    </w:tbl>
    <w:p/>
    <w:p>
      <w:pPr>
        <w:pStyle w:val="BodyText"/>
        <w:spacing w:after="100" w:line="252" w:lineRule="auto"/>
      </w:pPr>
      <w:r>
        <w:rPr>
          <w:rFonts w:ascii="Aptos" w:hAnsi="Aptos"/>
          <w:sz w:val="20"/>
        </w:rPr>
        <w:t>End of ADR-AIRA-2026-001.</w:t>
      </w:r>
    </w:p>
    <w:sectPr w:rsidR="00FC693F" w:rsidRPr="0006063C" w:rsidSect="00034616">
      <w:headerReference w:type="default" r:id="rId9"/>
      <w:footerReference w:type="default" r:id="rId10"/>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5B5B"/>
        <w:sz w:val="16"/>
      </w:rPr>
      <w:t>Architecture Decision Record - Enterprise Design Principles &amp; SOLID Enforcement Layer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5B5B"/>
        <w:sz w:val="16"/>
      </w:rPr>
      <w:t>AIRA | ADR-AIRA-2026-001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ADR-AIRA-2026-001 - Adoption of Enterprise Design Principles and SOLID Enforcement Layer</dc:title>
  <dc:subject>Architecture Decision Record for AIRA Enterprise Design Principles and SOLID Enforcement Layer</dc:subject>
  <dc:creator>Solutions Architecture Office</dc:creator>
  <cp:keywords>AIRA, ADR, SOLID, Clean Architecture, DDD, AVCI, Auto-Heal, Auto-Learn, Auto-Improve</cp:keywords>
  <dc:description>Generated as an editable AIRA architecture decision record.</dc:description>
  <cp:lastModifiedBy/>
  <cp:revision>1</cp:revision>
  <dcterms:created xsi:type="dcterms:W3CDTF">2013-12-23T23:15:00Z</dcterms:created>
  <dcterms:modified xsi:type="dcterms:W3CDTF">2013-12-23T23:15:00Z</dcterms:modified>
  <cp:category>Architecture Decision Record</cp:category>
</cp:coreProperties>
</file>