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3B60"/>
          <w:sz w:val="56"/>
        </w:rPr>
        <w:t>AIRA</w:t>
      </w:r>
    </w:p>
    <w:p>
      <w:pPr>
        <w:spacing w:after="80" w:line="252" w:lineRule="auto"/>
        <w:jc w:val="center"/>
      </w:pPr>
      <w:r>
        <w:rPr>
          <w:b/>
          <w:color w:val="2F5496"/>
          <w:sz w:val="28"/>
        </w:rPr>
        <w:t>AI-Native Enterprise Platform</w:t>
      </w:r>
    </w:p>
    <w:p>
      <w:pPr>
        <w:spacing w:after="80" w:line="252" w:lineRule="auto"/>
        <w:jc w:val="center"/>
      </w:pPr>
      <w:r>
        <w:rPr>
          <w:b/>
          <w:color w:val="1F3B60"/>
          <w:sz w:val="40"/>
        </w:rPr>
        <w:br/>
        <w:t>Production Operations, SRE, SLA/SLO, and Service Management Standard</w:t>
      </w:r>
    </w:p>
    <w:p>
      <w:pPr>
        <w:spacing w:after="80" w:line="252" w:lineRule="auto"/>
        <w:jc w:val="center"/>
      </w:pPr>
      <w:r>
        <w:rPr>
          <w:b/>
          <w:color w:val="1E7882"/>
          <w:sz w:val="22"/>
        </w:rPr>
        <w:t>Document 31 | Service Reliability · Zammad ITSM · Observability · SIEM/SOAR · AVCI Evidence</w:t>
      </w:r>
    </w:p>
    <w:p>
      <w:pPr>
        <w:spacing w:after="80" w:line="252" w:lineRule="auto"/>
        <w:jc w:val="center"/>
      </w:pPr>
      <w:r>
        <w:rPr>
          <w:color w:val="595959"/>
          <w:sz w:val="20"/>
        </w:rPr>
        <w:t>Version 1.0 | April 2026 | INTERNAL CONFIDENTIAL</w:t>
      </w:r>
    </w:p>
    <w:p>
      <w:pPr>
        <w:spacing w:after="80" w:line="252" w:lineRule="auto"/>
      </w:pPr>
    </w:p>
    <w:tbl>
      <w:tblPr>
        <w:tblW w:type="auto" w:w="0"/>
        <w:jc w:val="center"/>
        <w:tblLook w:firstColumn="1" w:firstRow="1" w:lastColumn="0" w:lastRow="0" w:noHBand="0" w:noVBand="1" w:val="04A0"/>
      </w:tblPr>
      <w:tblGrid>
        <w:gridCol w:w="10656"/>
      </w:tblGrid>
      <w:tr>
        <w:tc>
          <w:tcPr>
            <w:tcW w:type="dxa" w:w="10656"/>
            <w:shd w:fill="EAF2F8"/>
            <w:tcMar>
              <w:top w:w="80" w:type="dxa"/>
              <w:left w:w="80" w:type="dxa"/>
              <w:bottom w:w="80" w:type="dxa"/>
              <w:right w:w="80" w:type="dxa"/>
            </w:tcMar>
          </w:tcPr>
          <w:p>
            <w:pPr>
              <w:jc w:val="left"/>
            </w:pPr>
            <w:r>
              <w:rPr>
                <w:b/>
                <w:color w:val="1F3B60"/>
                <w:sz w:val="20"/>
              </w:rPr>
              <w:t>Mandatory Operating Rule</w:t>
              <w:br/>
            </w:r>
            <w:r>
              <w:rPr>
                <w:color w:val="202020"/>
                <w:sz w:val="18"/>
              </w:rPr>
              <w:t>No AIRA production service, platform component, AI capability, workflow, data store, integration, or operational automation may be considered service-ready unless it has a named owner, service criticality, SLO/SLI profile, Zammad service queue, observability coverage, incident and rollback runbooks, security monitoring, support model, evidence path, and AVCI-complete operating record.</w:t>
            </w:r>
          </w:p>
        </w:tc>
      </w:tr>
    </w:tbl>
    <w:p>
      <w:pPr>
        <w:spacing w:after="80" w:line="252" w:lineRule="auto"/>
      </w:pPr>
    </w:p>
    <w:tbl>
      <w:tblPr>
        <w:tblW w:type="auto" w:w="0"/>
        <w:jc w:val="center"/>
        <w:tblLook w:firstColumn="1" w:firstRow="1" w:lastColumn="0" w:lastRow="0" w:noHBand="0" w:noVBand="1" w:val="04A0"/>
      </w:tblPr>
      <w:tblGrid>
        <w:gridCol w:w="10656"/>
      </w:tblGrid>
      <w:tr>
        <w:tc>
          <w:tcPr>
            <w:tcW w:type="dxa" w:w="10656"/>
            <w:shd w:fill="E2F0D9"/>
            <w:tcMar>
              <w:top w:w="80" w:type="dxa"/>
              <w:left w:w="80" w:type="dxa"/>
              <w:bottom w:w="80" w:type="dxa"/>
              <w:right w:w="80" w:type="dxa"/>
            </w:tcMar>
          </w:tcPr>
          <w:p>
            <w:pPr>
              <w:jc w:val="left"/>
            </w:pPr>
            <w:r>
              <w:rPr>
                <w:b/>
                <w:color w:val="1F3B60"/>
                <w:sz w:val="20"/>
              </w:rPr>
              <w:t>AIRA Operations Philosophy</w:t>
              <w:br/>
            </w:r>
            <w:r>
              <w:rPr>
                <w:color w:val="202020"/>
                <w:sz w:val="18"/>
              </w:rPr>
              <w:t>Operate with discipline first, automation second, intelligence third, and AVCI always. SRE practices, Zammad service management, Wazuh SIEM/XDR, TheHive/Cortex SOAR workflows, SigNoz/APM, OpenTelemetry, Grafana, and Auto-Heal loops are used to improve reliability without bypassing human accountability, security, or change control.</w:t>
            </w:r>
          </w:p>
        </w:tc>
      </w:tr>
    </w:tbl>
    <w:p>
      <w:pPr>
        <w:spacing w:after="80" w:line="252" w:lineRule="auto"/>
      </w:pPr>
      <w:r>
        <w:br w:type="page"/>
      </w:r>
    </w:p>
    <w:p>
      <w:pPr>
        <w:pStyle w:val="Heading1"/>
        <w:spacing w:after="80" w:line="252" w:lineRule="auto"/>
      </w:pPr>
      <w:r>
        <w:t>Table of Contents</w:t>
      </w:r>
    </w:p>
    <w:p>
      <w:pPr>
        <w:spacing w:after="80" w:line="252" w:lineRule="auto"/>
        <w:ind w:left="216"/>
      </w:pPr>
      <w:r>
        <w:rPr>
          <w:sz w:val="18"/>
        </w:rPr>
        <w:t>1. Executive Summary</w:t>
      </w:r>
    </w:p>
    <w:p>
      <w:pPr>
        <w:spacing w:after="80" w:line="252" w:lineRule="auto"/>
        <w:ind w:left="216"/>
      </w:pPr>
      <w:r>
        <w:rPr>
          <w:sz w:val="18"/>
        </w:rPr>
        <w:t>2. Purpose, Scope, and Authority</w:t>
      </w:r>
    </w:p>
    <w:p>
      <w:pPr>
        <w:spacing w:after="80" w:line="252" w:lineRule="auto"/>
        <w:ind w:left="216"/>
      </w:pPr>
      <w:r>
        <w:rPr>
          <w:sz w:val="18"/>
        </w:rPr>
        <w:t>3. Production Operations Principles</w:t>
      </w:r>
    </w:p>
    <w:p>
      <w:pPr>
        <w:spacing w:after="80" w:line="252" w:lineRule="auto"/>
        <w:ind w:left="216"/>
      </w:pPr>
      <w:r>
        <w:rPr>
          <w:sz w:val="18"/>
        </w:rPr>
        <w:t>4. AIRA Service Operating Model</w:t>
      </w:r>
    </w:p>
    <w:p>
      <w:pPr>
        <w:spacing w:after="80" w:line="252" w:lineRule="auto"/>
        <w:ind w:left="216"/>
      </w:pPr>
      <w:r>
        <w:rPr>
          <w:sz w:val="18"/>
        </w:rPr>
        <w:t>5. Service Catalog, Criticality, and Ownership</w:t>
      </w:r>
    </w:p>
    <w:p>
      <w:pPr>
        <w:spacing w:after="80" w:line="252" w:lineRule="auto"/>
        <w:ind w:left="216"/>
      </w:pPr>
      <w:r>
        <w:rPr>
          <w:sz w:val="18"/>
        </w:rPr>
        <w:t>6. SLA, SLO, SLI, Error Budget, and Service Review Model</w:t>
      </w:r>
    </w:p>
    <w:p>
      <w:pPr>
        <w:spacing w:after="80" w:line="252" w:lineRule="auto"/>
        <w:ind w:left="216"/>
      </w:pPr>
      <w:r>
        <w:rPr>
          <w:sz w:val="18"/>
        </w:rPr>
        <w:t>7. Zammad ITSM and Service Management Workflow</w:t>
      </w:r>
    </w:p>
    <w:p>
      <w:pPr>
        <w:spacing w:after="80" w:line="252" w:lineRule="auto"/>
        <w:ind w:left="216"/>
      </w:pPr>
      <w:r>
        <w:rPr>
          <w:sz w:val="18"/>
        </w:rPr>
        <w:t>8. Incident Management and Major Incident Procedure</w:t>
      </w:r>
    </w:p>
    <w:p>
      <w:pPr>
        <w:spacing w:after="80" w:line="252" w:lineRule="auto"/>
        <w:ind w:left="216"/>
      </w:pPr>
      <w:r>
        <w:rPr>
          <w:sz w:val="18"/>
        </w:rPr>
        <w:t>9. Problem Management, RCA, and Known Error Control</w:t>
      </w:r>
    </w:p>
    <w:p>
      <w:pPr>
        <w:spacing w:after="80" w:line="252" w:lineRule="auto"/>
        <w:ind w:left="216"/>
      </w:pPr>
      <w:r>
        <w:rPr>
          <w:sz w:val="18"/>
        </w:rPr>
        <w:t>10. Change, Release, Deployment, and Production Transition Interface</w:t>
      </w:r>
    </w:p>
    <w:p>
      <w:pPr>
        <w:spacing w:after="80" w:line="252" w:lineRule="auto"/>
        <w:ind w:left="216"/>
      </w:pPr>
      <w:r>
        <w:rPr>
          <w:sz w:val="18"/>
        </w:rPr>
        <w:t>11. Observability, APM, Logging, Metrics, and Tracing</w:t>
      </w:r>
    </w:p>
    <w:p>
      <w:pPr>
        <w:spacing w:after="80" w:line="252" w:lineRule="auto"/>
        <w:ind w:left="216"/>
      </w:pPr>
      <w:r>
        <w:rPr>
          <w:sz w:val="18"/>
        </w:rPr>
        <w:t>12. Security Operations, SIEM, SOAR, and Case Management</w:t>
      </w:r>
    </w:p>
    <w:p>
      <w:pPr>
        <w:spacing w:after="80" w:line="252" w:lineRule="auto"/>
        <w:ind w:left="216"/>
      </w:pPr>
      <w:r>
        <w:rPr>
          <w:sz w:val="18"/>
        </w:rPr>
        <w:t>13. Runbooks, Knowledge Management, and Evidence Retention</w:t>
      </w:r>
    </w:p>
    <w:p>
      <w:pPr>
        <w:spacing w:after="80" w:line="252" w:lineRule="auto"/>
        <w:ind w:left="216"/>
      </w:pPr>
      <w:r>
        <w:rPr>
          <w:sz w:val="18"/>
        </w:rPr>
        <w:t>14. Support Tiers, On-Call, Escalation, and Communications</w:t>
      </w:r>
    </w:p>
    <w:p>
      <w:pPr>
        <w:spacing w:after="80" w:line="252" w:lineRule="auto"/>
        <w:ind w:left="216"/>
      </w:pPr>
      <w:r>
        <w:rPr>
          <w:sz w:val="18"/>
        </w:rPr>
        <w:t>15. Capacity, Performance, Availability, and Reliability Engineering</w:t>
      </w:r>
    </w:p>
    <w:p>
      <w:pPr>
        <w:spacing w:after="80" w:line="252" w:lineRule="auto"/>
        <w:ind w:left="216"/>
      </w:pPr>
      <w:r>
        <w:rPr>
          <w:sz w:val="18"/>
        </w:rPr>
        <w:t>16. Backup, Restore, DR, and Continuity Readiness Interface</w:t>
      </w:r>
    </w:p>
    <w:p>
      <w:pPr>
        <w:spacing w:after="80" w:line="252" w:lineRule="auto"/>
        <w:ind w:left="216"/>
      </w:pPr>
      <w:r>
        <w:rPr>
          <w:sz w:val="18"/>
        </w:rPr>
        <w:t>17. Auto-Heal, Auto-Learn, Auto-Improve Operating Controls</w:t>
      </w:r>
    </w:p>
    <w:p>
      <w:pPr>
        <w:spacing w:after="80" w:line="252" w:lineRule="auto"/>
        <w:ind w:left="216"/>
      </w:pPr>
      <w:r>
        <w:rPr>
          <w:sz w:val="18"/>
        </w:rPr>
        <w:t>18. Metrics, Reporting, and Management Review</w:t>
      </w:r>
    </w:p>
    <w:p>
      <w:pPr>
        <w:spacing w:after="80" w:line="252" w:lineRule="auto"/>
        <w:ind w:left="216"/>
      </w:pPr>
      <w:r>
        <w:rPr>
          <w:sz w:val="18"/>
        </w:rPr>
        <w:t>19. RACI and Operating Responsibilities</w:t>
      </w:r>
    </w:p>
    <w:p>
      <w:pPr>
        <w:spacing w:after="80" w:line="252" w:lineRule="auto"/>
        <w:ind w:left="216"/>
      </w:pPr>
      <w:r>
        <w:rPr>
          <w:sz w:val="18"/>
        </w:rPr>
        <w:t>20. Implementation Roadmap and Acceptance Criteria</w:t>
      </w:r>
    </w:p>
    <w:p>
      <w:pPr>
        <w:spacing w:after="80" w:line="252" w:lineRule="auto"/>
        <w:ind w:left="216"/>
      </w:pPr>
      <w:r>
        <w:rPr>
          <w:sz w:val="18"/>
        </w:rPr>
        <w:t>Appendices A-F. Templates, Mermaid References, and AVCI Compliance Summary</w:t>
      </w:r>
    </w:p>
    <w:p>
      <w:pPr>
        <w:spacing w:after="80" w:line="252" w:lineRule="auto"/>
      </w:pPr>
      <w:r>
        <w:br w:type="page"/>
      </w:r>
    </w:p>
    <w:p>
      <w:pPr>
        <w:pStyle w:val="Heading1"/>
        <w:spacing w:after="80" w:line="252" w:lineRule="auto"/>
      </w:pPr>
      <w:r>
        <w:t>Document Control</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304"/>
            <w:vAlign w:val="top"/>
            <w:shd w:fill="1F4E79"/>
            <w:tcMar>
              <w:top w:w="80" w:type="dxa"/>
              <w:left w:w="80" w:type="dxa"/>
              <w:bottom w:w="80" w:type="dxa"/>
              <w:right w:w="80" w:type="dxa"/>
            </w:tcMar>
          </w:tcPr>
          <w:p>
            <w:pPr>
              <w:jc w:val="left"/>
            </w:pPr>
            <w:r>
              <w:rPr>
                <w:b/>
                <w:color w:val="FFFFFF"/>
                <w:sz w:val="16"/>
              </w:rPr>
            </w:r>
            <w:r>
              <w:rPr>
                <w:b/>
                <w:color w:val="FFFFFF"/>
                <w:sz w:val="16"/>
              </w:rPr>
              <w:t>Property</w:t>
            </w:r>
          </w:p>
        </w:tc>
        <w:tc>
          <w:tcPr>
            <w:tcW w:type="dxa" w:w="8208"/>
            <w:vAlign w:val="top"/>
            <w:shd w:fill="1F4E79"/>
            <w:tcMar>
              <w:top w:w="80" w:type="dxa"/>
              <w:left w:w="80" w:type="dxa"/>
              <w:bottom w:w="80" w:type="dxa"/>
              <w:right w:w="80" w:type="dxa"/>
            </w:tcMar>
          </w:tcPr>
          <w:p>
            <w:pPr>
              <w:jc w:val="left"/>
            </w:pPr>
            <w:r>
              <w:rPr>
                <w:b/>
                <w:color w:val="FFFFFF"/>
                <w:sz w:val="16"/>
              </w:rPr>
            </w:r>
            <w:r>
              <w:rPr>
                <w:b/>
                <w:color w:val="FFFFFF"/>
                <w:sz w:val="16"/>
              </w:rPr>
              <w:t>Value</w:t>
            </w:r>
          </w:p>
        </w:tc>
      </w:tr>
      <w:tr>
        <w:tc>
          <w:tcPr>
            <w:tcW w:type="dxa" w:w="2304"/>
            <w:vAlign w:val="top"/>
            <w:tcMar>
              <w:top w:w="80" w:type="dxa"/>
              <w:left w:w="80" w:type="dxa"/>
              <w:bottom w:w="80" w:type="dxa"/>
              <w:right w:w="80" w:type="dxa"/>
            </w:tcMar>
          </w:tcPr>
          <w:p>
            <w:pPr>
              <w:jc w:val="left"/>
            </w:pPr>
            <w:r>
              <w:rPr>
                <w:sz w:val="16"/>
              </w:rPr>
            </w:r>
            <w:r>
              <w:rPr>
                <w:b w:val="0"/>
                <w:sz w:val="16"/>
              </w:rPr>
              <w:t>Document ID</w:t>
            </w:r>
          </w:p>
        </w:tc>
        <w:tc>
          <w:tcPr>
            <w:tcW w:type="dxa" w:w="8208"/>
            <w:vAlign w:val="top"/>
            <w:tcMar>
              <w:top w:w="80" w:type="dxa"/>
              <w:left w:w="80" w:type="dxa"/>
              <w:bottom w:w="80" w:type="dxa"/>
              <w:right w:w="80" w:type="dxa"/>
            </w:tcMar>
          </w:tcPr>
          <w:p>
            <w:pPr>
              <w:jc w:val="left"/>
            </w:pPr>
            <w:r>
              <w:rPr>
                <w:sz w:val="16"/>
              </w:rPr>
            </w:r>
            <w:r>
              <w:rPr>
                <w:b w:val="0"/>
                <w:sz w:val="16"/>
              </w:rPr>
              <w:t>AIRA-DOC-031</w:t>
            </w:r>
          </w:p>
        </w:tc>
      </w:tr>
      <w:tr>
        <w:tc>
          <w:tcPr>
            <w:tcW w:type="dxa" w:w="2304"/>
            <w:vAlign w:val="top"/>
            <w:tcMar>
              <w:top w:w="80" w:type="dxa"/>
              <w:left w:w="80" w:type="dxa"/>
              <w:bottom w:w="80" w:type="dxa"/>
              <w:right w:w="80" w:type="dxa"/>
            </w:tcMar>
          </w:tcPr>
          <w:p>
            <w:pPr>
              <w:jc w:val="left"/>
            </w:pPr>
            <w:r>
              <w:rPr>
                <w:sz w:val="16"/>
              </w:rPr>
            </w:r>
            <w:r>
              <w:rPr>
                <w:b w:val="0"/>
                <w:sz w:val="16"/>
              </w:rPr>
              <w:t>Document Title</w:t>
            </w:r>
          </w:p>
        </w:tc>
        <w:tc>
          <w:tcPr>
            <w:tcW w:type="dxa" w:w="8208"/>
            <w:vAlign w:val="top"/>
            <w:tcMar>
              <w:top w:w="80" w:type="dxa"/>
              <w:left w:w="80" w:type="dxa"/>
              <w:bottom w:w="80" w:type="dxa"/>
              <w:right w:w="80" w:type="dxa"/>
            </w:tcMar>
          </w:tcPr>
          <w:p>
            <w:pPr>
              <w:jc w:val="left"/>
            </w:pPr>
            <w:r>
              <w:rPr>
                <w:sz w:val="16"/>
              </w:rPr>
            </w:r>
            <w:r>
              <w:rPr>
                <w:b w:val="0"/>
                <w:sz w:val="16"/>
              </w:rPr>
              <w:t>AIRA Production Operations, SRE, SLA/SLO, and Service Management Standard</w:t>
            </w:r>
          </w:p>
        </w:tc>
      </w:tr>
      <w:tr>
        <w:tc>
          <w:tcPr>
            <w:tcW w:type="dxa" w:w="2304"/>
            <w:vAlign w:val="top"/>
            <w:tcMar>
              <w:top w:w="80" w:type="dxa"/>
              <w:left w:w="80" w:type="dxa"/>
              <w:bottom w:w="80" w:type="dxa"/>
              <w:right w:w="80" w:type="dxa"/>
            </w:tcMar>
          </w:tcPr>
          <w:p>
            <w:pPr>
              <w:jc w:val="left"/>
            </w:pPr>
            <w:r>
              <w:rPr>
                <w:sz w:val="16"/>
              </w:rPr>
            </w:r>
            <w:r>
              <w:rPr>
                <w:b w:val="0"/>
                <w:sz w:val="16"/>
              </w:rPr>
              <w:t>Version</w:t>
            </w:r>
          </w:p>
        </w:tc>
        <w:tc>
          <w:tcPr>
            <w:tcW w:type="dxa" w:w="8208"/>
            <w:vAlign w:val="top"/>
            <w:tcMar>
              <w:top w:w="80" w:type="dxa"/>
              <w:left w:w="80" w:type="dxa"/>
              <w:bottom w:w="80" w:type="dxa"/>
              <w:right w:w="80" w:type="dxa"/>
            </w:tcMar>
          </w:tcPr>
          <w:p>
            <w:pPr>
              <w:jc w:val="left"/>
            </w:pPr>
            <w:r>
              <w:rPr>
                <w:sz w:val="16"/>
              </w:rPr>
            </w:r>
            <w:r>
              <w:rPr>
                <w:b w:val="0"/>
                <w:sz w:val="16"/>
              </w:rPr>
              <w:t>v1.0 - Initial Production Operations Baseline</w:t>
            </w:r>
          </w:p>
        </w:tc>
      </w:tr>
      <w:tr>
        <w:tc>
          <w:tcPr>
            <w:tcW w:type="dxa" w:w="2304"/>
            <w:vAlign w:val="top"/>
            <w:tcMar>
              <w:top w:w="80" w:type="dxa"/>
              <w:left w:w="80" w:type="dxa"/>
              <w:bottom w:w="80" w:type="dxa"/>
              <w:right w:w="80" w:type="dxa"/>
            </w:tcMar>
          </w:tcPr>
          <w:p>
            <w:pPr>
              <w:jc w:val="left"/>
            </w:pPr>
            <w:r>
              <w:rPr>
                <w:sz w:val="16"/>
              </w:rPr>
            </w:r>
            <w:r>
              <w:rPr>
                <w:b w:val="0"/>
                <w:sz w:val="16"/>
              </w:rPr>
              <w:t>Classification</w:t>
            </w:r>
          </w:p>
        </w:tc>
        <w:tc>
          <w:tcPr>
            <w:tcW w:type="dxa" w:w="8208"/>
            <w:vAlign w:val="top"/>
            <w:tcMar>
              <w:top w:w="80" w:type="dxa"/>
              <w:left w:w="80" w:type="dxa"/>
              <w:bottom w:w="80" w:type="dxa"/>
              <w:right w:w="80" w:type="dxa"/>
            </w:tcMar>
          </w:tcPr>
          <w:p>
            <w:pPr>
              <w:jc w:val="left"/>
            </w:pPr>
            <w:r>
              <w:rPr>
                <w:sz w:val="16"/>
              </w:rPr>
            </w:r>
            <w:r>
              <w:rPr>
                <w:b w:val="0"/>
                <w:sz w:val="16"/>
              </w:rPr>
              <w:t>INTERNAL CONFIDENTIAL</w:t>
            </w:r>
          </w:p>
        </w:tc>
      </w:tr>
      <w:tr>
        <w:tc>
          <w:tcPr>
            <w:tcW w:type="dxa" w:w="2304"/>
            <w:vAlign w:val="top"/>
            <w:tcMar>
              <w:top w:w="80" w:type="dxa"/>
              <w:left w:w="80" w:type="dxa"/>
              <w:bottom w:w="80" w:type="dxa"/>
              <w:right w:w="80" w:type="dxa"/>
            </w:tcMar>
          </w:tcPr>
          <w:p>
            <w:pPr>
              <w:jc w:val="left"/>
            </w:pPr>
            <w:r>
              <w:rPr>
                <w:sz w:val="16"/>
              </w:rPr>
            </w:r>
            <w:r>
              <w:rPr>
                <w:b w:val="0"/>
                <w:sz w:val="16"/>
              </w:rPr>
              <w:t>Status</w:t>
            </w:r>
          </w:p>
        </w:tc>
        <w:tc>
          <w:tcPr>
            <w:tcW w:type="dxa" w:w="8208"/>
            <w:vAlign w:val="top"/>
            <w:tcMar>
              <w:top w:w="80" w:type="dxa"/>
              <w:left w:w="80" w:type="dxa"/>
              <w:bottom w:w="80" w:type="dxa"/>
              <w:right w:w="80" w:type="dxa"/>
            </w:tcMar>
          </w:tcPr>
          <w:p>
            <w:pPr>
              <w:jc w:val="left"/>
            </w:pPr>
            <w:r>
              <w:rPr>
                <w:sz w:val="16"/>
              </w:rPr>
            </w:r>
            <w:r>
              <w:rPr>
                <w:b w:val="0"/>
                <w:sz w:val="16"/>
              </w:rPr>
              <w:t>FOR ARCHITECTURE REVIEW BOARD / IT OPERATIONS / SERVICE MANAGEMENT ADOPTION</w:t>
            </w:r>
          </w:p>
        </w:tc>
      </w:tr>
      <w:tr>
        <w:tc>
          <w:tcPr>
            <w:tcW w:type="dxa" w:w="2304"/>
            <w:vAlign w:val="top"/>
            <w:tcMar>
              <w:top w:w="80" w:type="dxa"/>
              <w:left w:w="80" w:type="dxa"/>
              <w:bottom w:w="80" w:type="dxa"/>
              <w:right w:w="80" w:type="dxa"/>
            </w:tcMar>
          </w:tcPr>
          <w:p>
            <w:pPr>
              <w:jc w:val="left"/>
            </w:pPr>
            <w:r>
              <w:rPr>
                <w:sz w:val="16"/>
              </w:rPr>
            </w:r>
            <w:r>
              <w:rPr>
                <w:b w:val="0"/>
                <w:sz w:val="16"/>
              </w:rPr>
              <w:t>Owner</w:t>
            </w:r>
          </w:p>
        </w:tc>
        <w:tc>
          <w:tcPr>
            <w:tcW w:type="dxa" w:w="8208"/>
            <w:vAlign w:val="top"/>
            <w:tcMar>
              <w:top w:w="80" w:type="dxa"/>
              <w:left w:w="80" w:type="dxa"/>
              <w:bottom w:w="80" w:type="dxa"/>
              <w:right w:w="80" w:type="dxa"/>
            </w:tcMar>
          </w:tcPr>
          <w:p>
            <w:pPr>
              <w:jc w:val="left"/>
            </w:pPr>
            <w:r>
              <w:rPr>
                <w:sz w:val="16"/>
              </w:rPr>
            </w:r>
            <w:r>
              <w:rPr>
                <w:b w:val="0"/>
                <w:sz w:val="16"/>
              </w:rPr>
              <w:t>Solutions Architecture Office / IT Head</w:t>
            </w:r>
          </w:p>
        </w:tc>
      </w:tr>
      <w:tr>
        <w:tc>
          <w:tcPr>
            <w:tcW w:type="dxa" w:w="2304"/>
            <w:vAlign w:val="top"/>
            <w:tcMar>
              <w:top w:w="80" w:type="dxa"/>
              <w:left w:w="80" w:type="dxa"/>
              <w:bottom w:w="80" w:type="dxa"/>
              <w:right w:w="80" w:type="dxa"/>
            </w:tcMar>
          </w:tcPr>
          <w:p>
            <w:pPr>
              <w:jc w:val="left"/>
            </w:pPr>
            <w:r>
              <w:rPr>
                <w:sz w:val="16"/>
              </w:rPr>
            </w:r>
            <w:r>
              <w:rPr>
                <w:b w:val="0"/>
                <w:sz w:val="16"/>
              </w:rPr>
              <w:t>Co-Owners</w:t>
            </w:r>
          </w:p>
        </w:tc>
        <w:tc>
          <w:tcPr>
            <w:tcW w:type="dxa" w:w="8208"/>
            <w:vAlign w:val="top"/>
            <w:tcMar>
              <w:top w:w="80" w:type="dxa"/>
              <w:left w:w="80" w:type="dxa"/>
              <w:bottom w:w="80" w:type="dxa"/>
              <w:right w:w="80" w:type="dxa"/>
            </w:tcMar>
          </w:tcPr>
          <w:p>
            <w:pPr>
              <w:jc w:val="left"/>
            </w:pPr>
            <w:r>
              <w:rPr>
                <w:sz w:val="16"/>
              </w:rPr>
            </w:r>
            <w:r>
              <w:rPr>
                <w:b w:val="0"/>
                <w:sz w:val="16"/>
              </w:rPr>
              <w:t>SRE Lead, DevSecOps Lead, Service Desk Lead, Security Administrator, System Administrator, DBA, QA Lead, Application Owners</w:t>
            </w:r>
          </w:p>
        </w:tc>
      </w:tr>
      <w:tr>
        <w:tc>
          <w:tcPr>
            <w:tcW w:type="dxa" w:w="2304"/>
            <w:vAlign w:val="top"/>
            <w:tcMar>
              <w:top w:w="80" w:type="dxa"/>
              <w:left w:w="80" w:type="dxa"/>
              <w:bottom w:w="80" w:type="dxa"/>
              <w:right w:w="80" w:type="dxa"/>
            </w:tcMar>
          </w:tcPr>
          <w:p>
            <w:pPr>
              <w:jc w:val="left"/>
            </w:pPr>
            <w:r>
              <w:rPr>
                <w:sz w:val="16"/>
              </w:rPr>
            </w:r>
            <w:r>
              <w:rPr>
                <w:b w:val="0"/>
                <w:sz w:val="16"/>
              </w:rPr>
              <w:t>Effective Date</w:t>
            </w:r>
          </w:p>
        </w:tc>
        <w:tc>
          <w:tcPr>
            <w:tcW w:type="dxa" w:w="8208"/>
            <w:vAlign w:val="top"/>
            <w:tcMar>
              <w:top w:w="80" w:type="dxa"/>
              <w:left w:w="80" w:type="dxa"/>
              <w:bottom w:w="80" w:type="dxa"/>
              <w:right w:w="80" w:type="dxa"/>
            </w:tcMar>
          </w:tcPr>
          <w:p>
            <w:pPr>
              <w:jc w:val="left"/>
            </w:pPr>
            <w:r>
              <w:rPr>
                <w:sz w:val="16"/>
              </w:rPr>
            </w:r>
            <w:r>
              <w:rPr>
                <w:b w:val="0"/>
                <w:sz w:val="16"/>
              </w:rPr>
              <w:t>Upon Architecture Review Board / CAB approval</w:t>
            </w:r>
          </w:p>
        </w:tc>
      </w:tr>
      <w:tr>
        <w:tc>
          <w:tcPr>
            <w:tcW w:type="dxa" w:w="2304"/>
            <w:vAlign w:val="top"/>
            <w:tcMar>
              <w:top w:w="80" w:type="dxa"/>
              <w:left w:w="80" w:type="dxa"/>
              <w:bottom w:w="80" w:type="dxa"/>
              <w:right w:w="80" w:type="dxa"/>
            </w:tcMar>
          </w:tcPr>
          <w:p>
            <w:pPr>
              <w:jc w:val="left"/>
            </w:pPr>
            <w:r>
              <w:rPr>
                <w:sz w:val="16"/>
              </w:rPr>
            </w:r>
            <w:r>
              <w:rPr>
                <w:b w:val="0"/>
                <w:sz w:val="16"/>
              </w:rPr>
              <w:t>Review Cadence</w:t>
            </w:r>
          </w:p>
        </w:tc>
        <w:tc>
          <w:tcPr>
            <w:tcW w:type="dxa" w:w="8208"/>
            <w:vAlign w:val="top"/>
            <w:tcMar>
              <w:top w:w="80" w:type="dxa"/>
              <w:left w:w="80" w:type="dxa"/>
              <w:bottom w:w="80" w:type="dxa"/>
              <w:right w:w="80" w:type="dxa"/>
            </w:tcMar>
          </w:tcPr>
          <w:p>
            <w:pPr>
              <w:jc w:val="left"/>
            </w:pPr>
            <w:r>
              <w:rPr>
                <w:sz w:val="16"/>
              </w:rPr>
            </w:r>
            <w:r>
              <w:rPr>
                <w:b w:val="0"/>
                <w:sz w:val="16"/>
              </w:rPr>
              <w:t>Monthly during MVP/early production; quarterly after stabilization; unscheduled after Sev-1/Sev-2 incident, major release, control failure, or material stack change</w:t>
            </w:r>
          </w:p>
        </w:tc>
      </w:tr>
      <w:tr>
        <w:tc>
          <w:tcPr>
            <w:tcW w:type="dxa" w:w="2304"/>
            <w:vAlign w:val="top"/>
            <w:tcMar>
              <w:top w:w="80" w:type="dxa"/>
              <w:left w:w="80" w:type="dxa"/>
              <w:bottom w:w="80" w:type="dxa"/>
              <w:right w:w="80" w:type="dxa"/>
            </w:tcMar>
          </w:tcPr>
          <w:p>
            <w:pPr>
              <w:jc w:val="left"/>
            </w:pPr>
            <w:r>
              <w:rPr>
                <w:sz w:val="16"/>
              </w:rPr>
            </w:r>
            <w:r>
              <w:rPr>
                <w:b w:val="0"/>
                <w:sz w:val="16"/>
              </w:rPr>
              <w:t>Audience</w:t>
            </w:r>
          </w:p>
        </w:tc>
        <w:tc>
          <w:tcPr>
            <w:tcW w:type="dxa" w:w="8208"/>
            <w:vAlign w:val="top"/>
            <w:tcMar>
              <w:top w:w="80" w:type="dxa"/>
              <w:left w:w="80" w:type="dxa"/>
              <w:bottom w:w="80" w:type="dxa"/>
              <w:right w:w="80" w:type="dxa"/>
            </w:tcMar>
          </w:tcPr>
          <w:p>
            <w:pPr>
              <w:jc w:val="left"/>
            </w:pPr>
            <w:r>
              <w:rPr>
                <w:sz w:val="16"/>
              </w:rPr>
            </w:r>
            <w:r>
              <w:rPr>
                <w:b w:val="0"/>
                <w:sz w:val="16"/>
              </w:rPr>
              <w:t>Solutions Architect / IT Head, Software Development Lead, DevSecOps, SRE, Service Desk, System Administrator, Security Administrator, DBA, QA/SDET, Business System Owners, Compliance, Internal Audit</w:t>
            </w:r>
          </w:p>
        </w:tc>
      </w:tr>
      <w:tr>
        <w:tc>
          <w:tcPr>
            <w:tcW w:type="dxa" w:w="2304"/>
            <w:vAlign w:val="top"/>
            <w:tcMar>
              <w:top w:w="80" w:type="dxa"/>
              <w:left w:w="80" w:type="dxa"/>
              <w:bottom w:w="80" w:type="dxa"/>
              <w:right w:w="80" w:type="dxa"/>
            </w:tcMar>
          </w:tcPr>
          <w:p>
            <w:pPr>
              <w:jc w:val="left"/>
            </w:pPr>
            <w:r>
              <w:rPr>
                <w:sz w:val="16"/>
              </w:rPr>
            </w:r>
            <w:r>
              <w:rPr>
                <w:b w:val="0"/>
                <w:sz w:val="16"/>
              </w:rPr>
              <w:t>Companion Documents</w:t>
            </w:r>
          </w:p>
        </w:tc>
        <w:tc>
          <w:tcPr>
            <w:tcW w:type="dxa" w:w="8208"/>
            <w:vAlign w:val="top"/>
            <w:tcMar>
              <w:top w:w="80" w:type="dxa"/>
              <w:left w:w="80" w:type="dxa"/>
              <w:bottom w:w="80" w:type="dxa"/>
              <w:right w:w="80" w:type="dxa"/>
            </w:tcMar>
          </w:tcPr>
          <w:p>
            <w:pPr>
              <w:jc w:val="left"/>
            </w:pPr>
            <w:r>
              <w:rPr>
                <w:sz w:val="16"/>
              </w:rPr>
            </w:r>
            <w:r>
              <w:rPr>
                <w:b w:val="0"/>
                <w:sz w:val="16"/>
              </w:rPr>
              <w:t>01 AVCI Engineering Standard; 01A Enterprise Design Principles and SOLID Enforcement Layer; 02 Engineering Blueprint; 03 Developer Guide; 04 Technology Stack; 11 DevSecOps Standard; 17 Security Standard; 20 CI/CD Evidence Pack; 21 Runtime Platform Bootstrap Runbook; 24 Operations, Incident, Auto-Heal and Recovery Runbook Pack; 29 UAT and Production Acceptance; 30 Release, Deployment, Change and CAB Governance</w:t>
            </w:r>
          </w:p>
        </w:tc>
      </w:tr>
      <w:tr>
        <w:tc>
          <w:tcPr>
            <w:tcW w:type="dxa" w:w="2304"/>
            <w:vAlign w:val="top"/>
            <w:tcMar>
              <w:top w:w="80" w:type="dxa"/>
              <w:left w:w="80" w:type="dxa"/>
              <w:bottom w:w="80" w:type="dxa"/>
              <w:right w:w="80" w:type="dxa"/>
            </w:tcMar>
          </w:tcPr>
          <w:p>
            <w:pPr>
              <w:jc w:val="left"/>
            </w:pPr>
            <w:r>
              <w:rPr>
                <w:sz w:val="16"/>
              </w:rPr>
            </w:r>
            <w:r>
              <w:rPr>
                <w:b w:val="0"/>
                <w:sz w:val="16"/>
              </w:rPr>
              <w:t>Primary Tooling Baseline</w:t>
            </w:r>
          </w:p>
        </w:tc>
        <w:tc>
          <w:tcPr>
            <w:tcW w:type="dxa" w:w="8208"/>
            <w:vAlign w:val="top"/>
            <w:tcMar>
              <w:top w:w="80" w:type="dxa"/>
              <w:left w:w="80" w:type="dxa"/>
              <w:bottom w:w="80" w:type="dxa"/>
              <w:right w:w="80" w:type="dxa"/>
            </w:tcMar>
          </w:tcPr>
          <w:p>
            <w:pPr>
              <w:jc w:val="left"/>
            </w:pPr>
            <w:r>
              <w:rPr>
                <w:sz w:val="16"/>
              </w:rPr>
            </w:r>
            <w:r>
              <w:rPr>
                <w:b w:val="0"/>
                <w:sz w:val="16"/>
              </w:rPr>
              <w:t>Zammad for ITSM/service tickets; OpenTelemetry, Prometheus, Loki, Tempo, Grafana, Sentry, and SigNoz for observability/APM; Wazuh for SIEM/XDR; TheHive for case management; Cortex for responders/analyzers; OpenKM/Obsidian/LLM Wiki for evidence and runbooks</w:t>
            </w:r>
          </w:p>
        </w:tc>
      </w:tr>
      <w:tr>
        <w:tc>
          <w:tcPr>
            <w:tcW w:type="dxa" w:w="2304"/>
            <w:vAlign w:val="top"/>
            <w:tcMar>
              <w:top w:w="80" w:type="dxa"/>
              <w:left w:w="80" w:type="dxa"/>
              <w:bottom w:w="80" w:type="dxa"/>
              <w:right w:w="80" w:type="dxa"/>
            </w:tcMar>
          </w:tcPr>
          <w:p>
            <w:pPr>
              <w:jc w:val="left"/>
            </w:pPr>
            <w:r>
              <w:rPr>
                <w:sz w:val="16"/>
              </w:rPr>
            </w:r>
            <w:r>
              <w:rPr>
                <w:b w:val="0"/>
                <w:sz w:val="16"/>
              </w:rPr>
              <w:t>Compliance Scope</w:t>
            </w:r>
          </w:p>
        </w:tc>
        <w:tc>
          <w:tcPr>
            <w:tcW w:type="dxa" w:w="8208"/>
            <w:vAlign w:val="top"/>
            <w:tcMar>
              <w:top w:w="80" w:type="dxa"/>
              <w:left w:w="80" w:type="dxa"/>
              <w:bottom w:w="80" w:type="dxa"/>
              <w:right w:w="80" w:type="dxa"/>
            </w:tcMar>
          </w:tcPr>
          <w:p>
            <w:pPr>
              <w:jc w:val="left"/>
            </w:pPr>
            <w:r>
              <w:rPr>
                <w:sz w:val="16"/>
              </w:rPr>
            </w:r>
            <w:r>
              <w:rPr>
                <w:b w:val="0"/>
                <w:sz w:val="16"/>
              </w:rPr>
              <w:t>AVCI; ISO/IEC 27001:2022; CIS Controls v8.1; NIST SSDF; NIST AI RMF; SOC 2; BSP IT Risk expectations; SLSA Level 3 target; internal audit and service management controls</w:t>
            </w:r>
          </w:p>
        </w:tc>
      </w:tr>
      <w:tr>
        <w:tc>
          <w:tcPr>
            <w:tcW w:type="dxa" w:w="2304"/>
            <w:vAlign w:val="top"/>
            <w:tcMar>
              <w:top w:w="80" w:type="dxa"/>
              <w:left w:w="80" w:type="dxa"/>
              <w:bottom w:w="80" w:type="dxa"/>
              <w:right w:w="80" w:type="dxa"/>
            </w:tcMar>
          </w:tcPr>
          <w:p>
            <w:pPr>
              <w:jc w:val="left"/>
            </w:pPr>
            <w:r>
              <w:rPr>
                <w:sz w:val="16"/>
              </w:rPr>
            </w:r>
            <w:r>
              <w:rPr>
                <w:b w:val="0"/>
                <w:sz w:val="16"/>
              </w:rPr>
              <w:t>Evidence Path</w:t>
            </w:r>
          </w:p>
        </w:tc>
        <w:tc>
          <w:tcPr>
            <w:tcW w:type="dxa" w:w="8208"/>
            <w:vAlign w:val="top"/>
            <w:tcMar>
              <w:top w:w="80" w:type="dxa"/>
              <w:left w:w="80" w:type="dxa"/>
              <w:bottom w:w="80" w:type="dxa"/>
              <w:right w:w="80" w:type="dxa"/>
            </w:tcMar>
          </w:tcPr>
          <w:p>
            <w:pPr>
              <w:jc w:val="left"/>
            </w:pPr>
            <w:r>
              <w:rPr>
                <w:sz w:val="16"/>
              </w:rPr>
            </w:r>
            <w:r>
              <w:rPr>
                <w:b w:val="0"/>
                <w:sz w:val="16"/>
              </w:rPr>
              <w:t>OpenKM Tier-0 / AIRA / Operations / Production-Operations-SRE-Service-Management / v1.0</w:t>
            </w:r>
          </w:p>
        </w:tc>
      </w:tr>
    </w:tbl>
    <w:p>
      <w:pPr>
        <w:pStyle w:val="Heading1"/>
        <w:spacing w:after="80" w:line="252" w:lineRule="auto"/>
      </w:pPr>
      <w:r>
        <w:t>1. Executive Summary</w:t>
      </w:r>
    </w:p>
    <w:p>
      <w:pPr>
        <w:spacing w:after="80" w:line="252" w:lineRule="auto"/>
      </w:pPr>
      <w:r>
        <w:t>This standard defines how AIRA is operated after controlled release into test, UAT, staging, pilot, or production-like environments. It connects engineering delivery to service management, SRE discipline, observability, security operations, incident response, problem management, change control, and continuous improvement.</w:t>
      </w:r>
    </w:p>
    <w:p>
      <w:pPr>
        <w:spacing w:after="80" w:line="252" w:lineRule="auto"/>
      </w:pPr>
      <w:r>
        <w:t>AIRA is an AI-native, mission-critical enterprise platform. Production operations therefore cannot rely on ad-hoc support, informal chat, manual observation, or undocumented fixes. Every service must have a named owner, measurable reliability target, monitored signals, ticket workflow, security evidence, runbook, escalation path, and improvement mechanism.</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vAlign w:val="top"/>
            <w:shd w:fill="1F4E79"/>
            <w:tcMar>
              <w:top w:w="80" w:type="dxa"/>
              <w:left w:w="80" w:type="dxa"/>
              <w:bottom w:w="80" w:type="dxa"/>
              <w:right w:w="80" w:type="dxa"/>
            </w:tcMar>
          </w:tcPr>
          <w:p>
            <w:pPr>
              <w:jc w:val="left"/>
            </w:pPr>
            <w:r>
              <w:rPr>
                <w:b/>
                <w:color w:val="FFFFFF"/>
                <w:sz w:val="16"/>
              </w:rPr>
            </w:r>
            <w:r>
              <w:rPr>
                <w:b/>
                <w:color w:val="FFFFFF"/>
                <w:sz w:val="16"/>
              </w:rPr>
              <w:t>Strategic Outcome</w:t>
            </w:r>
          </w:p>
        </w:tc>
        <w:tc>
          <w:tcPr>
            <w:tcW w:type="dxa" w:w="7488"/>
            <w:vAlign w:val="top"/>
            <w:shd w:fill="1F4E79"/>
            <w:tcMar>
              <w:top w:w="80" w:type="dxa"/>
              <w:left w:w="80" w:type="dxa"/>
              <w:bottom w:w="80" w:type="dxa"/>
              <w:right w:w="80" w:type="dxa"/>
            </w:tcMar>
          </w:tcPr>
          <w:p>
            <w:pPr>
              <w:jc w:val="left"/>
            </w:pPr>
            <w:r>
              <w:rPr>
                <w:b/>
                <w:color w:val="FFFFFF"/>
                <w:sz w:val="16"/>
              </w:rPr>
            </w:r>
            <w:r>
              <w:rPr>
                <w:b/>
                <w:color w:val="FFFFFF"/>
                <w:sz w:val="16"/>
              </w:rPr>
              <w:t>Required Operating Result</w:t>
            </w:r>
          </w:p>
        </w:tc>
      </w:tr>
      <w:tr>
        <w:tc>
          <w:tcPr>
            <w:tcW w:type="dxa" w:w="2880"/>
            <w:vAlign w:val="top"/>
            <w:tcMar>
              <w:top w:w="80" w:type="dxa"/>
              <w:left w:w="80" w:type="dxa"/>
              <w:bottom w:w="80" w:type="dxa"/>
              <w:right w:w="80" w:type="dxa"/>
            </w:tcMar>
          </w:tcPr>
          <w:p>
            <w:pPr>
              <w:jc w:val="left"/>
            </w:pPr>
            <w:r>
              <w:rPr>
                <w:sz w:val="16"/>
              </w:rPr>
            </w:r>
            <w:r>
              <w:rPr>
                <w:b w:val="0"/>
                <w:sz w:val="16"/>
              </w:rPr>
              <w:t>Reliable service delivery</w:t>
            </w:r>
          </w:p>
        </w:tc>
        <w:tc>
          <w:tcPr>
            <w:tcW w:type="dxa" w:w="7488"/>
            <w:vAlign w:val="top"/>
            <w:tcMar>
              <w:top w:w="80" w:type="dxa"/>
              <w:left w:w="80" w:type="dxa"/>
              <w:bottom w:w="80" w:type="dxa"/>
              <w:right w:w="80" w:type="dxa"/>
            </w:tcMar>
          </w:tcPr>
          <w:p>
            <w:pPr>
              <w:jc w:val="left"/>
            </w:pPr>
            <w:r>
              <w:rPr>
                <w:sz w:val="16"/>
              </w:rPr>
            </w:r>
            <w:r>
              <w:rPr>
                <w:b w:val="0"/>
                <w:sz w:val="16"/>
              </w:rPr>
              <w:t>Each service has SLOs, SLIs, error budgets, dependency maps, support ownership, and operational readiness evidence.</w:t>
            </w:r>
          </w:p>
        </w:tc>
      </w:tr>
      <w:tr>
        <w:tc>
          <w:tcPr>
            <w:tcW w:type="dxa" w:w="2880"/>
            <w:vAlign w:val="top"/>
            <w:tcMar>
              <w:top w:w="80" w:type="dxa"/>
              <w:left w:w="80" w:type="dxa"/>
              <w:bottom w:w="80" w:type="dxa"/>
              <w:right w:w="80" w:type="dxa"/>
            </w:tcMar>
          </w:tcPr>
          <w:p>
            <w:pPr>
              <w:jc w:val="left"/>
            </w:pPr>
            <w:r>
              <w:rPr>
                <w:sz w:val="16"/>
              </w:rPr>
            </w:r>
            <w:r>
              <w:rPr>
                <w:b w:val="0"/>
                <w:sz w:val="16"/>
              </w:rPr>
              <w:t>One ticket path</w:t>
            </w:r>
          </w:p>
        </w:tc>
        <w:tc>
          <w:tcPr>
            <w:tcW w:type="dxa" w:w="7488"/>
            <w:vAlign w:val="top"/>
            <w:tcMar>
              <w:top w:w="80" w:type="dxa"/>
              <w:left w:w="80" w:type="dxa"/>
              <w:bottom w:w="80" w:type="dxa"/>
              <w:right w:w="80" w:type="dxa"/>
            </w:tcMar>
          </w:tcPr>
          <w:p>
            <w:pPr>
              <w:jc w:val="left"/>
            </w:pPr>
            <w:r>
              <w:rPr>
                <w:sz w:val="16"/>
              </w:rPr>
            </w:r>
            <w:r>
              <w:rPr>
                <w:b w:val="0"/>
                <w:sz w:val="16"/>
              </w:rPr>
              <w:t>All operational work, incidents, service requests, problems, changes, and recovery actions are traceable through Zammad or linked service records.</w:t>
            </w:r>
          </w:p>
        </w:tc>
      </w:tr>
      <w:tr>
        <w:tc>
          <w:tcPr>
            <w:tcW w:type="dxa" w:w="2880"/>
            <w:vAlign w:val="top"/>
            <w:tcMar>
              <w:top w:w="80" w:type="dxa"/>
              <w:left w:w="80" w:type="dxa"/>
              <w:bottom w:w="80" w:type="dxa"/>
              <w:right w:w="80" w:type="dxa"/>
            </w:tcMar>
          </w:tcPr>
          <w:p>
            <w:pPr>
              <w:jc w:val="left"/>
            </w:pPr>
            <w:r>
              <w:rPr>
                <w:sz w:val="16"/>
              </w:rPr>
            </w:r>
            <w:r>
              <w:rPr>
                <w:b w:val="0"/>
                <w:sz w:val="16"/>
              </w:rPr>
              <w:t>Observable by design</w:t>
            </w:r>
          </w:p>
        </w:tc>
        <w:tc>
          <w:tcPr>
            <w:tcW w:type="dxa" w:w="7488"/>
            <w:vAlign w:val="top"/>
            <w:tcMar>
              <w:top w:w="80" w:type="dxa"/>
              <w:left w:w="80" w:type="dxa"/>
              <w:bottom w:w="80" w:type="dxa"/>
              <w:right w:w="80" w:type="dxa"/>
            </w:tcMar>
          </w:tcPr>
          <w:p>
            <w:pPr>
              <w:jc w:val="left"/>
            </w:pPr>
            <w:r>
              <w:rPr>
                <w:sz w:val="16"/>
              </w:rPr>
            </w:r>
            <w:r>
              <w:rPr>
                <w:b w:val="0"/>
                <w:sz w:val="16"/>
              </w:rPr>
              <w:t>Telemetry is produced through OpenTelemetry and analyzed through Grafana, Prometheus, Loki, Tempo, Sentry, and SigNoz as applicable.</w:t>
            </w:r>
          </w:p>
        </w:tc>
      </w:tr>
      <w:tr>
        <w:tc>
          <w:tcPr>
            <w:tcW w:type="dxa" w:w="2880"/>
            <w:vAlign w:val="top"/>
            <w:tcMar>
              <w:top w:w="80" w:type="dxa"/>
              <w:left w:w="80" w:type="dxa"/>
              <w:bottom w:w="80" w:type="dxa"/>
              <w:right w:w="80" w:type="dxa"/>
            </w:tcMar>
          </w:tcPr>
          <w:p>
            <w:pPr>
              <w:jc w:val="left"/>
            </w:pPr>
            <w:r>
              <w:rPr>
                <w:sz w:val="16"/>
              </w:rPr>
            </w:r>
            <w:r>
              <w:rPr>
                <w:b w:val="0"/>
                <w:sz w:val="16"/>
              </w:rPr>
              <w:t>Security-aware operations</w:t>
            </w:r>
          </w:p>
        </w:tc>
        <w:tc>
          <w:tcPr>
            <w:tcW w:type="dxa" w:w="7488"/>
            <w:vAlign w:val="top"/>
            <w:tcMar>
              <w:top w:w="80" w:type="dxa"/>
              <w:left w:w="80" w:type="dxa"/>
              <w:bottom w:w="80" w:type="dxa"/>
              <w:right w:w="80" w:type="dxa"/>
            </w:tcMar>
          </w:tcPr>
          <w:p>
            <w:pPr>
              <w:jc w:val="left"/>
            </w:pPr>
            <w:r>
              <w:rPr>
                <w:sz w:val="16"/>
              </w:rPr>
            </w:r>
            <w:r>
              <w:rPr>
                <w:b w:val="0"/>
                <w:sz w:val="16"/>
              </w:rPr>
              <w:t>Wazuh, TheHive, and Cortex provide SIEM/XDR, case management, and SOAR-assisted response under human control.</w:t>
            </w:r>
          </w:p>
        </w:tc>
      </w:tr>
      <w:tr>
        <w:tc>
          <w:tcPr>
            <w:tcW w:type="dxa" w:w="2880"/>
            <w:vAlign w:val="top"/>
            <w:tcMar>
              <w:top w:w="80" w:type="dxa"/>
              <w:left w:w="80" w:type="dxa"/>
              <w:bottom w:w="80" w:type="dxa"/>
              <w:right w:w="80" w:type="dxa"/>
            </w:tcMar>
          </w:tcPr>
          <w:p>
            <w:pPr>
              <w:jc w:val="left"/>
            </w:pPr>
            <w:r>
              <w:rPr>
                <w:sz w:val="16"/>
              </w:rPr>
            </w:r>
            <w:r>
              <w:rPr>
                <w:b w:val="0"/>
                <w:sz w:val="16"/>
              </w:rPr>
              <w:t>Audit-ready response</w:t>
            </w:r>
          </w:p>
        </w:tc>
        <w:tc>
          <w:tcPr>
            <w:tcW w:type="dxa" w:w="7488"/>
            <w:vAlign w:val="top"/>
            <w:tcMar>
              <w:top w:w="80" w:type="dxa"/>
              <w:left w:w="80" w:type="dxa"/>
              <w:bottom w:w="80" w:type="dxa"/>
              <w:right w:w="80" w:type="dxa"/>
            </w:tcMar>
          </w:tcPr>
          <w:p>
            <w:pPr>
              <w:jc w:val="left"/>
            </w:pPr>
            <w:r>
              <w:rPr>
                <w:sz w:val="16"/>
              </w:rPr>
            </w:r>
            <w:r>
              <w:rPr>
                <w:b w:val="0"/>
                <w:sz w:val="16"/>
              </w:rPr>
              <w:t>Incidents, changes, Auto-Heal proposals, rollback actions, and problem records produce AVCI-complete evidence.</w:t>
            </w:r>
          </w:p>
        </w:tc>
      </w:tr>
      <w:tr>
        <w:tc>
          <w:tcPr>
            <w:tcW w:type="dxa" w:w="2880"/>
            <w:vAlign w:val="top"/>
            <w:tcMar>
              <w:top w:w="80" w:type="dxa"/>
              <w:left w:w="80" w:type="dxa"/>
              <w:bottom w:w="80" w:type="dxa"/>
              <w:right w:w="80" w:type="dxa"/>
            </w:tcMar>
          </w:tcPr>
          <w:p>
            <w:pPr>
              <w:jc w:val="left"/>
            </w:pPr>
            <w:r>
              <w:rPr>
                <w:sz w:val="16"/>
              </w:rPr>
            </w:r>
            <w:r>
              <w:rPr>
                <w:b w:val="0"/>
                <w:sz w:val="16"/>
              </w:rPr>
              <w:t>Continuous improvement</w:t>
            </w:r>
          </w:p>
        </w:tc>
        <w:tc>
          <w:tcPr>
            <w:tcW w:type="dxa" w:w="7488"/>
            <w:vAlign w:val="top"/>
            <w:tcMar>
              <w:top w:w="80" w:type="dxa"/>
              <w:left w:w="80" w:type="dxa"/>
              <w:bottom w:w="80" w:type="dxa"/>
              <w:right w:w="80" w:type="dxa"/>
            </w:tcMar>
          </w:tcPr>
          <w:p>
            <w:pPr>
              <w:jc w:val="left"/>
            </w:pPr>
            <w:r>
              <w:rPr>
                <w:sz w:val="16"/>
              </w:rPr>
            </w:r>
            <w:r>
              <w:rPr>
                <w:b w:val="0"/>
                <w:sz w:val="16"/>
              </w:rPr>
              <w:t>RCA, recurring defects, SLO burn, support trends, and security cases become backlog items, runbook updates, training updates, or architecture fitness improvements.</w:t>
            </w:r>
          </w:p>
        </w:tc>
      </w:tr>
    </w:tbl>
    <w:tbl>
      <w:tblPr>
        <w:tblW w:type="auto" w:w="0"/>
        <w:jc w:val="center"/>
        <w:tblLook w:firstColumn="1" w:firstRow="1" w:lastColumn="0" w:lastRow="0" w:noHBand="0" w:noVBand="1" w:val="04A0"/>
      </w:tblPr>
      <w:tblGrid>
        <w:gridCol w:w="10656"/>
      </w:tblGrid>
      <w:tr>
        <w:tc>
          <w:tcPr>
            <w:tcW w:type="dxa" w:w="10656"/>
            <w:shd w:fill="FCE4D6"/>
            <w:tcMar>
              <w:top w:w="80" w:type="dxa"/>
              <w:left w:w="80" w:type="dxa"/>
              <w:bottom w:w="80" w:type="dxa"/>
              <w:right w:w="80" w:type="dxa"/>
            </w:tcMar>
          </w:tcPr>
          <w:p>
            <w:pPr>
              <w:jc w:val="left"/>
            </w:pPr>
            <w:r>
              <w:rPr>
                <w:b/>
                <w:color w:val="1F3B60"/>
                <w:sz w:val="20"/>
              </w:rPr>
              <w:t>Production Operations Rule</w:t>
              <w:br/>
            </w:r>
            <w:r>
              <w:rPr>
                <w:color w:val="202020"/>
                <w:sz w:val="18"/>
              </w:rPr>
              <w:t>A service is not operationally ready because it deploys successfully. It is operationally ready only when it can be monitored, supported, secured, recovered, explained, improved, and audited.</w:t>
            </w:r>
          </w:p>
        </w:tc>
      </w:tr>
    </w:tbl>
    <w:p>
      <w:pPr>
        <w:pStyle w:val="Heading1"/>
        <w:spacing w:after="80" w:line="252" w:lineRule="auto"/>
      </w:pPr>
      <w:r>
        <w:t>2. Purpose, Scope, and Authority</w:t>
      </w:r>
    </w:p>
    <w:p>
      <w:pPr>
        <w:pStyle w:val="Heading2"/>
        <w:spacing w:after="80" w:line="252" w:lineRule="auto"/>
      </w:pPr>
      <w:r>
        <w:t>2.1 Purpose</w:t>
      </w:r>
    </w:p>
    <w:p>
      <w:pPr>
        <w:pStyle w:val="ListBullet"/>
        <w:spacing w:after="80" w:line="252" w:lineRule="auto"/>
      </w:pPr>
      <w:r>
        <w:rPr>
          <w:sz w:val="18"/>
        </w:rPr>
        <w:t>Define the production operations and SRE operating standard for AIRA services and platform components.</w:t>
      </w:r>
    </w:p>
    <w:p>
      <w:pPr>
        <w:pStyle w:val="ListBullet"/>
        <w:spacing w:after="80" w:line="252" w:lineRule="auto"/>
      </w:pPr>
      <w:r>
        <w:rPr>
          <w:sz w:val="18"/>
        </w:rPr>
        <w:t>Establish how SLA/SLO/SLI targets are defined, reviewed, breached, escalated, and improved.</w:t>
      </w:r>
    </w:p>
    <w:p>
      <w:pPr>
        <w:pStyle w:val="ListBullet"/>
        <w:spacing w:after="80" w:line="252" w:lineRule="auto"/>
      </w:pPr>
      <w:r>
        <w:rPr>
          <w:sz w:val="18"/>
        </w:rPr>
        <w:t>Formalize Zammad as the operational service management entry point for tickets, incidents, requests, problems, and changes.</w:t>
      </w:r>
    </w:p>
    <w:p>
      <w:pPr>
        <w:pStyle w:val="ListBullet"/>
        <w:spacing w:after="80" w:line="252" w:lineRule="auto"/>
      </w:pPr>
      <w:r>
        <w:rPr>
          <w:sz w:val="18"/>
        </w:rPr>
        <w:t>Define observability, APM, SIEM, SOAR, runbook, escalation, and evidence requirements.</w:t>
      </w:r>
    </w:p>
    <w:p>
      <w:pPr>
        <w:pStyle w:val="ListBullet"/>
        <w:spacing w:after="80" w:line="252" w:lineRule="auto"/>
      </w:pPr>
      <w:r>
        <w:rPr>
          <w:sz w:val="18"/>
        </w:rPr>
        <w:t>Ensure Auto-Heal, Auto-Learn, and Auto-Improve operate within human accountability, CAB, and AVCI controls.</w:t>
      </w:r>
    </w:p>
    <w:p>
      <w:pPr>
        <w:pStyle w:val="Heading2"/>
        <w:spacing w:after="80" w:line="252" w:lineRule="auto"/>
      </w:pPr>
      <w:r>
        <w:t>2.2 In Scope</w:t>
      </w:r>
    </w:p>
    <w:p>
      <w:pPr>
        <w:pStyle w:val="ListBullet"/>
        <w:spacing w:after="80" w:line="252" w:lineRule="auto"/>
      </w:pPr>
      <w:r>
        <w:rPr>
          <w:sz w:val="18"/>
        </w:rPr>
        <w:t>All AIRA services, APIs, workflows, MicroFunction runtime components, AI orchestration services, model-routing components, data services, integrations, and platform dependencies.</w:t>
      </w:r>
    </w:p>
    <w:p>
      <w:pPr>
        <w:pStyle w:val="ListBullet"/>
        <w:spacing w:after="80" w:line="252" w:lineRule="auto"/>
      </w:pPr>
      <w:r>
        <w:rPr>
          <w:sz w:val="18"/>
        </w:rPr>
        <w:t>All environments where operational readiness is required: DEV shared services, INT, UAT, STG, pilot, PROD, DR, and maintenance environments.</w:t>
      </w:r>
    </w:p>
    <w:p>
      <w:pPr>
        <w:pStyle w:val="ListBullet"/>
        <w:spacing w:after="80" w:line="252" w:lineRule="auto"/>
      </w:pPr>
      <w:r>
        <w:rPr>
          <w:sz w:val="18"/>
        </w:rPr>
        <w:t>All service management records: incidents, major incidents, service requests, problems, changes, known errors, runbook executions, post-incident reviews, and Auto-Heal candidates.</w:t>
      </w:r>
    </w:p>
    <w:p>
      <w:pPr>
        <w:pStyle w:val="ListBullet"/>
        <w:spacing w:after="80" w:line="252" w:lineRule="auto"/>
      </w:pPr>
      <w:r>
        <w:rPr>
          <w:sz w:val="18"/>
        </w:rPr>
        <w:t>All operational tooling: Zammad, OpenTelemetry, Grafana stack, Sentry, SigNoz, Wazuh, TheHive, Cortex, OpenKM, Obsidian, LLM Wiki, CI/CD evidence stores, and security evidence stores.</w:t>
      </w:r>
    </w:p>
    <w:p>
      <w:pPr>
        <w:pStyle w:val="Heading2"/>
        <w:spacing w:after="80" w:line="252" w:lineRule="auto"/>
      </w:pPr>
      <w:r>
        <w:t>2.3 Out of Scope</w:t>
      </w:r>
    </w:p>
    <w:p>
      <w:pPr>
        <w:pStyle w:val="ListBullet"/>
        <w:spacing w:after="80" w:line="252" w:lineRule="auto"/>
      </w:pPr>
      <w:r>
        <w:rPr>
          <w:sz w:val="18"/>
        </w:rPr>
        <w:t>Full enterprise HR policy and non-AIRA helpdesk policy, except where Zammad service management interfaces are required.</w:t>
      </w:r>
    </w:p>
    <w:p>
      <w:pPr>
        <w:pStyle w:val="ListBullet"/>
        <w:spacing w:after="80" w:line="252" w:lineRule="auto"/>
      </w:pPr>
      <w:r>
        <w:rPr>
          <w:sz w:val="18"/>
        </w:rPr>
        <w:t>Detailed network firewall engineering, except where service ownership, evidence, incident response, and security monitoring are affected.</w:t>
      </w:r>
    </w:p>
    <w:p>
      <w:pPr>
        <w:pStyle w:val="ListBullet"/>
        <w:spacing w:after="80" w:line="252" w:lineRule="auto"/>
      </w:pPr>
      <w:r>
        <w:rPr>
          <w:sz w:val="18"/>
        </w:rPr>
        <w:t>Detailed DR technical design, which is governed by the AIRA BCP/DR standard, while this document defines operating readiness interfaces.</w:t>
      </w:r>
    </w:p>
    <w:p>
      <w:pPr>
        <w:pStyle w:val="ListBullet"/>
        <w:spacing w:after="80" w:line="252" w:lineRule="auto"/>
      </w:pPr>
      <w:r>
        <w:rPr>
          <w:sz w:val="18"/>
        </w:rPr>
        <w:t>Detailed release approval, which is governed by Document 30; this document defines post-deployment validation and service transition.</w:t>
      </w:r>
    </w:p>
    <w:p>
      <w:pPr>
        <w:pStyle w:val="Heading2"/>
        <w:spacing w:after="80" w:line="252" w:lineRule="auto"/>
      </w:pPr>
      <w:r>
        <w:t>2.4 Authority and Precedence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shd w:fill="1F4E79"/>
            <w:tcMar>
              <w:top w:w="80" w:type="dxa"/>
              <w:left w:w="80" w:type="dxa"/>
              <w:bottom w:w="80" w:type="dxa"/>
              <w:right w:w="80" w:type="dxa"/>
            </w:tcMar>
          </w:tcPr>
          <w:p>
            <w:pPr>
              <w:jc w:val="left"/>
            </w:pPr>
            <w:r>
              <w:rPr>
                <w:b/>
                <w:color w:val="FFFFFF"/>
                <w:sz w:val="16"/>
              </w:rPr>
            </w:r>
            <w:r>
              <w:rPr>
                <w:b/>
                <w:color w:val="FFFFFF"/>
                <w:sz w:val="16"/>
              </w:rPr>
              <w:t>Authority Level</w:t>
            </w:r>
          </w:p>
        </w:tc>
        <w:tc>
          <w:tcPr>
            <w:tcW w:type="dxa" w:w="3744"/>
            <w:vAlign w:val="top"/>
            <w:shd w:fill="1F4E79"/>
            <w:tcMar>
              <w:top w:w="80" w:type="dxa"/>
              <w:left w:w="80" w:type="dxa"/>
              <w:bottom w:w="80" w:type="dxa"/>
              <w:right w:w="80" w:type="dxa"/>
            </w:tcMar>
          </w:tcPr>
          <w:p>
            <w:pPr>
              <w:jc w:val="left"/>
            </w:pPr>
            <w:r>
              <w:rPr>
                <w:b/>
                <w:color w:val="FFFFFF"/>
                <w:sz w:val="16"/>
              </w:rPr>
            </w:r>
            <w:r>
              <w:rPr>
                <w:b/>
                <w:color w:val="FFFFFF"/>
                <w:sz w:val="16"/>
              </w:rPr>
              <w:t>Source</w:t>
            </w:r>
          </w:p>
        </w:tc>
        <w:tc>
          <w:tcPr>
            <w:tcW w:type="dxa" w:w="4896"/>
            <w:vAlign w:val="top"/>
            <w:shd w:fill="1F4E79"/>
            <w:tcMar>
              <w:top w:w="80" w:type="dxa"/>
              <w:left w:w="80" w:type="dxa"/>
              <w:bottom w:w="80" w:type="dxa"/>
              <w:right w:w="80" w:type="dxa"/>
            </w:tcMar>
          </w:tcPr>
          <w:p>
            <w:pPr>
              <w:jc w:val="left"/>
            </w:pPr>
            <w:r>
              <w:rPr>
                <w:b/>
                <w:color w:val="FFFFFF"/>
                <w:sz w:val="16"/>
              </w:rPr>
            </w:r>
            <w:r>
              <w:rPr>
                <w:b/>
                <w:color w:val="FFFFFF"/>
                <w:sz w:val="16"/>
              </w:rPr>
              <w:t>Operating Rule</w:t>
            </w:r>
          </w:p>
        </w:tc>
      </w:tr>
      <w:tr>
        <w:tc>
          <w:tcPr>
            <w:tcW w:type="dxa" w:w="1872"/>
            <w:vAlign w:val="top"/>
            <w:tcMar>
              <w:top w:w="80" w:type="dxa"/>
              <w:left w:w="80" w:type="dxa"/>
              <w:bottom w:w="80" w:type="dxa"/>
              <w:right w:w="80" w:type="dxa"/>
            </w:tcMar>
          </w:tcPr>
          <w:p>
            <w:pPr>
              <w:jc w:val="left"/>
            </w:pPr>
            <w:r>
              <w:rPr>
                <w:sz w:val="16"/>
              </w:rPr>
            </w:r>
            <w:r>
              <w:rPr>
                <w:b w:val="0"/>
                <w:sz w:val="16"/>
              </w:rPr>
              <w:t>L0</w:t>
            </w:r>
          </w:p>
        </w:tc>
        <w:tc>
          <w:tcPr>
            <w:tcW w:type="dxa" w:w="3744"/>
            <w:vAlign w:val="top"/>
            <w:tcMar>
              <w:top w:w="80" w:type="dxa"/>
              <w:left w:w="80" w:type="dxa"/>
              <w:bottom w:w="80" w:type="dxa"/>
              <w:right w:w="80" w:type="dxa"/>
            </w:tcMar>
          </w:tcPr>
          <w:p>
            <w:pPr>
              <w:jc w:val="left"/>
            </w:pPr>
            <w:r>
              <w:rPr>
                <w:sz w:val="16"/>
              </w:rPr>
            </w:r>
            <w:r>
              <w:rPr>
                <w:b w:val="0"/>
                <w:sz w:val="16"/>
              </w:rPr>
              <w:t>Regulatory, Legal, Executive Risk, Architecture Board</w:t>
            </w:r>
          </w:p>
        </w:tc>
        <w:tc>
          <w:tcPr>
            <w:tcW w:type="dxa" w:w="4896"/>
            <w:vAlign w:val="top"/>
            <w:tcMar>
              <w:top w:w="80" w:type="dxa"/>
              <w:left w:w="80" w:type="dxa"/>
              <w:bottom w:w="80" w:type="dxa"/>
              <w:right w:w="80" w:type="dxa"/>
            </w:tcMar>
          </w:tcPr>
          <w:p>
            <w:pPr>
              <w:jc w:val="left"/>
            </w:pPr>
            <w:r>
              <w:rPr>
                <w:sz w:val="16"/>
              </w:rPr>
            </w:r>
            <w:r>
              <w:rPr>
                <w:b w:val="0"/>
                <w:sz w:val="16"/>
              </w:rPr>
              <w:t>Mandatory business, regulatory, or risk decision controls production operation.</w:t>
            </w:r>
          </w:p>
        </w:tc>
      </w:tr>
      <w:tr>
        <w:tc>
          <w:tcPr>
            <w:tcW w:type="dxa" w:w="1872"/>
            <w:vAlign w:val="top"/>
            <w:tcMar>
              <w:top w:w="80" w:type="dxa"/>
              <w:left w:w="80" w:type="dxa"/>
              <w:bottom w:w="80" w:type="dxa"/>
              <w:right w:w="80" w:type="dxa"/>
            </w:tcMar>
          </w:tcPr>
          <w:p>
            <w:pPr>
              <w:jc w:val="left"/>
            </w:pPr>
            <w:r>
              <w:rPr>
                <w:sz w:val="16"/>
              </w:rPr>
            </w:r>
            <w:r>
              <w:rPr>
                <w:b w:val="0"/>
                <w:sz w:val="16"/>
              </w:rPr>
              <w:t>L1</w:t>
            </w:r>
          </w:p>
        </w:tc>
        <w:tc>
          <w:tcPr>
            <w:tcW w:type="dxa" w:w="3744"/>
            <w:vAlign w:val="top"/>
            <w:tcMar>
              <w:top w:w="80" w:type="dxa"/>
              <w:left w:w="80" w:type="dxa"/>
              <w:bottom w:w="80" w:type="dxa"/>
              <w:right w:w="80" w:type="dxa"/>
            </w:tcMar>
          </w:tcPr>
          <w:p>
            <w:pPr>
              <w:jc w:val="left"/>
            </w:pPr>
            <w:r>
              <w:rPr>
                <w:sz w:val="16"/>
              </w:rPr>
            </w:r>
            <w:r>
              <w:rPr>
                <w:b w:val="0"/>
                <w:sz w:val="16"/>
              </w:rPr>
              <w:t>Engineering Blueprint, Security Standard, DevSecOps Standard</w:t>
            </w:r>
          </w:p>
        </w:tc>
        <w:tc>
          <w:tcPr>
            <w:tcW w:type="dxa" w:w="4896"/>
            <w:vAlign w:val="top"/>
            <w:tcMar>
              <w:top w:w="80" w:type="dxa"/>
              <w:left w:w="80" w:type="dxa"/>
              <w:bottom w:w="80" w:type="dxa"/>
              <w:right w:w="80" w:type="dxa"/>
            </w:tcMar>
          </w:tcPr>
          <w:p>
            <w:pPr>
              <w:jc w:val="left"/>
            </w:pPr>
            <w:r>
              <w:rPr>
                <w:sz w:val="16"/>
              </w:rPr>
            </w:r>
            <w:r>
              <w:rPr>
                <w:b w:val="0"/>
                <w:sz w:val="16"/>
              </w:rPr>
              <w:t>Architecture, security, identity, model routing, and lifecycle controls are binding.</w:t>
            </w:r>
          </w:p>
        </w:tc>
      </w:tr>
      <w:tr>
        <w:tc>
          <w:tcPr>
            <w:tcW w:type="dxa" w:w="1872"/>
            <w:vAlign w:val="top"/>
            <w:tcMar>
              <w:top w:w="80" w:type="dxa"/>
              <w:left w:w="80" w:type="dxa"/>
              <w:bottom w:w="80" w:type="dxa"/>
              <w:right w:w="80" w:type="dxa"/>
            </w:tcMar>
          </w:tcPr>
          <w:p>
            <w:pPr>
              <w:jc w:val="left"/>
            </w:pPr>
            <w:r>
              <w:rPr>
                <w:sz w:val="16"/>
              </w:rPr>
            </w:r>
            <w:r>
              <w:rPr>
                <w:b w:val="0"/>
                <w:sz w:val="16"/>
              </w:rPr>
              <w:t>L2</w:t>
            </w:r>
          </w:p>
        </w:tc>
        <w:tc>
          <w:tcPr>
            <w:tcW w:type="dxa" w:w="3744"/>
            <w:vAlign w:val="top"/>
            <w:tcMar>
              <w:top w:w="80" w:type="dxa"/>
              <w:left w:w="80" w:type="dxa"/>
              <w:bottom w:w="80" w:type="dxa"/>
              <w:right w:w="80" w:type="dxa"/>
            </w:tcMar>
          </w:tcPr>
          <w:p>
            <w:pPr>
              <w:jc w:val="left"/>
            </w:pPr>
            <w:r>
              <w:rPr>
                <w:sz w:val="16"/>
              </w:rPr>
            </w:r>
            <w:r>
              <w:rPr>
                <w:b w:val="0"/>
                <w:sz w:val="16"/>
              </w:rPr>
              <w:t>This Standard</w:t>
            </w:r>
          </w:p>
        </w:tc>
        <w:tc>
          <w:tcPr>
            <w:tcW w:type="dxa" w:w="4896"/>
            <w:vAlign w:val="top"/>
            <w:tcMar>
              <w:top w:w="80" w:type="dxa"/>
              <w:left w:w="80" w:type="dxa"/>
              <w:bottom w:w="80" w:type="dxa"/>
              <w:right w:w="80" w:type="dxa"/>
            </w:tcMar>
          </w:tcPr>
          <w:p>
            <w:pPr>
              <w:jc w:val="left"/>
            </w:pPr>
            <w:r>
              <w:rPr>
                <w:sz w:val="16"/>
              </w:rPr>
            </w:r>
            <w:r>
              <w:rPr>
                <w:b w:val="0"/>
                <w:sz w:val="16"/>
              </w:rPr>
              <w:t>Defines production operations, SRE, SLA/SLO, service management, incident/problem management, and operational evidence.</w:t>
            </w:r>
          </w:p>
        </w:tc>
      </w:tr>
      <w:tr>
        <w:tc>
          <w:tcPr>
            <w:tcW w:type="dxa" w:w="1872"/>
            <w:vAlign w:val="top"/>
            <w:tcMar>
              <w:top w:w="80" w:type="dxa"/>
              <w:left w:w="80" w:type="dxa"/>
              <w:bottom w:w="80" w:type="dxa"/>
              <w:right w:w="80" w:type="dxa"/>
            </w:tcMar>
          </w:tcPr>
          <w:p>
            <w:pPr>
              <w:jc w:val="left"/>
            </w:pPr>
            <w:r>
              <w:rPr>
                <w:sz w:val="16"/>
              </w:rPr>
            </w:r>
            <w:r>
              <w:rPr>
                <w:b w:val="0"/>
                <w:sz w:val="16"/>
              </w:rPr>
              <w:t>L3</w:t>
            </w:r>
          </w:p>
        </w:tc>
        <w:tc>
          <w:tcPr>
            <w:tcW w:type="dxa" w:w="3744"/>
            <w:vAlign w:val="top"/>
            <w:tcMar>
              <w:top w:w="80" w:type="dxa"/>
              <w:left w:w="80" w:type="dxa"/>
              <w:bottom w:w="80" w:type="dxa"/>
              <w:right w:w="80" w:type="dxa"/>
            </w:tcMar>
          </w:tcPr>
          <w:p>
            <w:pPr>
              <w:jc w:val="left"/>
            </w:pPr>
            <w:r>
              <w:rPr>
                <w:sz w:val="16"/>
              </w:rPr>
            </w:r>
            <w:r>
              <w:rPr>
                <w:b w:val="0"/>
                <w:sz w:val="16"/>
              </w:rPr>
              <w:t>Runtime Platform Runbook, Operations Runbook, CI/CD Evidence Pack, Release/CAB Standard</w:t>
            </w:r>
          </w:p>
        </w:tc>
        <w:tc>
          <w:tcPr>
            <w:tcW w:type="dxa" w:w="4896"/>
            <w:vAlign w:val="top"/>
            <w:tcMar>
              <w:top w:w="80" w:type="dxa"/>
              <w:left w:w="80" w:type="dxa"/>
              <w:bottom w:w="80" w:type="dxa"/>
              <w:right w:w="80" w:type="dxa"/>
            </w:tcMar>
          </w:tcPr>
          <w:p>
            <w:pPr>
              <w:jc w:val="left"/>
            </w:pPr>
            <w:r>
              <w:rPr>
                <w:sz w:val="16"/>
              </w:rPr>
            </w:r>
            <w:r>
              <w:rPr>
                <w:b w:val="0"/>
                <w:sz w:val="16"/>
              </w:rPr>
              <w:t>Implement detailed procedures and evidence workflows.</w:t>
            </w:r>
          </w:p>
        </w:tc>
      </w:tr>
      <w:tr>
        <w:tc>
          <w:tcPr>
            <w:tcW w:type="dxa" w:w="1872"/>
            <w:vAlign w:val="top"/>
            <w:tcMar>
              <w:top w:w="80" w:type="dxa"/>
              <w:left w:w="80" w:type="dxa"/>
              <w:bottom w:w="80" w:type="dxa"/>
              <w:right w:w="80" w:type="dxa"/>
            </w:tcMar>
          </w:tcPr>
          <w:p>
            <w:pPr>
              <w:jc w:val="left"/>
            </w:pPr>
            <w:r>
              <w:rPr>
                <w:sz w:val="16"/>
              </w:rPr>
            </w:r>
            <w:r>
              <w:rPr>
                <w:b w:val="0"/>
                <w:sz w:val="16"/>
              </w:rPr>
              <w:t>L4</w:t>
            </w:r>
          </w:p>
        </w:tc>
        <w:tc>
          <w:tcPr>
            <w:tcW w:type="dxa" w:w="3744"/>
            <w:vAlign w:val="top"/>
            <w:tcMar>
              <w:top w:w="80" w:type="dxa"/>
              <w:left w:w="80" w:type="dxa"/>
              <w:bottom w:w="80" w:type="dxa"/>
              <w:right w:w="80" w:type="dxa"/>
            </w:tcMar>
          </w:tcPr>
          <w:p>
            <w:pPr>
              <w:jc w:val="left"/>
            </w:pPr>
            <w:r>
              <w:rPr>
                <w:sz w:val="16"/>
              </w:rPr>
            </w:r>
            <w:r>
              <w:rPr>
                <w:b w:val="0"/>
                <w:sz w:val="16"/>
              </w:rPr>
              <w:t>Zammad tickets, runbook execution records, monitoring alerts, SIEM cases, RCA records</w:t>
            </w:r>
          </w:p>
        </w:tc>
        <w:tc>
          <w:tcPr>
            <w:tcW w:type="dxa" w:w="4896"/>
            <w:vAlign w:val="top"/>
            <w:tcMar>
              <w:top w:w="80" w:type="dxa"/>
              <w:left w:w="80" w:type="dxa"/>
              <w:bottom w:w="80" w:type="dxa"/>
              <w:right w:w="80" w:type="dxa"/>
            </w:tcMar>
          </w:tcPr>
          <w:p>
            <w:pPr>
              <w:jc w:val="left"/>
            </w:pPr>
            <w:r>
              <w:rPr>
                <w:sz w:val="16"/>
              </w:rPr>
            </w:r>
            <w:r>
              <w:rPr>
                <w:b w:val="0"/>
                <w:sz w:val="16"/>
              </w:rPr>
              <w:t>Execution-level operational evidence.</w:t>
            </w:r>
          </w:p>
        </w:tc>
      </w:tr>
    </w:tbl>
    <w:p>
      <w:pPr>
        <w:pStyle w:val="Heading1"/>
        <w:spacing w:after="80" w:line="252" w:lineRule="auto"/>
      </w:pPr>
      <w:r>
        <w:t>3. Production Operations Principles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008"/>
            <w:vAlign w:val="top"/>
            <w:shd w:fill="1F4E79"/>
            <w:tcMar>
              <w:top w:w="80" w:type="dxa"/>
              <w:left w:w="80" w:type="dxa"/>
              <w:bottom w:w="80" w:type="dxa"/>
              <w:right w:w="80" w:type="dxa"/>
            </w:tcMar>
          </w:tcPr>
          <w:p>
            <w:pPr>
              <w:jc w:val="left"/>
            </w:pPr>
            <w:r>
              <w:rPr>
                <w:b/>
                <w:color w:val="FFFFFF"/>
                <w:sz w:val="16"/>
              </w:rPr>
            </w:r>
            <w:r>
              <w:rPr>
                <w:b/>
                <w:color w:val="FFFFFF"/>
                <w:sz w:val="16"/>
              </w:rPr>
              <w:t>ID</w:t>
            </w:r>
          </w:p>
        </w:tc>
        <w:tc>
          <w:tcPr>
            <w:tcW w:type="dxa" w:w="2880"/>
            <w:vAlign w:val="top"/>
            <w:shd w:fill="1F4E79"/>
            <w:tcMar>
              <w:top w:w="80" w:type="dxa"/>
              <w:left w:w="80" w:type="dxa"/>
              <w:bottom w:w="80" w:type="dxa"/>
              <w:right w:w="80" w:type="dxa"/>
            </w:tcMar>
          </w:tcPr>
          <w:p>
            <w:pPr>
              <w:jc w:val="left"/>
            </w:pPr>
            <w:r>
              <w:rPr>
                <w:b/>
                <w:color w:val="FFFFFF"/>
                <w:sz w:val="16"/>
              </w:rPr>
            </w:r>
            <w:r>
              <w:rPr>
                <w:b/>
                <w:color w:val="FFFFFF"/>
                <w:sz w:val="16"/>
              </w:rPr>
              <w:t>Principle</w:t>
            </w:r>
          </w:p>
        </w:tc>
        <w:tc>
          <w:tcPr>
            <w:tcW w:type="dxa" w:w="6624"/>
            <w:vAlign w:val="top"/>
            <w:shd w:fill="1F4E79"/>
            <w:tcMar>
              <w:top w:w="80" w:type="dxa"/>
              <w:left w:w="80" w:type="dxa"/>
              <w:bottom w:w="80" w:type="dxa"/>
              <w:right w:w="80" w:type="dxa"/>
            </w:tcMar>
          </w:tcPr>
          <w:p>
            <w:pPr>
              <w:jc w:val="left"/>
            </w:pPr>
            <w:r>
              <w:rPr>
                <w:b/>
                <w:color w:val="FFFFFF"/>
                <w:sz w:val="16"/>
              </w:rPr>
            </w:r>
            <w:r>
              <w:rPr>
                <w:b/>
                <w:color w:val="FFFFFF"/>
                <w:sz w:val="16"/>
              </w:rPr>
              <w:t>Operational Meaning</w:t>
            </w:r>
          </w:p>
        </w:tc>
      </w:tr>
      <w:tr>
        <w:tc>
          <w:tcPr>
            <w:tcW w:type="dxa" w:w="1008"/>
            <w:vAlign w:val="top"/>
            <w:tcMar>
              <w:top w:w="80" w:type="dxa"/>
              <w:left w:w="80" w:type="dxa"/>
              <w:bottom w:w="80" w:type="dxa"/>
              <w:right w:w="80" w:type="dxa"/>
            </w:tcMar>
          </w:tcPr>
          <w:p>
            <w:pPr>
              <w:jc w:val="left"/>
            </w:pPr>
            <w:r>
              <w:rPr>
                <w:sz w:val="16"/>
              </w:rPr>
            </w:r>
            <w:r>
              <w:rPr>
                <w:b w:val="0"/>
                <w:sz w:val="16"/>
              </w:rPr>
              <w:t>OPS-01</w:t>
            </w:r>
          </w:p>
        </w:tc>
        <w:tc>
          <w:tcPr>
            <w:tcW w:type="dxa" w:w="2880"/>
            <w:vAlign w:val="top"/>
            <w:tcMar>
              <w:top w:w="80" w:type="dxa"/>
              <w:left w:w="80" w:type="dxa"/>
              <w:bottom w:w="80" w:type="dxa"/>
              <w:right w:w="80" w:type="dxa"/>
            </w:tcMar>
          </w:tcPr>
          <w:p>
            <w:pPr>
              <w:jc w:val="left"/>
            </w:pPr>
            <w:r>
              <w:rPr>
                <w:sz w:val="16"/>
              </w:rPr>
            </w:r>
            <w:r>
              <w:rPr>
                <w:b w:val="0"/>
                <w:sz w:val="16"/>
              </w:rPr>
              <w:t>No Ticket, No Work</w:t>
            </w:r>
          </w:p>
        </w:tc>
        <w:tc>
          <w:tcPr>
            <w:tcW w:type="dxa" w:w="6624"/>
            <w:vAlign w:val="top"/>
            <w:tcMar>
              <w:top w:w="80" w:type="dxa"/>
              <w:left w:w="80" w:type="dxa"/>
              <w:bottom w:w="80" w:type="dxa"/>
              <w:right w:w="80" w:type="dxa"/>
            </w:tcMar>
          </w:tcPr>
          <w:p>
            <w:pPr>
              <w:jc w:val="left"/>
            </w:pPr>
            <w:r>
              <w:rPr>
                <w:sz w:val="16"/>
              </w:rPr>
            </w:r>
            <w:r>
              <w:rPr>
                <w:b w:val="0"/>
                <w:sz w:val="16"/>
              </w:rPr>
              <w:t>All operational actions must be traceable to a Zammad ticket, approved change, incident, runbook execution, or automated evidence record.</w:t>
            </w:r>
          </w:p>
        </w:tc>
      </w:tr>
      <w:tr>
        <w:tc>
          <w:tcPr>
            <w:tcW w:type="dxa" w:w="1008"/>
            <w:vAlign w:val="top"/>
            <w:tcMar>
              <w:top w:w="80" w:type="dxa"/>
              <w:left w:w="80" w:type="dxa"/>
              <w:bottom w:w="80" w:type="dxa"/>
              <w:right w:w="80" w:type="dxa"/>
            </w:tcMar>
          </w:tcPr>
          <w:p>
            <w:pPr>
              <w:jc w:val="left"/>
            </w:pPr>
            <w:r>
              <w:rPr>
                <w:sz w:val="16"/>
              </w:rPr>
            </w:r>
            <w:r>
              <w:rPr>
                <w:b w:val="0"/>
                <w:sz w:val="16"/>
              </w:rPr>
              <w:t>OPS-02</w:t>
            </w:r>
          </w:p>
        </w:tc>
        <w:tc>
          <w:tcPr>
            <w:tcW w:type="dxa" w:w="2880"/>
            <w:vAlign w:val="top"/>
            <w:tcMar>
              <w:top w:w="80" w:type="dxa"/>
              <w:left w:w="80" w:type="dxa"/>
              <w:bottom w:w="80" w:type="dxa"/>
              <w:right w:w="80" w:type="dxa"/>
            </w:tcMar>
          </w:tcPr>
          <w:p>
            <w:pPr>
              <w:jc w:val="left"/>
            </w:pPr>
            <w:r>
              <w:rPr>
                <w:sz w:val="16"/>
              </w:rPr>
            </w:r>
            <w:r>
              <w:rPr>
                <w:b w:val="0"/>
                <w:sz w:val="16"/>
              </w:rPr>
              <w:t>Service Ownership is Explicit</w:t>
            </w:r>
          </w:p>
        </w:tc>
        <w:tc>
          <w:tcPr>
            <w:tcW w:type="dxa" w:w="6624"/>
            <w:vAlign w:val="top"/>
            <w:tcMar>
              <w:top w:w="80" w:type="dxa"/>
              <w:left w:w="80" w:type="dxa"/>
              <w:bottom w:w="80" w:type="dxa"/>
              <w:right w:w="80" w:type="dxa"/>
            </w:tcMar>
          </w:tcPr>
          <w:p>
            <w:pPr>
              <w:jc w:val="left"/>
            </w:pPr>
            <w:r>
              <w:rPr>
                <w:sz w:val="16"/>
              </w:rPr>
            </w:r>
            <w:r>
              <w:rPr>
                <w:b w:val="0"/>
                <w:sz w:val="16"/>
              </w:rPr>
              <w:t>Every service has an owner, backup owner, service tier, support group, escalation path, and evidence path.</w:t>
            </w:r>
          </w:p>
        </w:tc>
      </w:tr>
      <w:tr>
        <w:tc>
          <w:tcPr>
            <w:tcW w:type="dxa" w:w="1008"/>
            <w:vAlign w:val="top"/>
            <w:tcMar>
              <w:top w:w="80" w:type="dxa"/>
              <w:left w:w="80" w:type="dxa"/>
              <w:bottom w:w="80" w:type="dxa"/>
              <w:right w:w="80" w:type="dxa"/>
            </w:tcMar>
          </w:tcPr>
          <w:p>
            <w:pPr>
              <w:jc w:val="left"/>
            </w:pPr>
            <w:r>
              <w:rPr>
                <w:sz w:val="16"/>
              </w:rPr>
            </w:r>
            <w:r>
              <w:rPr>
                <w:b w:val="0"/>
                <w:sz w:val="16"/>
              </w:rPr>
              <w:t>OPS-03</w:t>
            </w:r>
          </w:p>
        </w:tc>
        <w:tc>
          <w:tcPr>
            <w:tcW w:type="dxa" w:w="2880"/>
            <w:vAlign w:val="top"/>
            <w:tcMar>
              <w:top w:w="80" w:type="dxa"/>
              <w:left w:w="80" w:type="dxa"/>
              <w:bottom w:w="80" w:type="dxa"/>
              <w:right w:w="80" w:type="dxa"/>
            </w:tcMar>
          </w:tcPr>
          <w:p>
            <w:pPr>
              <w:jc w:val="left"/>
            </w:pPr>
            <w:r>
              <w:rPr>
                <w:sz w:val="16"/>
              </w:rPr>
            </w:r>
            <w:r>
              <w:rPr>
                <w:b w:val="0"/>
                <w:sz w:val="16"/>
              </w:rPr>
              <w:t>SLOs are Engineering Contracts</w:t>
            </w:r>
          </w:p>
        </w:tc>
        <w:tc>
          <w:tcPr>
            <w:tcW w:type="dxa" w:w="6624"/>
            <w:vAlign w:val="top"/>
            <w:tcMar>
              <w:top w:w="80" w:type="dxa"/>
              <w:left w:w="80" w:type="dxa"/>
              <w:bottom w:w="80" w:type="dxa"/>
              <w:right w:w="80" w:type="dxa"/>
            </w:tcMar>
          </w:tcPr>
          <w:p>
            <w:pPr>
              <w:jc w:val="left"/>
            </w:pPr>
            <w:r>
              <w:rPr>
                <w:sz w:val="16"/>
              </w:rPr>
            </w:r>
            <w:r>
              <w:rPr>
                <w:b w:val="0"/>
                <w:sz w:val="16"/>
              </w:rPr>
              <w:t>Reliability targets are measured continuously; error-budget burn triggers review and control actions.</w:t>
            </w:r>
          </w:p>
        </w:tc>
      </w:tr>
      <w:tr>
        <w:tc>
          <w:tcPr>
            <w:tcW w:type="dxa" w:w="1008"/>
            <w:vAlign w:val="top"/>
            <w:tcMar>
              <w:top w:w="80" w:type="dxa"/>
              <w:left w:w="80" w:type="dxa"/>
              <w:bottom w:w="80" w:type="dxa"/>
              <w:right w:w="80" w:type="dxa"/>
            </w:tcMar>
          </w:tcPr>
          <w:p>
            <w:pPr>
              <w:jc w:val="left"/>
            </w:pPr>
            <w:r>
              <w:rPr>
                <w:sz w:val="16"/>
              </w:rPr>
            </w:r>
            <w:r>
              <w:rPr>
                <w:b w:val="0"/>
                <w:sz w:val="16"/>
              </w:rPr>
              <w:t>OPS-04</w:t>
            </w:r>
          </w:p>
        </w:tc>
        <w:tc>
          <w:tcPr>
            <w:tcW w:type="dxa" w:w="2880"/>
            <w:vAlign w:val="top"/>
            <w:tcMar>
              <w:top w:w="80" w:type="dxa"/>
              <w:left w:w="80" w:type="dxa"/>
              <w:bottom w:w="80" w:type="dxa"/>
              <w:right w:w="80" w:type="dxa"/>
            </w:tcMar>
          </w:tcPr>
          <w:p>
            <w:pPr>
              <w:jc w:val="left"/>
            </w:pPr>
            <w:r>
              <w:rPr>
                <w:sz w:val="16"/>
              </w:rPr>
            </w:r>
            <w:r>
              <w:rPr>
                <w:b w:val="0"/>
                <w:sz w:val="16"/>
              </w:rPr>
              <w:t>Observability by Design</w:t>
            </w:r>
          </w:p>
        </w:tc>
        <w:tc>
          <w:tcPr>
            <w:tcW w:type="dxa" w:w="6624"/>
            <w:vAlign w:val="top"/>
            <w:tcMar>
              <w:top w:w="80" w:type="dxa"/>
              <w:left w:w="80" w:type="dxa"/>
              <w:bottom w:w="80" w:type="dxa"/>
              <w:right w:w="80" w:type="dxa"/>
            </w:tcMar>
          </w:tcPr>
          <w:p>
            <w:pPr>
              <w:jc w:val="left"/>
            </w:pPr>
            <w:r>
              <w:rPr>
                <w:sz w:val="16"/>
              </w:rPr>
            </w:r>
            <w:r>
              <w:rPr>
                <w:b w:val="0"/>
                <w:sz w:val="16"/>
              </w:rPr>
              <w:t>Logs, metrics, traces, audit events, service health, and business signals are built in before production readiness.</w:t>
            </w:r>
          </w:p>
        </w:tc>
      </w:tr>
      <w:tr>
        <w:tc>
          <w:tcPr>
            <w:tcW w:type="dxa" w:w="1008"/>
            <w:vAlign w:val="top"/>
            <w:tcMar>
              <w:top w:w="80" w:type="dxa"/>
              <w:left w:w="80" w:type="dxa"/>
              <w:bottom w:w="80" w:type="dxa"/>
              <w:right w:w="80" w:type="dxa"/>
            </w:tcMar>
          </w:tcPr>
          <w:p>
            <w:pPr>
              <w:jc w:val="left"/>
            </w:pPr>
            <w:r>
              <w:rPr>
                <w:sz w:val="16"/>
              </w:rPr>
            </w:r>
            <w:r>
              <w:rPr>
                <w:b w:val="0"/>
                <w:sz w:val="16"/>
              </w:rPr>
              <w:t>OPS-05</w:t>
            </w:r>
          </w:p>
        </w:tc>
        <w:tc>
          <w:tcPr>
            <w:tcW w:type="dxa" w:w="2880"/>
            <w:vAlign w:val="top"/>
            <w:tcMar>
              <w:top w:w="80" w:type="dxa"/>
              <w:left w:w="80" w:type="dxa"/>
              <w:bottom w:w="80" w:type="dxa"/>
              <w:right w:w="80" w:type="dxa"/>
            </w:tcMar>
          </w:tcPr>
          <w:p>
            <w:pPr>
              <w:jc w:val="left"/>
            </w:pPr>
            <w:r>
              <w:rPr>
                <w:sz w:val="16"/>
              </w:rPr>
            </w:r>
            <w:r>
              <w:rPr>
                <w:b w:val="0"/>
                <w:sz w:val="16"/>
              </w:rPr>
              <w:t>Security Signals are Operations Signals</w:t>
            </w:r>
          </w:p>
        </w:tc>
        <w:tc>
          <w:tcPr>
            <w:tcW w:type="dxa" w:w="6624"/>
            <w:vAlign w:val="top"/>
            <w:tcMar>
              <w:top w:w="80" w:type="dxa"/>
              <w:left w:w="80" w:type="dxa"/>
              <w:bottom w:w="80" w:type="dxa"/>
              <w:right w:w="80" w:type="dxa"/>
            </w:tcMar>
          </w:tcPr>
          <w:p>
            <w:pPr>
              <w:jc w:val="left"/>
            </w:pPr>
            <w:r>
              <w:rPr>
                <w:sz w:val="16"/>
              </w:rPr>
            </w:r>
            <w:r>
              <w:rPr>
                <w:b w:val="0"/>
                <w:sz w:val="16"/>
              </w:rPr>
              <w:t>Wazuh alerts, TheHive cases, and Cortex analyzer results are part of service operations, not separate after-the-fact evidence.</w:t>
            </w:r>
          </w:p>
        </w:tc>
      </w:tr>
      <w:tr>
        <w:tc>
          <w:tcPr>
            <w:tcW w:type="dxa" w:w="1008"/>
            <w:vAlign w:val="top"/>
            <w:tcMar>
              <w:top w:w="80" w:type="dxa"/>
              <w:left w:w="80" w:type="dxa"/>
              <w:bottom w:w="80" w:type="dxa"/>
              <w:right w:w="80" w:type="dxa"/>
            </w:tcMar>
          </w:tcPr>
          <w:p>
            <w:pPr>
              <w:jc w:val="left"/>
            </w:pPr>
            <w:r>
              <w:rPr>
                <w:sz w:val="16"/>
              </w:rPr>
            </w:r>
            <w:r>
              <w:rPr>
                <w:b w:val="0"/>
                <w:sz w:val="16"/>
              </w:rPr>
              <w:t>OPS-06</w:t>
            </w:r>
          </w:p>
        </w:tc>
        <w:tc>
          <w:tcPr>
            <w:tcW w:type="dxa" w:w="2880"/>
            <w:vAlign w:val="top"/>
            <w:tcMar>
              <w:top w:w="80" w:type="dxa"/>
              <w:left w:w="80" w:type="dxa"/>
              <w:bottom w:w="80" w:type="dxa"/>
              <w:right w:w="80" w:type="dxa"/>
            </w:tcMar>
          </w:tcPr>
          <w:p>
            <w:pPr>
              <w:jc w:val="left"/>
            </w:pPr>
            <w:r>
              <w:rPr>
                <w:sz w:val="16"/>
              </w:rPr>
            </w:r>
            <w:r>
              <w:rPr>
                <w:b w:val="0"/>
                <w:sz w:val="16"/>
              </w:rPr>
              <w:t>Fail-Safe, Not Fail-Open</w:t>
            </w:r>
          </w:p>
        </w:tc>
        <w:tc>
          <w:tcPr>
            <w:tcW w:type="dxa" w:w="6624"/>
            <w:vAlign w:val="top"/>
            <w:tcMar>
              <w:top w:w="80" w:type="dxa"/>
              <w:left w:w="80" w:type="dxa"/>
              <w:bottom w:w="80" w:type="dxa"/>
              <w:right w:w="80" w:type="dxa"/>
            </w:tcMar>
          </w:tcPr>
          <w:p>
            <w:pPr>
              <w:jc w:val="left"/>
            </w:pPr>
            <w:r>
              <w:rPr>
                <w:sz w:val="16"/>
              </w:rPr>
            </w:r>
            <w:r>
              <w:rPr>
                <w:b w:val="0"/>
                <w:sz w:val="16"/>
              </w:rPr>
              <w:t>If identity, audit, policy, secrets, guardrails, or critical observability controls fail, protected operations are blocked or degraded safely.</w:t>
            </w:r>
          </w:p>
        </w:tc>
      </w:tr>
      <w:tr>
        <w:tc>
          <w:tcPr>
            <w:tcW w:type="dxa" w:w="1008"/>
            <w:vAlign w:val="top"/>
            <w:tcMar>
              <w:top w:w="80" w:type="dxa"/>
              <w:left w:w="80" w:type="dxa"/>
              <w:bottom w:w="80" w:type="dxa"/>
              <w:right w:w="80" w:type="dxa"/>
            </w:tcMar>
          </w:tcPr>
          <w:p>
            <w:pPr>
              <w:jc w:val="left"/>
            </w:pPr>
            <w:r>
              <w:rPr>
                <w:sz w:val="16"/>
              </w:rPr>
            </w:r>
            <w:r>
              <w:rPr>
                <w:b w:val="0"/>
                <w:sz w:val="16"/>
              </w:rPr>
              <w:t>OPS-07</w:t>
            </w:r>
          </w:p>
        </w:tc>
        <w:tc>
          <w:tcPr>
            <w:tcW w:type="dxa" w:w="2880"/>
            <w:vAlign w:val="top"/>
            <w:tcMar>
              <w:top w:w="80" w:type="dxa"/>
              <w:left w:w="80" w:type="dxa"/>
              <w:bottom w:w="80" w:type="dxa"/>
              <w:right w:w="80" w:type="dxa"/>
            </w:tcMar>
          </w:tcPr>
          <w:p>
            <w:pPr>
              <w:jc w:val="left"/>
            </w:pPr>
            <w:r>
              <w:rPr>
                <w:sz w:val="16"/>
              </w:rPr>
            </w:r>
            <w:r>
              <w:rPr>
                <w:b w:val="0"/>
                <w:sz w:val="16"/>
              </w:rPr>
              <w:t>Human Accountability</w:t>
            </w:r>
          </w:p>
        </w:tc>
        <w:tc>
          <w:tcPr>
            <w:tcW w:type="dxa" w:w="6624"/>
            <w:vAlign w:val="top"/>
            <w:tcMar>
              <w:top w:w="80" w:type="dxa"/>
              <w:left w:w="80" w:type="dxa"/>
              <w:bottom w:w="80" w:type="dxa"/>
              <w:right w:w="80" w:type="dxa"/>
            </w:tcMar>
          </w:tcPr>
          <w:p>
            <w:pPr>
              <w:jc w:val="left"/>
            </w:pPr>
            <w:r>
              <w:rPr>
                <w:sz w:val="16"/>
              </w:rPr>
            </w:r>
            <w:r>
              <w:rPr>
                <w:b w:val="0"/>
                <w:sz w:val="16"/>
              </w:rPr>
              <w:t>AI and automation may detect, correlate, recommend, and draft; named humans approve high-impact actions and production changes.</w:t>
            </w:r>
          </w:p>
        </w:tc>
      </w:tr>
      <w:tr>
        <w:tc>
          <w:tcPr>
            <w:tcW w:type="dxa" w:w="1008"/>
            <w:vAlign w:val="top"/>
            <w:tcMar>
              <w:top w:w="80" w:type="dxa"/>
              <w:left w:w="80" w:type="dxa"/>
              <w:bottom w:w="80" w:type="dxa"/>
              <w:right w:w="80" w:type="dxa"/>
            </w:tcMar>
          </w:tcPr>
          <w:p>
            <w:pPr>
              <w:jc w:val="left"/>
            </w:pPr>
            <w:r>
              <w:rPr>
                <w:sz w:val="16"/>
              </w:rPr>
            </w:r>
            <w:r>
              <w:rPr>
                <w:b w:val="0"/>
                <w:sz w:val="16"/>
              </w:rPr>
              <w:t>OPS-08</w:t>
            </w:r>
          </w:p>
        </w:tc>
        <w:tc>
          <w:tcPr>
            <w:tcW w:type="dxa" w:w="2880"/>
            <w:vAlign w:val="top"/>
            <w:tcMar>
              <w:top w:w="80" w:type="dxa"/>
              <w:left w:w="80" w:type="dxa"/>
              <w:bottom w:w="80" w:type="dxa"/>
              <w:right w:w="80" w:type="dxa"/>
            </w:tcMar>
          </w:tcPr>
          <w:p>
            <w:pPr>
              <w:jc w:val="left"/>
            </w:pPr>
            <w:r>
              <w:rPr>
                <w:sz w:val="16"/>
              </w:rPr>
            </w:r>
            <w:r>
              <w:rPr>
                <w:b w:val="0"/>
                <w:sz w:val="16"/>
              </w:rPr>
              <w:t>Runbook First</w:t>
            </w:r>
          </w:p>
        </w:tc>
        <w:tc>
          <w:tcPr>
            <w:tcW w:type="dxa" w:w="6624"/>
            <w:vAlign w:val="top"/>
            <w:tcMar>
              <w:top w:w="80" w:type="dxa"/>
              <w:left w:w="80" w:type="dxa"/>
              <w:bottom w:w="80" w:type="dxa"/>
              <w:right w:w="80" w:type="dxa"/>
            </w:tcMar>
          </w:tcPr>
          <w:p>
            <w:pPr>
              <w:jc w:val="left"/>
            </w:pPr>
            <w:r>
              <w:rPr>
                <w:sz w:val="16"/>
              </w:rPr>
            </w:r>
            <w:r>
              <w:rPr>
                <w:b w:val="0"/>
                <w:sz w:val="16"/>
              </w:rPr>
              <w:t>Repeated operational work must become a reviewed runbook or automation candidate; tribal knowledge is not acceptable.</w:t>
            </w:r>
          </w:p>
        </w:tc>
      </w:tr>
      <w:tr>
        <w:tc>
          <w:tcPr>
            <w:tcW w:type="dxa" w:w="1008"/>
            <w:vAlign w:val="top"/>
            <w:tcMar>
              <w:top w:w="80" w:type="dxa"/>
              <w:left w:w="80" w:type="dxa"/>
              <w:bottom w:w="80" w:type="dxa"/>
              <w:right w:w="80" w:type="dxa"/>
            </w:tcMar>
          </w:tcPr>
          <w:p>
            <w:pPr>
              <w:jc w:val="left"/>
            </w:pPr>
            <w:r>
              <w:rPr>
                <w:sz w:val="16"/>
              </w:rPr>
            </w:r>
            <w:r>
              <w:rPr>
                <w:b w:val="0"/>
                <w:sz w:val="16"/>
              </w:rPr>
              <w:t>OPS-09</w:t>
            </w:r>
          </w:p>
        </w:tc>
        <w:tc>
          <w:tcPr>
            <w:tcW w:type="dxa" w:w="2880"/>
            <w:vAlign w:val="top"/>
            <w:tcMar>
              <w:top w:w="80" w:type="dxa"/>
              <w:left w:w="80" w:type="dxa"/>
              <w:bottom w:w="80" w:type="dxa"/>
              <w:right w:w="80" w:type="dxa"/>
            </w:tcMar>
          </w:tcPr>
          <w:p>
            <w:pPr>
              <w:jc w:val="left"/>
            </w:pPr>
            <w:r>
              <w:rPr>
                <w:sz w:val="16"/>
              </w:rPr>
            </w:r>
            <w:r>
              <w:rPr>
                <w:b w:val="0"/>
                <w:sz w:val="16"/>
              </w:rPr>
              <w:t>Reversibility by Design</w:t>
            </w:r>
          </w:p>
        </w:tc>
        <w:tc>
          <w:tcPr>
            <w:tcW w:type="dxa" w:w="6624"/>
            <w:vAlign w:val="top"/>
            <w:tcMar>
              <w:top w:w="80" w:type="dxa"/>
              <w:left w:w="80" w:type="dxa"/>
              <w:bottom w:w="80" w:type="dxa"/>
              <w:right w:w="80" w:type="dxa"/>
            </w:tcMar>
          </w:tcPr>
          <w:p>
            <w:pPr>
              <w:jc w:val="left"/>
            </w:pPr>
            <w:r>
              <w:rPr>
                <w:sz w:val="16"/>
              </w:rPr>
            </w:r>
            <w:r>
              <w:rPr>
                <w:b w:val="0"/>
                <w:sz w:val="16"/>
              </w:rPr>
              <w:t>Every deployment, configuration, and operational action defines rollback, forward-fix, compensation, or safe rework path.</w:t>
            </w:r>
          </w:p>
        </w:tc>
      </w:tr>
      <w:tr>
        <w:tc>
          <w:tcPr>
            <w:tcW w:type="dxa" w:w="1008"/>
            <w:vAlign w:val="top"/>
            <w:tcMar>
              <w:top w:w="80" w:type="dxa"/>
              <w:left w:w="80" w:type="dxa"/>
              <w:bottom w:w="80" w:type="dxa"/>
              <w:right w:w="80" w:type="dxa"/>
            </w:tcMar>
          </w:tcPr>
          <w:p>
            <w:pPr>
              <w:jc w:val="left"/>
            </w:pPr>
            <w:r>
              <w:rPr>
                <w:sz w:val="16"/>
              </w:rPr>
            </w:r>
            <w:r>
              <w:rPr>
                <w:b w:val="0"/>
                <w:sz w:val="16"/>
              </w:rPr>
              <w:t>OPS-10</w:t>
            </w:r>
          </w:p>
        </w:tc>
        <w:tc>
          <w:tcPr>
            <w:tcW w:type="dxa" w:w="2880"/>
            <w:vAlign w:val="top"/>
            <w:tcMar>
              <w:top w:w="80" w:type="dxa"/>
              <w:left w:w="80" w:type="dxa"/>
              <w:bottom w:w="80" w:type="dxa"/>
              <w:right w:w="80" w:type="dxa"/>
            </w:tcMar>
          </w:tcPr>
          <w:p>
            <w:pPr>
              <w:jc w:val="left"/>
            </w:pPr>
            <w:r>
              <w:rPr>
                <w:sz w:val="16"/>
              </w:rPr>
            </w:r>
            <w:r>
              <w:rPr>
                <w:b w:val="0"/>
                <w:sz w:val="16"/>
              </w:rPr>
              <w:t>AVCI Evidence Always</w:t>
            </w:r>
          </w:p>
        </w:tc>
        <w:tc>
          <w:tcPr>
            <w:tcW w:type="dxa" w:w="6624"/>
            <w:vAlign w:val="top"/>
            <w:tcMar>
              <w:top w:w="80" w:type="dxa"/>
              <w:left w:w="80" w:type="dxa"/>
              <w:bottom w:w="80" w:type="dxa"/>
              <w:right w:w="80" w:type="dxa"/>
            </w:tcMar>
          </w:tcPr>
          <w:p>
            <w:pPr>
              <w:jc w:val="left"/>
            </w:pPr>
            <w:r>
              <w:rPr>
                <w:sz w:val="16"/>
              </w:rPr>
            </w:r>
            <w:r>
              <w:rPr>
                <w:b w:val="0"/>
                <w:sz w:val="16"/>
              </w:rPr>
              <w:t>Every incident, change, support action, auto-heal proposal, and recovery action is attributable, verifiable, classifiable, and improvable.</w:t>
            </w:r>
          </w:p>
        </w:tc>
      </w:tr>
    </w:tbl>
    <w:p>
      <w:pPr>
        <w:pStyle w:val="Heading1"/>
        <w:spacing w:after="80" w:line="252" w:lineRule="auto"/>
      </w:pPr>
      <w:r>
        <w:t>4. AIRA Service Operating Model</w:t>
      </w:r>
    </w:p>
    <w:p>
      <w:pPr>
        <w:spacing w:after="80" w:line="252" w:lineRule="auto"/>
      </w:pPr>
      <w:r>
        <w:t>AIRA operations combine SRE discipline, ITSM service management, DevSecOps evidence, security operations, and human-governed automation. Zammad is the work intake and traceability system. Observability and APM tools provide operational signals. Wazuh, TheHive, and Cortex provide security detection and response workflow. OpenKM, Obsidian, and LLM Wiki hold approved operational knowledge and evidence references.</w:t>
      </w:r>
    </w:p>
    <w:p>
      <w:pPr>
        <w:spacing w:after="80" w:line="252" w:lineRule="auto"/>
      </w:pPr>
      <w:r>
        <w:drawing>
          <wp:inline xmlns:a="http://schemas.openxmlformats.org/drawingml/2006/main" xmlns:pic="http://schemas.openxmlformats.org/drawingml/2006/picture">
            <wp:extent cx="6583680" cy="2139696"/>
            <wp:docPr id="1" name="Picture 1"/>
            <wp:cNvGraphicFramePr>
              <a:graphicFrameLocks noChangeAspect="1"/>
            </wp:cNvGraphicFramePr>
            <a:graphic>
              <a:graphicData uri="http://schemas.openxmlformats.org/drawingml/2006/picture">
                <pic:pic>
                  <pic:nvPicPr>
                    <pic:cNvPr id="0" name="ops_lifecycle.png"/>
                    <pic:cNvPicPr/>
                  </pic:nvPicPr>
                  <pic:blipFill>
                    <a:blip r:embed="rId11"/>
                    <a:stretch>
                      <a:fillRect/>
                    </a:stretch>
                  </pic:blipFill>
                  <pic:spPr>
                    <a:xfrm>
                      <a:off x="0" y="0"/>
                      <a:ext cx="6583680" cy="2139696"/>
                    </a:xfrm>
                    <a:prstGeom prst="rect"/>
                  </pic:spPr>
                </pic:pic>
              </a:graphicData>
            </a:graphic>
          </wp:inline>
        </w:drawing>
      </w:r>
    </w:p>
    <w:p>
      <w:pPr>
        <w:spacing w:after="80" w:line="252" w:lineRule="auto"/>
        <w:jc w:val="center"/>
      </w:pPr>
      <w:r>
        <w:rPr>
          <w:i/>
        </w:rPr>
        <w:t>Figure 1. AIRA production operations lifecycle.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1F4E79"/>
            <w:tcMar>
              <w:top w:w="80" w:type="dxa"/>
              <w:left w:w="80" w:type="dxa"/>
              <w:bottom w:w="80" w:type="dxa"/>
              <w:right w:w="80" w:type="dxa"/>
            </w:tcMar>
          </w:tcPr>
          <w:p>
            <w:pPr>
              <w:jc w:val="left"/>
            </w:pPr>
            <w:r>
              <w:rPr>
                <w:b/>
                <w:color w:val="FFFFFF"/>
                <w:sz w:val="16"/>
              </w:rPr>
            </w:r>
            <w:r>
              <w:rPr>
                <w:b/>
                <w:color w:val="FFFFFF"/>
                <w:sz w:val="16"/>
              </w:rPr>
              <w:t>Operating Plane</w:t>
            </w:r>
          </w:p>
        </w:tc>
        <w:tc>
          <w:tcPr>
            <w:tcW w:type="dxa" w:w="3312"/>
            <w:vAlign w:val="top"/>
            <w:shd w:fill="1F4E79"/>
            <w:tcMar>
              <w:top w:w="80" w:type="dxa"/>
              <w:left w:w="80" w:type="dxa"/>
              <w:bottom w:w="80" w:type="dxa"/>
              <w:right w:w="80" w:type="dxa"/>
            </w:tcMar>
          </w:tcPr>
          <w:p>
            <w:pPr>
              <w:jc w:val="left"/>
            </w:pPr>
            <w:r>
              <w:rPr>
                <w:b/>
                <w:color w:val="FFFFFF"/>
                <w:sz w:val="16"/>
              </w:rPr>
            </w:r>
            <w:r>
              <w:rPr>
                <w:b/>
                <w:color w:val="FFFFFF"/>
                <w:sz w:val="16"/>
              </w:rPr>
              <w:t>Primary Components</w:t>
            </w:r>
          </w:p>
        </w:tc>
        <w:tc>
          <w:tcPr>
            <w:tcW w:type="dxa" w:w="4752"/>
            <w:vAlign w:val="top"/>
            <w:shd w:fill="1F4E79"/>
            <w:tcMar>
              <w:top w:w="80" w:type="dxa"/>
              <w:left w:w="80" w:type="dxa"/>
              <w:bottom w:w="80" w:type="dxa"/>
              <w:right w:w="80" w:type="dxa"/>
            </w:tcMar>
          </w:tcPr>
          <w:p>
            <w:pPr>
              <w:jc w:val="left"/>
            </w:pPr>
            <w:r>
              <w:rPr>
                <w:b/>
                <w:color w:val="FFFFFF"/>
                <w:sz w:val="16"/>
              </w:rPr>
            </w:r>
            <w:r>
              <w:rPr>
                <w:b/>
                <w:color w:val="FFFFFF"/>
                <w:sz w:val="16"/>
              </w:rPr>
              <w:t>Responsibility</w:t>
            </w:r>
          </w:p>
        </w:tc>
      </w:tr>
      <w:tr>
        <w:tc>
          <w:tcPr>
            <w:tcW w:type="dxa" w:w="2448"/>
            <w:vAlign w:val="top"/>
            <w:tcMar>
              <w:top w:w="80" w:type="dxa"/>
              <w:left w:w="80" w:type="dxa"/>
              <w:bottom w:w="80" w:type="dxa"/>
              <w:right w:w="80" w:type="dxa"/>
            </w:tcMar>
          </w:tcPr>
          <w:p>
            <w:pPr>
              <w:jc w:val="left"/>
            </w:pPr>
            <w:r>
              <w:rPr>
                <w:sz w:val="16"/>
              </w:rPr>
            </w:r>
            <w:r>
              <w:rPr>
                <w:b w:val="0"/>
                <w:sz w:val="16"/>
              </w:rPr>
              <w:t>Service Management Plane</w:t>
            </w:r>
          </w:p>
        </w:tc>
        <w:tc>
          <w:tcPr>
            <w:tcW w:type="dxa" w:w="3312"/>
            <w:vAlign w:val="top"/>
            <w:tcMar>
              <w:top w:w="80" w:type="dxa"/>
              <w:left w:w="80" w:type="dxa"/>
              <w:bottom w:w="80" w:type="dxa"/>
              <w:right w:w="80" w:type="dxa"/>
            </w:tcMar>
          </w:tcPr>
          <w:p>
            <w:pPr>
              <w:jc w:val="left"/>
            </w:pPr>
            <w:r>
              <w:rPr>
                <w:sz w:val="16"/>
              </w:rPr>
            </w:r>
            <w:r>
              <w:rPr>
                <w:b w:val="0"/>
                <w:sz w:val="16"/>
              </w:rPr>
              <w:t>Zammad, service catalog, queues, ticket templates, SLA timers</w:t>
            </w:r>
          </w:p>
        </w:tc>
        <w:tc>
          <w:tcPr>
            <w:tcW w:type="dxa" w:w="4752"/>
            <w:vAlign w:val="top"/>
            <w:tcMar>
              <w:top w:w="80" w:type="dxa"/>
              <w:left w:w="80" w:type="dxa"/>
              <w:bottom w:w="80" w:type="dxa"/>
              <w:right w:w="80" w:type="dxa"/>
            </w:tcMar>
          </w:tcPr>
          <w:p>
            <w:pPr>
              <w:jc w:val="left"/>
            </w:pPr>
            <w:r>
              <w:rPr>
                <w:sz w:val="16"/>
              </w:rPr>
            </w:r>
            <w:r>
              <w:rPr>
                <w:b w:val="0"/>
                <w:sz w:val="16"/>
              </w:rPr>
              <w:t>Work intake, ticket lifecycle, prioritization, escalation, communication, and service reporting.</w:t>
            </w:r>
          </w:p>
        </w:tc>
      </w:tr>
      <w:tr>
        <w:tc>
          <w:tcPr>
            <w:tcW w:type="dxa" w:w="2448"/>
            <w:vAlign w:val="top"/>
            <w:tcMar>
              <w:top w:w="80" w:type="dxa"/>
              <w:left w:w="80" w:type="dxa"/>
              <w:bottom w:w="80" w:type="dxa"/>
              <w:right w:w="80" w:type="dxa"/>
            </w:tcMar>
          </w:tcPr>
          <w:p>
            <w:pPr>
              <w:jc w:val="left"/>
            </w:pPr>
            <w:r>
              <w:rPr>
                <w:sz w:val="16"/>
              </w:rPr>
            </w:r>
            <w:r>
              <w:rPr>
                <w:b w:val="0"/>
                <w:sz w:val="16"/>
              </w:rPr>
              <w:t>Observability Plane</w:t>
            </w:r>
          </w:p>
        </w:tc>
        <w:tc>
          <w:tcPr>
            <w:tcW w:type="dxa" w:w="3312"/>
            <w:vAlign w:val="top"/>
            <w:tcMar>
              <w:top w:w="80" w:type="dxa"/>
              <w:left w:w="80" w:type="dxa"/>
              <w:bottom w:w="80" w:type="dxa"/>
              <w:right w:w="80" w:type="dxa"/>
            </w:tcMar>
          </w:tcPr>
          <w:p>
            <w:pPr>
              <w:jc w:val="left"/>
            </w:pPr>
            <w:r>
              <w:rPr>
                <w:sz w:val="16"/>
              </w:rPr>
            </w:r>
            <w:r>
              <w:rPr>
                <w:b w:val="0"/>
                <w:sz w:val="16"/>
              </w:rPr>
              <w:t>OpenTelemetry, Prometheus, Loki, Tempo, Grafana, Sentry, SigNoz</w:t>
            </w:r>
          </w:p>
        </w:tc>
        <w:tc>
          <w:tcPr>
            <w:tcW w:type="dxa" w:w="4752"/>
            <w:vAlign w:val="top"/>
            <w:tcMar>
              <w:top w:w="80" w:type="dxa"/>
              <w:left w:w="80" w:type="dxa"/>
              <w:bottom w:w="80" w:type="dxa"/>
              <w:right w:w="80" w:type="dxa"/>
            </w:tcMar>
          </w:tcPr>
          <w:p>
            <w:pPr>
              <w:jc w:val="left"/>
            </w:pPr>
            <w:r>
              <w:rPr>
                <w:sz w:val="16"/>
              </w:rPr>
            </w:r>
            <w:r>
              <w:rPr>
                <w:b w:val="0"/>
                <w:sz w:val="16"/>
              </w:rPr>
              <w:t>Metrics, logs, traces, errors, APM, dashboards, alerts, and service health evidence.</w:t>
            </w:r>
          </w:p>
        </w:tc>
      </w:tr>
      <w:tr>
        <w:tc>
          <w:tcPr>
            <w:tcW w:type="dxa" w:w="2448"/>
            <w:vAlign w:val="top"/>
            <w:tcMar>
              <w:top w:w="80" w:type="dxa"/>
              <w:left w:w="80" w:type="dxa"/>
              <w:bottom w:w="80" w:type="dxa"/>
              <w:right w:w="80" w:type="dxa"/>
            </w:tcMar>
          </w:tcPr>
          <w:p>
            <w:pPr>
              <w:jc w:val="left"/>
            </w:pPr>
            <w:r>
              <w:rPr>
                <w:sz w:val="16"/>
              </w:rPr>
            </w:r>
            <w:r>
              <w:rPr>
                <w:b w:val="0"/>
                <w:sz w:val="16"/>
              </w:rPr>
              <w:t>Security Operations Plane</w:t>
            </w:r>
          </w:p>
        </w:tc>
        <w:tc>
          <w:tcPr>
            <w:tcW w:type="dxa" w:w="3312"/>
            <w:vAlign w:val="top"/>
            <w:tcMar>
              <w:top w:w="80" w:type="dxa"/>
              <w:left w:w="80" w:type="dxa"/>
              <w:bottom w:w="80" w:type="dxa"/>
              <w:right w:w="80" w:type="dxa"/>
            </w:tcMar>
          </w:tcPr>
          <w:p>
            <w:pPr>
              <w:jc w:val="left"/>
            </w:pPr>
            <w:r>
              <w:rPr>
                <w:sz w:val="16"/>
              </w:rPr>
            </w:r>
            <w:r>
              <w:rPr>
                <w:b w:val="0"/>
                <w:sz w:val="16"/>
              </w:rPr>
              <w:t>Wazuh, TheHive, Cortex, Vault, Keycloak, OPA, audit store</w:t>
            </w:r>
          </w:p>
        </w:tc>
        <w:tc>
          <w:tcPr>
            <w:tcW w:type="dxa" w:w="4752"/>
            <w:vAlign w:val="top"/>
            <w:tcMar>
              <w:top w:w="80" w:type="dxa"/>
              <w:left w:w="80" w:type="dxa"/>
              <w:bottom w:w="80" w:type="dxa"/>
              <w:right w:w="80" w:type="dxa"/>
            </w:tcMar>
          </w:tcPr>
          <w:p>
            <w:pPr>
              <w:jc w:val="left"/>
            </w:pPr>
            <w:r>
              <w:rPr>
                <w:sz w:val="16"/>
              </w:rPr>
            </w:r>
            <w:r>
              <w:rPr>
                <w:b w:val="0"/>
                <w:sz w:val="16"/>
              </w:rPr>
              <w:t>Threat detection, case management, enrichment, response actions, access evidence, and policy decision evidence.</w:t>
            </w:r>
          </w:p>
        </w:tc>
      </w:tr>
      <w:tr>
        <w:tc>
          <w:tcPr>
            <w:tcW w:type="dxa" w:w="2448"/>
            <w:vAlign w:val="top"/>
            <w:tcMar>
              <w:top w:w="80" w:type="dxa"/>
              <w:left w:w="80" w:type="dxa"/>
              <w:bottom w:w="80" w:type="dxa"/>
              <w:right w:w="80" w:type="dxa"/>
            </w:tcMar>
          </w:tcPr>
          <w:p>
            <w:pPr>
              <w:jc w:val="left"/>
            </w:pPr>
            <w:r>
              <w:rPr>
                <w:sz w:val="16"/>
              </w:rPr>
            </w:r>
            <w:r>
              <w:rPr>
                <w:b w:val="0"/>
                <w:sz w:val="16"/>
              </w:rPr>
              <w:t>Runtime Operations Plane</w:t>
            </w:r>
          </w:p>
        </w:tc>
        <w:tc>
          <w:tcPr>
            <w:tcW w:type="dxa" w:w="3312"/>
            <w:vAlign w:val="top"/>
            <w:tcMar>
              <w:top w:w="80" w:type="dxa"/>
              <w:left w:w="80" w:type="dxa"/>
              <w:bottom w:w="80" w:type="dxa"/>
              <w:right w:w="80" w:type="dxa"/>
            </w:tcMar>
          </w:tcPr>
          <w:p>
            <w:pPr>
              <w:jc w:val="left"/>
            </w:pPr>
            <w:r>
              <w:rPr>
                <w:sz w:val="16"/>
              </w:rPr>
            </w:r>
            <w:r>
              <w:rPr>
                <w:b w:val="0"/>
                <w:sz w:val="16"/>
              </w:rPr>
              <w:t>Kubernetes, Argo CD, PostgreSQL, Kafka, Temporal, Flowable, OpenKM, Redis/Valkey</w:t>
            </w:r>
          </w:p>
        </w:tc>
        <w:tc>
          <w:tcPr>
            <w:tcW w:type="dxa" w:w="4752"/>
            <w:vAlign w:val="top"/>
            <w:tcMar>
              <w:top w:w="80" w:type="dxa"/>
              <w:left w:w="80" w:type="dxa"/>
              <w:bottom w:w="80" w:type="dxa"/>
              <w:right w:w="80" w:type="dxa"/>
            </w:tcMar>
          </w:tcPr>
          <w:p>
            <w:pPr>
              <w:jc w:val="left"/>
            </w:pPr>
            <w:r>
              <w:rPr>
                <w:sz w:val="16"/>
              </w:rPr>
            </w:r>
            <w:r>
              <w:rPr>
                <w:b w:val="0"/>
                <w:sz w:val="16"/>
              </w:rPr>
              <w:t>Service runtime, workflow, storage, messaging, document management, cache, deployment state, and recovery actions.</w:t>
            </w:r>
          </w:p>
        </w:tc>
      </w:tr>
      <w:tr>
        <w:tc>
          <w:tcPr>
            <w:tcW w:type="dxa" w:w="2448"/>
            <w:vAlign w:val="top"/>
            <w:tcMar>
              <w:top w:w="80" w:type="dxa"/>
              <w:left w:w="80" w:type="dxa"/>
              <w:bottom w:w="80" w:type="dxa"/>
              <w:right w:w="80" w:type="dxa"/>
            </w:tcMar>
          </w:tcPr>
          <w:p>
            <w:pPr>
              <w:jc w:val="left"/>
            </w:pPr>
            <w:r>
              <w:rPr>
                <w:sz w:val="16"/>
              </w:rPr>
            </w:r>
            <w:r>
              <w:rPr>
                <w:b w:val="0"/>
                <w:sz w:val="16"/>
              </w:rPr>
              <w:t>Knowledge and Evidence Plane</w:t>
            </w:r>
          </w:p>
        </w:tc>
        <w:tc>
          <w:tcPr>
            <w:tcW w:type="dxa" w:w="3312"/>
            <w:vAlign w:val="top"/>
            <w:tcMar>
              <w:top w:w="80" w:type="dxa"/>
              <w:left w:w="80" w:type="dxa"/>
              <w:bottom w:w="80" w:type="dxa"/>
              <w:right w:w="80" w:type="dxa"/>
            </w:tcMar>
          </w:tcPr>
          <w:p>
            <w:pPr>
              <w:jc w:val="left"/>
            </w:pPr>
            <w:r>
              <w:rPr>
                <w:sz w:val="16"/>
              </w:rPr>
            </w:r>
            <w:r>
              <w:rPr>
                <w:b w:val="0"/>
                <w:sz w:val="16"/>
              </w:rPr>
              <w:t>OpenKM, Obsidian, LLM Wiki, CI/CD evidence packs, runbooks</w:t>
            </w:r>
          </w:p>
        </w:tc>
        <w:tc>
          <w:tcPr>
            <w:tcW w:type="dxa" w:w="4752"/>
            <w:vAlign w:val="top"/>
            <w:tcMar>
              <w:top w:w="80" w:type="dxa"/>
              <w:left w:w="80" w:type="dxa"/>
              <w:bottom w:w="80" w:type="dxa"/>
              <w:right w:w="80" w:type="dxa"/>
            </w:tcMar>
          </w:tcPr>
          <w:p>
            <w:pPr>
              <w:jc w:val="left"/>
            </w:pPr>
            <w:r>
              <w:rPr>
                <w:sz w:val="16"/>
              </w:rPr>
            </w:r>
            <w:r>
              <w:rPr>
                <w:b w:val="0"/>
                <w:sz w:val="16"/>
              </w:rPr>
              <w:t>Approved runbooks, incident evidence, lessons learned, RCA, service review packs, and audit evidence.</w:t>
            </w:r>
          </w:p>
        </w:tc>
      </w:tr>
    </w:tbl>
    <w:p>
      <w:pPr>
        <w:spacing w:after="80" w:line="252" w:lineRule="auto"/>
      </w:pPr>
      <w:r>
        <w:drawing>
          <wp:inline xmlns:a="http://schemas.openxmlformats.org/drawingml/2006/main" xmlns:pic="http://schemas.openxmlformats.org/drawingml/2006/picture">
            <wp:extent cx="6583680" cy="3374136"/>
            <wp:docPr id="2" name="Picture 2"/>
            <wp:cNvGraphicFramePr>
              <a:graphicFrameLocks noChangeAspect="1"/>
            </wp:cNvGraphicFramePr>
            <a:graphic>
              <a:graphicData uri="http://schemas.openxmlformats.org/drawingml/2006/picture">
                <pic:pic>
                  <pic:nvPicPr>
                    <pic:cNvPr id="0" name="toolchain.png"/>
                    <pic:cNvPicPr/>
                  </pic:nvPicPr>
                  <pic:blipFill>
                    <a:blip r:embed="rId12"/>
                    <a:stretch>
                      <a:fillRect/>
                    </a:stretch>
                  </pic:blipFill>
                  <pic:spPr>
                    <a:xfrm>
                      <a:off x="0" y="0"/>
                      <a:ext cx="6583680" cy="3374136"/>
                    </a:xfrm>
                    <a:prstGeom prst="rect"/>
                  </pic:spPr>
                </pic:pic>
              </a:graphicData>
            </a:graphic>
          </wp:inline>
        </w:drawing>
      </w:r>
    </w:p>
    <w:p>
      <w:pPr>
        <w:spacing w:after="80" w:line="252" w:lineRule="auto"/>
        <w:jc w:val="center"/>
      </w:pPr>
      <w:r>
        <w:rPr>
          <w:i/>
        </w:rPr>
        <w:t>Figure 2. AIRA production operations toolchain view.</w:t>
      </w:r>
    </w:p>
    <w:p>
      <w:pPr>
        <w:pStyle w:val="Heading1"/>
        <w:spacing w:after="80" w:line="252" w:lineRule="auto"/>
      </w:pPr>
      <w:r>
        <w:t>5. Service Catalog, Criticality, and Ownership</w:t>
      </w:r>
    </w:p>
    <w:p>
      <w:pPr>
        <w:spacing w:after="80" w:line="252" w:lineRule="auto"/>
      </w:pPr>
      <w:r>
        <w:t>Every AIRA component must be represented in the service catalog before production or UAT service operation. The catalog is the operational bridge between architecture, Zammad ticket queues, monitoring dashboards, runbooks, and evidence repositories.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Field</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Required Content</w:t>
            </w:r>
          </w:p>
        </w:tc>
      </w:tr>
      <w:tr>
        <w:tc>
          <w:tcPr>
            <w:tcW w:type="dxa" w:w="2592"/>
            <w:vAlign w:val="top"/>
            <w:tcMar>
              <w:top w:w="80" w:type="dxa"/>
              <w:left w:w="80" w:type="dxa"/>
              <w:bottom w:w="80" w:type="dxa"/>
              <w:right w:w="80" w:type="dxa"/>
            </w:tcMar>
          </w:tcPr>
          <w:p>
            <w:pPr>
              <w:jc w:val="left"/>
            </w:pPr>
            <w:r>
              <w:rPr>
                <w:sz w:val="16"/>
              </w:rPr>
            </w:r>
            <w:r>
              <w:rPr>
                <w:b w:val="0"/>
                <w:sz w:val="16"/>
              </w:rPr>
              <w:t>service_id</w:t>
            </w:r>
          </w:p>
        </w:tc>
        <w:tc>
          <w:tcPr>
            <w:tcW w:type="dxa" w:w="7920"/>
            <w:vAlign w:val="top"/>
            <w:tcMar>
              <w:top w:w="80" w:type="dxa"/>
              <w:left w:w="80" w:type="dxa"/>
              <w:bottom w:w="80" w:type="dxa"/>
              <w:right w:w="80" w:type="dxa"/>
            </w:tcMar>
          </w:tcPr>
          <w:p>
            <w:pPr>
              <w:jc w:val="left"/>
            </w:pPr>
            <w:r>
              <w:rPr>
                <w:sz w:val="16"/>
              </w:rPr>
            </w:r>
            <w:r>
              <w:rPr>
                <w:b w:val="0"/>
                <w:sz w:val="16"/>
              </w:rPr>
              <w:t>Stable identifier, e.g., AIRA-SVC-GATEWAY, AIRA-SVC-WORKFLOW, AIRA-SVC-ORCHESTRATOR.</w:t>
            </w:r>
          </w:p>
        </w:tc>
      </w:tr>
      <w:tr>
        <w:tc>
          <w:tcPr>
            <w:tcW w:type="dxa" w:w="2592"/>
            <w:vAlign w:val="top"/>
            <w:tcMar>
              <w:top w:w="80" w:type="dxa"/>
              <w:left w:w="80" w:type="dxa"/>
              <w:bottom w:w="80" w:type="dxa"/>
              <w:right w:w="80" w:type="dxa"/>
            </w:tcMar>
          </w:tcPr>
          <w:p>
            <w:pPr>
              <w:jc w:val="left"/>
            </w:pPr>
            <w:r>
              <w:rPr>
                <w:sz w:val="16"/>
              </w:rPr>
            </w:r>
            <w:r>
              <w:rPr>
                <w:b w:val="0"/>
                <w:sz w:val="16"/>
              </w:rPr>
              <w:t>service_name</w:t>
            </w:r>
          </w:p>
        </w:tc>
        <w:tc>
          <w:tcPr>
            <w:tcW w:type="dxa" w:w="7920"/>
            <w:vAlign w:val="top"/>
            <w:tcMar>
              <w:top w:w="80" w:type="dxa"/>
              <w:left w:w="80" w:type="dxa"/>
              <w:bottom w:w="80" w:type="dxa"/>
              <w:right w:w="80" w:type="dxa"/>
            </w:tcMar>
          </w:tcPr>
          <w:p>
            <w:pPr>
              <w:jc w:val="left"/>
            </w:pPr>
            <w:r>
              <w:rPr>
                <w:sz w:val="16"/>
              </w:rPr>
            </w:r>
            <w:r>
              <w:rPr>
                <w:b w:val="0"/>
                <w:sz w:val="16"/>
              </w:rPr>
              <w:t>Human-readable service name.</w:t>
            </w:r>
          </w:p>
        </w:tc>
      </w:tr>
      <w:tr>
        <w:tc>
          <w:tcPr>
            <w:tcW w:type="dxa" w:w="2592"/>
            <w:vAlign w:val="top"/>
            <w:tcMar>
              <w:top w:w="80" w:type="dxa"/>
              <w:left w:w="80" w:type="dxa"/>
              <w:bottom w:w="80" w:type="dxa"/>
              <w:right w:w="80" w:type="dxa"/>
            </w:tcMar>
          </w:tcPr>
          <w:p>
            <w:pPr>
              <w:jc w:val="left"/>
            </w:pPr>
            <w:r>
              <w:rPr>
                <w:sz w:val="16"/>
              </w:rPr>
            </w:r>
            <w:r>
              <w:rPr>
                <w:b w:val="0"/>
                <w:sz w:val="16"/>
              </w:rPr>
              <w:t>business_capability</w:t>
            </w:r>
          </w:p>
        </w:tc>
        <w:tc>
          <w:tcPr>
            <w:tcW w:type="dxa" w:w="7920"/>
            <w:vAlign w:val="top"/>
            <w:tcMar>
              <w:top w:w="80" w:type="dxa"/>
              <w:left w:w="80" w:type="dxa"/>
              <w:bottom w:w="80" w:type="dxa"/>
              <w:right w:w="80" w:type="dxa"/>
            </w:tcMar>
          </w:tcPr>
          <w:p>
            <w:pPr>
              <w:jc w:val="left"/>
            </w:pPr>
            <w:r>
              <w:rPr>
                <w:sz w:val="16"/>
              </w:rPr>
            </w:r>
            <w:r>
              <w:rPr>
                <w:b w:val="0"/>
                <w:sz w:val="16"/>
              </w:rPr>
              <w:t>Business or platform capability supported.</w:t>
            </w:r>
          </w:p>
        </w:tc>
      </w:tr>
      <w:tr>
        <w:tc>
          <w:tcPr>
            <w:tcW w:type="dxa" w:w="2592"/>
            <w:vAlign w:val="top"/>
            <w:tcMar>
              <w:top w:w="80" w:type="dxa"/>
              <w:left w:w="80" w:type="dxa"/>
              <w:bottom w:w="80" w:type="dxa"/>
              <w:right w:w="80" w:type="dxa"/>
            </w:tcMar>
          </w:tcPr>
          <w:p>
            <w:pPr>
              <w:jc w:val="left"/>
            </w:pPr>
            <w:r>
              <w:rPr>
                <w:sz w:val="16"/>
              </w:rPr>
            </w:r>
            <w:r>
              <w:rPr>
                <w:b w:val="0"/>
                <w:sz w:val="16"/>
              </w:rPr>
              <w:t>criticality_tier</w:t>
            </w:r>
          </w:p>
        </w:tc>
        <w:tc>
          <w:tcPr>
            <w:tcW w:type="dxa" w:w="7920"/>
            <w:vAlign w:val="top"/>
            <w:tcMar>
              <w:top w:w="80" w:type="dxa"/>
              <w:left w:w="80" w:type="dxa"/>
              <w:bottom w:w="80" w:type="dxa"/>
              <w:right w:w="80" w:type="dxa"/>
            </w:tcMar>
          </w:tcPr>
          <w:p>
            <w:pPr>
              <w:jc w:val="left"/>
            </w:pPr>
            <w:r>
              <w:rPr>
                <w:sz w:val="16"/>
              </w:rPr>
            </w:r>
            <w:r>
              <w:rPr>
                <w:b w:val="0"/>
                <w:sz w:val="16"/>
              </w:rPr>
              <w:t>Tier 0 Mission Critical, Tier 1 Business Critical, Tier 2 Important, Tier 3 Support.</w:t>
            </w:r>
          </w:p>
        </w:tc>
      </w:tr>
      <w:tr>
        <w:tc>
          <w:tcPr>
            <w:tcW w:type="dxa" w:w="2592"/>
            <w:vAlign w:val="top"/>
            <w:tcMar>
              <w:top w:w="80" w:type="dxa"/>
              <w:left w:w="80" w:type="dxa"/>
              <w:bottom w:w="80" w:type="dxa"/>
              <w:right w:w="80" w:type="dxa"/>
            </w:tcMar>
          </w:tcPr>
          <w:p>
            <w:pPr>
              <w:jc w:val="left"/>
            </w:pPr>
            <w:r>
              <w:rPr>
                <w:sz w:val="16"/>
              </w:rPr>
            </w:r>
            <w:r>
              <w:rPr>
                <w:b w:val="0"/>
                <w:sz w:val="16"/>
              </w:rPr>
              <w:t>owner / backup owner</w:t>
            </w:r>
          </w:p>
        </w:tc>
        <w:tc>
          <w:tcPr>
            <w:tcW w:type="dxa" w:w="7920"/>
            <w:vAlign w:val="top"/>
            <w:tcMar>
              <w:top w:w="80" w:type="dxa"/>
              <w:left w:w="80" w:type="dxa"/>
              <w:bottom w:w="80" w:type="dxa"/>
              <w:right w:w="80" w:type="dxa"/>
            </w:tcMar>
          </w:tcPr>
          <w:p>
            <w:pPr>
              <w:jc w:val="left"/>
            </w:pPr>
            <w:r>
              <w:rPr>
                <w:sz w:val="16"/>
              </w:rPr>
            </w:r>
            <w:r>
              <w:rPr>
                <w:b w:val="0"/>
                <w:sz w:val="16"/>
              </w:rPr>
              <w:t>Named accountable owner and backup owner.</w:t>
            </w:r>
          </w:p>
        </w:tc>
      </w:tr>
      <w:tr>
        <w:tc>
          <w:tcPr>
            <w:tcW w:type="dxa" w:w="2592"/>
            <w:vAlign w:val="top"/>
            <w:tcMar>
              <w:top w:w="80" w:type="dxa"/>
              <w:left w:w="80" w:type="dxa"/>
              <w:bottom w:w="80" w:type="dxa"/>
              <w:right w:w="80" w:type="dxa"/>
            </w:tcMar>
          </w:tcPr>
          <w:p>
            <w:pPr>
              <w:jc w:val="left"/>
            </w:pPr>
            <w:r>
              <w:rPr>
                <w:sz w:val="16"/>
              </w:rPr>
            </w:r>
            <w:r>
              <w:rPr>
                <w:b w:val="0"/>
                <w:sz w:val="16"/>
              </w:rPr>
              <w:t>support_group</w:t>
            </w:r>
          </w:p>
        </w:tc>
        <w:tc>
          <w:tcPr>
            <w:tcW w:type="dxa" w:w="7920"/>
            <w:vAlign w:val="top"/>
            <w:tcMar>
              <w:top w:w="80" w:type="dxa"/>
              <w:left w:w="80" w:type="dxa"/>
              <w:bottom w:w="80" w:type="dxa"/>
              <w:right w:w="80" w:type="dxa"/>
            </w:tcMar>
          </w:tcPr>
          <w:p>
            <w:pPr>
              <w:jc w:val="left"/>
            </w:pPr>
            <w:r>
              <w:rPr>
                <w:sz w:val="16"/>
              </w:rPr>
            </w:r>
            <w:r>
              <w:rPr>
                <w:b w:val="0"/>
                <w:sz w:val="16"/>
              </w:rPr>
              <w:t>Zammad group/queue and escalation contacts.</w:t>
            </w:r>
          </w:p>
        </w:tc>
      </w:tr>
      <w:tr>
        <w:tc>
          <w:tcPr>
            <w:tcW w:type="dxa" w:w="2592"/>
            <w:vAlign w:val="top"/>
            <w:tcMar>
              <w:top w:w="80" w:type="dxa"/>
              <w:left w:w="80" w:type="dxa"/>
              <w:bottom w:w="80" w:type="dxa"/>
              <w:right w:w="80" w:type="dxa"/>
            </w:tcMar>
          </w:tcPr>
          <w:p>
            <w:pPr>
              <w:jc w:val="left"/>
            </w:pPr>
            <w:r>
              <w:rPr>
                <w:sz w:val="16"/>
              </w:rPr>
            </w:r>
            <w:r>
              <w:rPr>
                <w:b w:val="0"/>
                <w:sz w:val="16"/>
              </w:rPr>
              <w:t>dependencies</w:t>
            </w:r>
          </w:p>
        </w:tc>
        <w:tc>
          <w:tcPr>
            <w:tcW w:type="dxa" w:w="7920"/>
            <w:vAlign w:val="top"/>
            <w:tcMar>
              <w:top w:w="80" w:type="dxa"/>
              <w:left w:w="80" w:type="dxa"/>
              <w:bottom w:w="80" w:type="dxa"/>
              <w:right w:w="80" w:type="dxa"/>
            </w:tcMar>
          </w:tcPr>
          <w:p>
            <w:pPr>
              <w:jc w:val="left"/>
            </w:pPr>
            <w:r>
              <w:rPr>
                <w:sz w:val="16"/>
              </w:rPr>
            </w:r>
            <w:r>
              <w:rPr>
                <w:b w:val="0"/>
                <w:sz w:val="16"/>
              </w:rPr>
              <w:t>Upstream/downstream dependencies, data stores, external systems, model routes, workflows.</w:t>
            </w:r>
          </w:p>
        </w:tc>
      </w:tr>
      <w:tr>
        <w:tc>
          <w:tcPr>
            <w:tcW w:type="dxa" w:w="2592"/>
            <w:vAlign w:val="top"/>
            <w:tcMar>
              <w:top w:w="80" w:type="dxa"/>
              <w:left w:w="80" w:type="dxa"/>
              <w:bottom w:w="80" w:type="dxa"/>
              <w:right w:w="80" w:type="dxa"/>
            </w:tcMar>
          </w:tcPr>
          <w:p>
            <w:pPr>
              <w:jc w:val="left"/>
            </w:pPr>
            <w:r>
              <w:rPr>
                <w:sz w:val="16"/>
              </w:rPr>
            </w:r>
            <w:r>
              <w:rPr>
                <w:b w:val="0"/>
                <w:sz w:val="16"/>
              </w:rPr>
              <w:t>SLO profile</w:t>
            </w:r>
          </w:p>
        </w:tc>
        <w:tc>
          <w:tcPr>
            <w:tcW w:type="dxa" w:w="7920"/>
            <w:vAlign w:val="top"/>
            <w:tcMar>
              <w:top w:w="80" w:type="dxa"/>
              <w:left w:w="80" w:type="dxa"/>
              <w:bottom w:w="80" w:type="dxa"/>
              <w:right w:w="80" w:type="dxa"/>
            </w:tcMar>
          </w:tcPr>
          <w:p>
            <w:pPr>
              <w:jc w:val="left"/>
            </w:pPr>
            <w:r>
              <w:rPr>
                <w:sz w:val="16"/>
              </w:rPr>
            </w:r>
            <w:r>
              <w:rPr>
                <w:b w:val="0"/>
                <w:sz w:val="16"/>
              </w:rPr>
              <w:t>Availability, latency, error rate, queue age, workflow completion, or data freshness targets.</w:t>
            </w:r>
          </w:p>
        </w:tc>
      </w:tr>
      <w:tr>
        <w:tc>
          <w:tcPr>
            <w:tcW w:type="dxa" w:w="2592"/>
            <w:vAlign w:val="top"/>
            <w:tcMar>
              <w:top w:w="80" w:type="dxa"/>
              <w:left w:w="80" w:type="dxa"/>
              <w:bottom w:w="80" w:type="dxa"/>
              <w:right w:w="80" w:type="dxa"/>
            </w:tcMar>
          </w:tcPr>
          <w:p>
            <w:pPr>
              <w:jc w:val="left"/>
            </w:pPr>
            <w:r>
              <w:rPr>
                <w:sz w:val="16"/>
              </w:rPr>
            </w:r>
            <w:r>
              <w:rPr>
                <w:b w:val="0"/>
                <w:sz w:val="16"/>
              </w:rPr>
              <w:t>monitoring dashboard</w:t>
            </w:r>
          </w:p>
        </w:tc>
        <w:tc>
          <w:tcPr>
            <w:tcW w:type="dxa" w:w="7920"/>
            <w:vAlign w:val="top"/>
            <w:tcMar>
              <w:top w:w="80" w:type="dxa"/>
              <w:left w:w="80" w:type="dxa"/>
              <w:bottom w:w="80" w:type="dxa"/>
              <w:right w:w="80" w:type="dxa"/>
            </w:tcMar>
          </w:tcPr>
          <w:p>
            <w:pPr>
              <w:jc w:val="left"/>
            </w:pPr>
            <w:r>
              <w:rPr>
                <w:sz w:val="16"/>
              </w:rPr>
            </w:r>
            <w:r>
              <w:rPr>
                <w:b w:val="0"/>
                <w:sz w:val="16"/>
              </w:rPr>
              <w:t>Grafana/SigNoz/Sentry/Wazuh/TheHive links or evidence paths.</w:t>
            </w:r>
          </w:p>
        </w:tc>
      </w:tr>
      <w:tr>
        <w:tc>
          <w:tcPr>
            <w:tcW w:type="dxa" w:w="2592"/>
            <w:vAlign w:val="top"/>
            <w:tcMar>
              <w:top w:w="80" w:type="dxa"/>
              <w:left w:w="80" w:type="dxa"/>
              <w:bottom w:w="80" w:type="dxa"/>
              <w:right w:w="80" w:type="dxa"/>
            </w:tcMar>
          </w:tcPr>
          <w:p>
            <w:pPr>
              <w:jc w:val="left"/>
            </w:pPr>
            <w:r>
              <w:rPr>
                <w:sz w:val="16"/>
              </w:rPr>
            </w:r>
            <w:r>
              <w:rPr>
                <w:b w:val="0"/>
                <w:sz w:val="16"/>
              </w:rPr>
              <w:t>runbook path</w:t>
            </w:r>
          </w:p>
        </w:tc>
        <w:tc>
          <w:tcPr>
            <w:tcW w:type="dxa" w:w="7920"/>
            <w:vAlign w:val="top"/>
            <w:tcMar>
              <w:top w:w="80" w:type="dxa"/>
              <w:left w:w="80" w:type="dxa"/>
              <w:bottom w:w="80" w:type="dxa"/>
              <w:right w:w="80" w:type="dxa"/>
            </w:tcMar>
          </w:tcPr>
          <w:p>
            <w:pPr>
              <w:jc w:val="left"/>
            </w:pPr>
            <w:r>
              <w:rPr>
                <w:sz w:val="16"/>
              </w:rPr>
            </w:r>
            <w:r>
              <w:rPr>
                <w:b w:val="0"/>
                <w:sz w:val="16"/>
              </w:rPr>
              <w:t>OpenKM/Obsidian runbook and recovery procedure path.</w:t>
            </w:r>
          </w:p>
        </w:tc>
      </w:tr>
      <w:tr>
        <w:tc>
          <w:tcPr>
            <w:tcW w:type="dxa" w:w="2592"/>
            <w:vAlign w:val="top"/>
            <w:tcMar>
              <w:top w:w="80" w:type="dxa"/>
              <w:left w:w="80" w:type="dxa"/>
              <w:bottom w:w="80" w:type="dxa"/>
              <w:right w:w="80" w:type="dxa"/>
            </w:tcMar>
          </w:tcPr>
          <w:p>
            <w:pPr>
              <w:jc w:val="left"/>
            </w:pPr>
            <w:r>
              <w:rPr>
                <w:sz w:val="16"/>
              </w:rPr>
            </w:r>
            <w:r>
              <w:rPr>
                <w:b w:val="0"/>
                <w:sz w:val="16"/>
              </w:rPr>
              <w:t>classification</w:t>
            </w:r>
          </w:p>
        </w:tc>
        <w:tc>
          <w:tcPr>
            <w:tcW w:type="dxa" w:w="7920"/>
            <w:vAlign w:val="top"/>
            <w:tcMar>
              <w:top w:w="80" w:type="dxa"/>
              <w:left w:w="80" w:type="dxa"/>
              <w:bottom w:w="80" w:type="dxa"/>
              <w:right w:w="80" w:type="dxa"/>
            </w:tcMar>
          </w:tcPr>
          <w:p>
            <w:pPr>
              <w:jc w:val="left"/>
            </w:pPr>
            <w:r>
              <w:rPr>
                <w:sz w:val="16"/>
              </w:rPr>
            </w:r>
            <w:r>
              <w:rPr>
                <w:b w:val="0"/>
                <w:sz w:val="16"/>
              </w:rPr>
              <w:t>Data classification and support handling rules.</w:t>
            </w:r>
          </w:p>
        </w:tc>
      </w:tr>
      <w:tr>
        <w:tc>
          <w:tcPr>
            <w:tcW w:type="dxa" w:w="2592"/>
            <w:vAlign w:val="top"/>
            <w:tcMar>
              <w:top w:w="80" w:type="dxa"/>
              <w:left w:w="80" w:type="dxa"/>
              <w:bottom w:w="80" w:type="dxa"/>
              <w:right w:w="80" w:type="dxa"/>
            </w:tcMar>
          </w:tcPr>
          <w:p>
            <w:pPr>
              <w:jc w:val="left"/>
            </w:pPr>
            <w:r>
              <w:rPr>
                <w:sz w:val="16"/>
              </w:rPr>
            </w:r>
            <w:r>
              <w:rPr>
                <w:b w:val="0"/>
                <w:sz w:val="16"/>
              </w:rPr>
              <w:t>evidence path</w:t>
            </w:r>
          </w:p>
        </w:tc>
        <w:tc>
          <w:tcPr>
            <w:tcW w:type="dxa" w:w="7920"/>
            <w:vAlign w:val="top"/>
            <w:tcMar>
              <w:top w:w="80" w:type="dxa"/>
              <w:left w:w="80" w:type="dxa"/>
              <w:bottom w:w="80" w:type="dxa"/>
              <w:right w:w="80" w:type="dxa"/>
            </w:tcMar>
          </w:tcPr>
          <w:p>
            <w:pPr>
              <w:jc w:val="left"/>
            </w:pPr>
            <w:r>
              <w:rPr>
                <w:sz w:val="16"/>
              </w:rPr>
            </w:r>
            <w:r>
              <w:rPr>
                <w:b w:val="0"/>
                <w:sz w:val="16"/>
              </w:rPr>
              <w:t>OpenKM operational evidence path.</w:t>
            </w:r>
          </w:p>
        </w:tc>
      </w:tr>
    </w:tbl>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vAlign w:val="top"/>
            <w:shd w:fill="1F4E79"/>
            <w:tcMar>
              <w:top w:w="80" w:type="dxa"/>
              <w:left w:w="80" w:type="dxa"/>
              <w:bottom w:w="80" w:type="dxa"/>
              <w:right w:w="80" w:type="dxa"/>
            </w:tcMar>
          </w:tcPr>
          <w:p>
            <w:pPr>
              <w:jc w:val="left"/>
            </w:pPr>
            <w:r>
              <w:rPr>
                <w:b/>
                <w:color w:val="FFFFFF"/>
                <w:sz w:val="16"/>
              </w:rPr>
            </w:r>
            <w:r>
              <w:rPr>
                <w:b/>
                <w:color w:val="FFFFFF"/>
                <w:sz w:val="16"/>
              </w:rPr>
              <w:t>Criticality Tier</w:t>
            </w:r>
          </w:p>
        </w:tc>
        <w:tc>
          <w:tcPr>
            <w:tcW w:type="dxa" w:w="3600"/>
            <w:vAlign w:val="top"/>
            <w:shd w:fill="1F4E79"/>
            <w:tcMar>
              <w:top w:w="80" w:type="dxa"/>
              <w:left w:w="80" w:type="dxa"/>
              <w:bottom w:w="80" w:type="dxa"/>
              <w:right w:w="80" w:type="dxa"/>
            </w:tcMar>
          </w:tcPr>
          <w:p>
            <w:pPr>
              <w:jc w:val="left"/>
            </w:pPr>
            <w:r>
              <w:rPr>
                <w:b/>
                <w:color w:val="FFFFFF"/>
                <w:sz w:val="16"/>
              </w:rPr>
            </w:r>
            <w:r>
              <w:rPr>
                <w:b/>
                <w:color w:val="FFFFFF"/>
                <w:sz w:val="16"/>
              </w:rPr>
              <w:t>Description</w:t>
            </w:r>
          </w:p>
        </w:tc>
        <w:tc>
          <w:tcPr>
            <w:tcW w:type="dxa" w:w="4608"/>
            <w:vAlign w:val="top"/>
            <w:shd w:fill="1F4E79"/>
            <w:tcMar>
              <w:top w:w="80" w:type="dxa"/>
              <w:left w:w="80" w:type="dxa"/>
              <w:bottom w:w="80" w:type="dxa"/>
              <w:right w:w="80" w:type="dxa"/>
            </w:tcMar>
          </w:tcPr>
          <w:p>
            <w:pPr>
              <w:jc w:val="left"/>
            </w:pPr>
            <w:r>
              <w:rPr>
                <w:b/>
                <w:color w:val="FFFFFF"/>
                <w:sz w:val="16"/>
              </w:rPr>
            </w:r>
            <w:r>
              <w:rPr>
                <w:b/>
                <w:color w:val="FFFFFF"/>
                <w:sz w:val="16"/>
              </w:rPr>
              <w:t>Minimum Operating Requirement</w:t>
            </w:r>
          </w:p>
        </w:tc>
      </w:tr>
      <w:tr>
        <w:tc>
          <w:tcPr>
            <w:tcW w:type="dxa" w:w="2304"/>
            <w:vAlign w:val="top"/>
            <w:tcMar>
              <w:top w:w="80" w:type="dxa"/>
              <w:left w:w="80" w:type="dxa"/>
              <w:bottom w:w="80" w:type="dxa"/>
              <w:right w:w="80" w:type="dxa"/>
            </w:tcMar>
          </w:tcPr>
          <w:p>
            <w:pPr>
              <w:jc w:val="left"/>
            </w:pPr>
            <w:r>
              <w:rPr>
                <w:sz w:val="16"/>
              </w:rPr>
            </w:r>
            <w:r>
              <w:rPr>
                <w:b w:val="0"/>
                <w:sz w:val="16"/>
              </w:rPr>
              <w:t>Tier 0 - Mission Critical</w:t>
            </w:r>
          </w:p>
        </w:tc>
        <w:tc>
          <w:tcPr>
            <w:tcW w:type="dxa" w:w="3600"/>
            <w:vAlign w:val="top"/>
            <w:tcMar>
              <w:top w:w="80" w:type="dxa"/>
              <w:left w:w="80" w:type="dxa"/>
              <w:bottom w:w="80" w:type="dxa"/>
              <w:right w:w="80" w:type="dxa"/>
            </w:tcMar>
          </w:tcPr>
          <w:p>
            <w:pPr>
              <w:jc w:val="left"/>
            </w:pPr>
            <w:r>
              <w:rPr>
                <w:sz w:val="16"/>
              </w:rPr>
            </w:r>
            <w:r>
              <w:rPr>
                <w:b w:val="0"/>
                <w:sz w:val="16"/>
              </w:rPr>
              <w:t>Customer, financial, legal, identity, audit, security, or production platform function whose failure materially affects operations.</w:t>
            </w:r>
          </w:p>
        </w:tc>
        <w:tc>
          <w:tcPr>
            <w:tcW w:type="dxa" w:w="4608"/>
            <w:vAlign w:val="top"/>
            <w:tcMar>
              <w:top w:w="80" w:type="dxa"/>
              <w:left w:w="80" w:type="dxa"/>
              <w:bottom w:w="80" w:type="dxa"/>
              <w:right w:w="80" w:type="dxa"/>
            </w:tcMar>
          </w:tcPr>
          <w:p>
            <w:pPr>
              <w:jc w:val="left"/>
            </w:pPr>
            <w:r>
              <w:rPr>
                <w:sz w:val="16"/>
              </w:rPr>
            </w:r>
            <w:r>
              <w:rPr>
                <w:b w:val="0"/>
                <w:sz w:val="16"/>
              </w:rPr>
              <w:t>24x7 monitoring, Sev-1 escalation, strict SLO, tested rollback, DR evidence, named owner, major incident workflow.</w:t>
            </w:r>
          </w:p>
        </w:tc>
      </w:tr>
      <w:tr>
        <w:tc>
          <w:tcPr>
            <w:tcW w:type="dxa" w:w="2304"/>
            <w:vAlign w:val="top"/>
            <w:tcMar>
              <w:top w:w="80" w:type="dxa"/>
              <w:left w:w="80" w:type="dxa"/>
              <w:bottom w:w="80" w:type="dxa"/>
              <w:right w:w="80" w:type="dxa"/>
            </w:tcMar>
          </w:tcPr>
          <w:p>
            <w:pPr>
              <w:jc w:val="left"/>
            </w:pPr>
            <w:r>
              <w:rPr>
                <w:sz w:val="16"/>
              </w:rPr>
            </w:r>
            <w:r>
              <w:rPr>
                <w:b w:val="0"/>
                <w:sz w:val="16"/>
              </w:rPr>
              <w:t>Tier 1 - Business Critical</w:t>
            </w:r>
          </w:p>
        </w:tc>
        <w:tc>
          <w:tcPr>
            <w:tcW w:type="dxa" w:w="3600"/>
            <w:vAlign w:val="top"/>
            <w:tcMar>
              <w:top w:w="80" w:type="dxa"/>
              <w:left w:w="80" w:type="dxa"/>
              <w:bottom w:w="80" w:type="dxa"/>
              <w:right w:w="80" w:type="dxa"/>
            </w:tcMar>
          </w:tcPr>
          <w:p>
            <w:pPr>
              <w:jc w:val="left"/>
            </w:pPr>
            <w:r>
              <w:rPr>
                <w:sz w:val="16"/>
              </w:rPr>
            </w:r>
            <w:r>
              <w:rPr>
                <w:b w:val="0"/>
                <w:sz w:val="16"/>
              </w:rPr>
              <w:t>Important business or platform function with significant operational effect.</w:t>
            </w:r>
          </w:p>
        </w:tc>
        <w:tc>
          <w:tcPr>
            <w:tcW w:type="dxa" w:w="4608"/>
            <w:vAlign w:val="top"/>
            <w:tcMar>
              <w:top w:w="80" w:type="dxa"/>
              <w:left w:w="80" w:type="dxa"/>
              <w:bottom w:w="80" w:type="dxa"/>
              <w:right w:w="80" w:type="dxa"/>
            </w:tcMar>
          </w:tcPr>
          <w:p>
            <w:pPr>
              <w:jc w:val="left"/>
            </w:pPr>
            <w:r>
              <w:rPr>
                <w:sz w:val="16"/>
              </w:rPr>
            </w:r>
            <w:r>
              <w:rPr>
                <w:b w:val="0"/>
                <w:sz w:val="16"/>
              </w:rPr>
              <w:t>Business-hours plus extended support as approved, Sev-2 escalation, runbook, dashboards, recovery procedure.</w:t>
            </w:r>
          </w:p>
        </w:tc>
      </w:tr>
      <w:tr>
        <w:tc>
          <w:tcPr>
            <w:tcW w:type="dxa" w:w="2304"/>
            <w:vAlign w:val="top"/>
            <w:tcMar>
              <w:top w:w="80" w:type="dxa"/>
              <w:left w:w="80" w:type="dxa"/>
              <w:bottom w:w="80" w:type="dxa"/>
              <w:right w:w="80" w:type="dxa"/>
            </w:tcMar>
          </w:tcPr>
          <w:p>
            <w:pPr>
              <w:jc w:val="left"/>
            </w:pPr>
            <w:r>
              <w:rPr>
                <w:sz w:val="16"/>
              </w:rPr>
            </w:r>
            <w:r>
              <w:rPr>
                <w:b w:val="0"/>
                <w:sz w:val="16"/>
              </w:rPr>
              <w:t>Tier 2 - Important</w:t>
            </w:r>
          </w:p>
        </w:tc>
        <w:tc>
          <w:tcPr>
            <w:tcW w:type="dxa" w:w="3600"/>
            <w:vAlign w:val="top"/>
            <w:tcMar>
              <w:top w:w="80" w:type="dxa"/>
              <w:left w:w="80" w:type="dxa"/>
              <w:bottom w:w="80" w:type="dxa"/>
              <w:right w:w="80" w:type="dxa"/>
            </w:tcMar>
          </w:tcPr>
          <w:p>
            <w:pPr>
              <w:jc w:val="left"/>
            </w:pPr>
            <w:r>
              <w:rPr>
                <w:sz w:val="16"/>
              </w:rPr>
            </w:r>
            <w:r>
              <w:rPr>
                <w:b w:val="0"/>
                <w:sz w:val="16"/>
              </w:rPr>
              <w:t>Support service or internal function with moderate impact.</w:t>
            </w:r>
          </w:p>
        </w:tc>
        <w:tc>
          <w:tcPr>
            <w:tcW w:type="dxa" w:w="4608"/>
            <w:vAlign w:val="top"/>
            <w:tcMar>
              <w:top w:w="80" w:type="dxa"/>
              <w:left w:w="80" w:type="dxa"/>
              <w:bottom w:w="80" w:type="dxa"/>
              <w:right w:w="80" w:type="dxa"/>
            </w:tcMar>
          </w:tcPr>
          <w:p>
            <w:pPr>
              <w:jc w:val="left"/>
            </w:pPr>
            <w:r>
              <w:rPr>
                <w:sz w:val="16"/>
              </w:rPr>
            </w:r>
            <w:r>
              <w:rPr>
                <w:b w:val="0"/>
                <w:sz w:val="16"/>
              </w:rPr>
              <w:t>Monitored during operating hours, standard incident process, documented owner and recovery path.</w:t>
            </w:r>
          </w:p>
        </w:tc>
      </w:tr>
      <w:tr>
        <w:tc>
          <w:tcPr>
            <w:tcW w:type="dxa" w:w="2304"/>
            <w:vAlign w:val="top"/>
            <w:tcMar>
              <w:top w:w="80" w:type="dxa"/>
              <w:left w:w="80" w:type="dxa"/>
              <w:bottom w:w="80" w:type="dxa"/>
              <w:right w:w="80" w:type="dxa"/>
            </w:tcMar>
          </w:tcPr>
          <w:p>
            <w:pPr>
              <w:jc w:val="left"/>
            </w:pPr>
            <w:r>
              <w:rPr>
                <w:sz w:val="16"/>
              </w:rPr>
            </w:r>
            <w:r>
              <w:rPr>
                <w:b w:val="0"/>
                <w:sz w:val="16"/>
              </w:rPr>
              <w:t>Tier 3 - Support</w:t>
            </w:r>
          </w:p>
        </w:tc>
        <w:tc>
          <w:tcPr>
            <w:tcW w:type="dxa" w:w="3600"/>
            <w:vAlign w:val="top"/>
            <w:tcMar>
              <w:top w:w="80" w:type="dxa"/>
              <w:left w:w="80" w:type="dxa"/>
              <w:bottom w:w="80" w:type="dxa"/>
              <w:right w:w="80" w:type="dxa"/>
            </w:tcMar>
          </w:tcPr>
          <w:p>
            <w:pPr>
              <w:jc w:val="left"/>
            </w:pPr>
            <w:r>
              <w:rPr>
                <w:sz w:val="16"/>
              </w:rPr>
            </w:r>
            <w:r>
              <w:rPr>
                <w:b w:val="0"/>
                <w:sz w:val="16"/>
              </w:rPr>
              <w:t>Non-critical reporting, admin, training, or non-production support component.</w:t>
            </w:r>
          </w:p>
        </w:tc>
        <w:tc>
          <w:tcPr>
            <w:tcW w:type="dxa" w:w="4608"/>
            <w:vAlign w:val="top"/>
            <w:tcMar>
              <w:top w:w="80" w:type="dxa"/>
              <w:left w:w="80" w:type="dxa"/>
              <w:bottom w:w="80" w:type="dxa"/>
              <w:right w:w="80" w:type="dxa"/>
            </w:tcMar>
          </w:tcPr>
          <w:p>
            <w:pPr>
              <w:jc w:val="left"/>
            </w:pPr>
            <w:r>
              <w:rPr>
                <w:sz w:val="16"/>
              </w:rPr>
            </w:r>
            <w:r>
              <w:rPr>
                <w:b w:val="0"/>
                <w:sz w:val="16"/>
              </w:rPr>
              <w:t>Ticketed support, best-effort SLO, documented evidence and owner.</w:t>
            </w:r>
          </w:p>
        </w:tc>
      </w:tr>
    </w:tbl>
    <w:p>
      <w:pPr>
        <w:pStyle w:val="Heading1"/>
        <w:spacing w:after="80" w:line="252" w:lineRule="auto"/>
      </w:pPr>
      <w:r>
        <w:t>6. SLA, SLO, SLI, Error Budget, and Service Review Model</w:t>
      </w:r>
    </w:p>
    <w:p>
      <w:pPr>
        <w:spacing w:after="80" w:line="252" w:lineRule="auto"/>
      </w:pPr>
      <w:r>
        <w:t>AIRA uses SLOs as engineering control targets and SLAs as business-facing commitments only after approval. Internal SLOs must exist before external SLA commitments are published.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6"/>
            <w:vAlign w:val="top"/>
            <w:shd w:fill="1F4E79"/>
            <w:tcMar>
              <w:top w:w="80" w:type="dxa"/>
              <w:left w:w="80" w:type="dxa"/>
              <w:bottom w:w="80" w:type="dxa"/>
              <w:right w:w="80" w:type="dxa"/>
            </w:tcMar>
          </w:tcPr>
          <w:p>
            <w:pPr>
              <w:jc w:val="left"/>
            </w:pPr>
            <w:r>
              <w:rPr>
                <w:b/>
                <w:color w:val="FFFFFF"/>
                <w:sz w:val="16"/>
              </w:rPr>
            </w:r>
            <w:r>
              <w:rPr>
                <w:b/>
                <w:color w:val="FFFFFF"/>
                <w:sz w:val="16"/>
              </w:rPr>
              <w:t>Term</w:t>
            </w:r>
          </w:p>
        </w:tc>
        <w:tc>
          <w:tcPr>
            <w:tcW w:type="dxa" w:w="4896"/>
            <w:vAlign w:val="top"/>
            <w:shd w:fill="1F4E79"/>
            <w:tcMar>
              <w:top w:w="80" w:type="dxa"/>
              <w:left w:w="80" w:type="dxa"/>
              <w:bottom w:w="80" w:type="dxa"/>
              <w:right w:w="80" w:type="dxa"/>
            </w:tcMar>
          </w:tcPr>
          <w:p>
            <w:pPr>
              <w:jc w:val="left"/>
            </w:pPr>
            <w:r>
              <w:rPr>
                <w:b/>
                <w:color w:val="FFFFFF"/>
                <w:sz w:val="16"/>
              </w:rPr>
            </w:r>
            <w:r>
              <w:rPr>
                <w:b/>
                <w:color w:val="FFFFFF"/>
                <w:sz w:val="16"/>
              </w:rPr>
              <w:t>AIRA Meaning</w:t>
            </w:r>
          </w:p>
        </w:tc>
        <w:tc>
          <w:tcPr>
            <w:tcW w:type="dxa" w:w="3456"/>
            <w:vAlign w:val="top"/>
            <w:shd w:fill="1F4E79"/>
            <w:tcMar>
              <w:top w:w="80" w:type="dxa"/>
              <w:left w:w="80" w:type="dxa"/>
              <w:bottom w:w="80" w:type="dxa"/>
              <w:right w:w="80" w:type="dxa"/>
            </w:tcMar>
          </w:tcPr>
          <w:p>
            <w:pPr>
              <w:jc w:val="left"/>
            </w:pPr>
            <w:r>
              <w:rPr>
                <w:b/>
                <w:color w:val="FFFFFF"/>
                <w:sz w:val="16"/>
              </w:rPr>
            </w:r>
            <w:r>
              <w:rPr>
                <w:b/>
                <w:color w:val="FFFFFF"/>
                <w:sz w:val="16"/>
              </w:rPr>
              <w:t>Example</w:t>
            </w:r>
          </w:p>
        </w:tc>
      </w:tr>
      <w:tr>
        <w:tc>
          <w:tcPr>
            <w:tcW w:type="dxa" w:w="2016"/>
            <w:vAlign w:val="top"/>
            <w:tcMar>
              <w:top w:w="80" w:type="dxa"/>
              <w:left w:w="80" w:type="dxa"/>
              <w:bottom w:w="80" w:type="dxa"/>
              <w:right w:w="80" w:type="dxa"/>
            </w:tcMar>
          </w:tcPr>
          <w:p>
            <w:pPr>
              <w:jc w:val="left"/>
            </w:pPr>
            <w:r>
              <w:rPr>
                <w:sz w:val="16"/>
              </w:rPr>
            </w:r>
            <w:r>
              <w:rPr>
                <w:b w:val="0"/>
                <w:sz w:val="16"/>
              </w:rPr>
              <w:t>SLA</w:t>
            </w:r>
          </w:p>
        </w:tc>
        <w:tc>
          <w:tcPr>
            <w:tcW w:type="dxa" w:w="4896"/>
            <w:vAlign w:val="top"/>
            <w:tcMar>
              <w:top w:w="80" w:type="dxa"/>
              <w:left w:w="80" w:type="dxa"/>
              <w:bottom w:w="80" w:type="dxa"/>
              <w:right w:w="80" w:type="dxa"/>
            </w:tcMar>
          </w:tcPr>
          <w:p>
            <w:pPr>
              <w:jc w:val="left"/>
            </w:pPr>
            <w:r>
              <w:rPr>
                <w:sz w:val="16"/>
              </w:rPr>
            </w:r>
            <w:r>
              <w:rPr>
                <w:b w:val="0"/>
                <w:sz w:val="16"/>
              </w:rPr>
              <w:t>Business-facing service commitment with escalation or reporting consequence.</w:t>
            </w:r>
          </w:p>
        </w:tc>
        <w:tc>
          <w:tcPr>
            <w:tcW w:type="dxa" w:w="3456"/>
            <w:vAlign w:val="top"/>
            <w:tcMar>
              <w:top w:w="80" w:type="dxa"/>
              <w:left w:w="80" w:type="dxa"/>
              <w:bottom w:w="80" w:type="dxa"/>
              <w:right w:w="80" w:type="dxa"/>
            </w:tcMar>
          </w:tcPr>
          <w:p>
            <w:pPr>
              <w:jc w:val="left"/>
            </w:pPr>
            <w:r>
              <w:rPr>
                <w:sz w:val="16"/>
              </w:rPr>
            </w:r>
            <w:r>
              <w:rPr>
                <w:b w:val="0"/>
                <w:sz w:val="16"/>
              </w:rPr>
              <w:t>UAT support response within agreed window; production Sev-1 response within target.</w:t>
            </w:r>
          </w:p>
        </w:tc>
      </w:tr>
      <w:tr>
        <w:tc>
          <w:tcPr>
            <w:tcW w:type="dxa" w:w="2016"/>
            <w:vAlign w:val="top"/>
            <w:tcMar>
              <w:top w:w="80" w:type="dxa"/>
              <w:left w:w="80" w:type="dxa"/>
              <w:bottom w:w="80" w:type="dxa"/>
              <w:right w:w="80" w:type="dxa"/>
            </w:tcMar>
          </w:tcPr>
          <w:p>
            <w:pPr>
              <w:jc w:val="left"/>
            </w:pPr>
            <w:r>
              <w:rPr>
                <w:sz w:val="16"/>
              </w:rPr>
            </w:r>
            <w:r>
              <w:rPr>
                <w:b w:val="0"/>
                <w:sz w:val="16"/>
              </w:rPr>
              <w:t>SLO</w:t>
            </w:r>
          </w:p>
        </w:tc>
        <w:tc>
          <w:tcPr>
            <w:tcW w:type="dxa" w:w="4896"/>
            <w:vAlign w:val="top"/>
            <w:tcMar>
              <w:top w:w="80" w:type="dxa"/>
              <w:left w:w="80" w:type="dxa"/>
              <w:bottom w:w="80" w:type="dxa"/>
              <w:right w:w="80" w:type="dxa"/>
            </w:tcMar>
          </w:tcPr>
          <w:p>
            <w:pPr>
              <w:jc w:val="left"/>
            </w:pPr>
            <w:r>
              <w:rPr>
                <w:sz w:val="16"/>
              </w:rPr>
            </w:r>
            <w:r>
              <w:rPr>
                <w:b w:val="0"/>
                <w:sz w:val="16"/>
              </w:rPr>
              <w:t>Internal reliability target used to manage service quality.</w:t>
            </w:r>
          </w:p>
        </w:tc>
        <w:tc>
          <w:tcPr>
            <w:tcW w:type="dxa" w:w="3456"/>
            <w:vAlign w:val="top"/>
            <w:tcMar>
              <w:top w:w="80" w:type="dxa"/>
              <w:left w:w="80" w:type="dxa"/>
              <w:bottom w:w="80" w:type="dxa"/>
              <w:right w:w="80" w:type="dxa"/>
            </w:tcMar>
          </w:tcPr>
          <w:p>
            <w:pPr>
              <w:jc w:val="left"/>
            </w:pPr>
            <w:r>
              <w:rPr>
                <w:sz w:val="16"/>
              </w:rPr>
            </w:r>
            <w:r>
              <w:rPr>
                <w:b w:val="0"/>
                <w:sz w:val="16"/>
              </w:rPr>
              <w:t>99.5% monthly API availability for critical business service.</w:t>
            </w:r>
          </w:p>
        </w:tc>
      </w:tr>
      <w:tr>
        <w:tc>
          <w:tcPr>
            <w:tcW w:type="dxa" w:w="2016"/>
            <w:vAlign w:val="top"/>
            <w:tcMar>
              <w:top w:w="80" w:type="dxa"/>
              <w:left w:w="80" w:type="dxa"/>
              <w:bottom w:w="80" w:type="dxa"/>
              <w:right w:w="80" w:type="dxa"/>
            </w:tcMar>
          </w:tcPr>
          <w:p>
            <w:pPr>
              <w:jc w:val="left"/>
            </w:pPr>
            <w:r>
              <w:rPr>
                <w:sz w:val="16"/>
              </w:rPr>
            </w:r>
            <w:r>
              <w:rPr>
                <w:b w:val="0"/>
                <w:sz w:val="16"/>
              </w:rPr>
              <w:t>SLI</w:t>
            </w:r>
          </w:p>
        </w:tc>
        <w:tc>
          <w:tcPr>
            <w:tcW w:type="dxa" w:w="4896"/>
            <w:vAlign w:val="top"/>
            <w:tcMar>
              <w:top w:w="80" w:type="dxa"/>
              <w:left w:w="80" w:type="dxa"/>
              <w:bottom w:w="80" w:type="dxa"/>
              <w:right w:w="80" w:type="dxa"/>
            </w:tcMar>
          </w:tcPr>
          <w:p>
            <w:pPr>
              <w:jc w:val="left"/>
            </w:pPr>
            <w:r>
              <w:rPr>
                <w:sz w:val="16"/>
              </w:rPr>
            </w:r>
            <w:r>
              <w:rPr>
                <w:b w:val="0"/>
                <w:sz w:val="16"/>
              </w:rPr>
              <w:t>Measured signal used to calculate SLO performance.</w:t>
            </w:r>
          </w:p>
        </w:tc>
        <w:tc>
          <w:tcPr>
            <w:tcW w:type="dxa" w:w="3456"/>
            <w:vAlign w:val="top"/>
            <w:tcMar>
              <w:top w:w="80" w:type="dxa"/>
              <w:left w:w="80" w:type="dxa"/>
              <w:bottom w:w="80" w:type="dxa"/>
              <w:right w:w="80" w:type="dxa"/>
            </w:tcMar>
          </w:tcPr>
          <w:p>
            <w:pPr>
              <w:jc w:val="left"/>
            </w:pPr>
            <w:r>
              <w:rPr>
                <w:sz w:val="16"/>
              </w:rPr>
            </w:r>
            <w:r>
              <w:rPr>
                <w:b w:val="0"/>
                <w:sz w:val="16"/>
              </w:rPr>
              <w:t>Request success rate, p95 latency, workflow completion rate, queue age, alert MTTA.</w:t>
            </w:r>
          </w:p>
        </w:tc>
      </w:tr>
      <w:tr>
        <w:tc>
          <w:tcPr>
            <w:tcW w:type="dxa" w:w="2016"/>
            <w:vAlign w:val="top"/>
            <w:tcMar>
              <w:top w:w="80" w:type="dxa"/>
              <w:left w:w="80" w:type="dxa"/>
              <w:bottom w:w="80" w:type="dxa"/>
              <w:right w:w="80" w:type="dxa"/>
            </w:tcMar>
          </w:tcPr>
          <w:p>
            <w:pPr>
              <w:jc w:val="left"/>
            </w:pPr>
            <w:r>
              <w:rPr>
                <w:sz w:val="16"/>
              </w:rPr>
            </w:r>
            <w:r>
              <w:rPr>
                <w:b w:val="0"/>
                <w:sz w:val="16"/>
              </w:rPr>
              <w:t>Error Budget</w:t>
            </w:r>
          </w:p>
        </w:tc>
        <w:tc>
          <w:tcPr>
            <w:tcW w:type="dxa" w:w="4896"/>
            <w:vAlign w:val="top"/>
            <w:tcMar>
              <w:top w:w="80" w:type="dxa"/>
              <w:left w:w="80" w:type="dxa"/>
              <w:bottom w:w="80" w:type="dxa"/>
              <w:right w:w="80" w:type="dxa"/>
            </w:tcMar>
          </w:tcPr>
          <w:p>
            <w:pPr>
              <w:jc w:val="left"/>
            </w:pPr>
            <w:r>
              <w:rPr>
                <w:sz w:val="16"/>
              </w:rPr>
            </w:r>
            <w:r>
              <w:rPr>
                <w:b w:val="0"/>
                <w:sz w:val="16"/>
              </w:rPr>
              <w:t>Allowed unreliability before reliability work overrides feature work.</w:t>
            </w:r>
          </w:p>
        </w:tc>
        <w:tc>
          <w:tcPr>
            <w:tcW w:type="dxa" w:w="3456"/>
            <w:vAlign w:val="top"/>
            <w:tcMar>
              <w:top w:w="80" w:type="dxa"/>
              <w:left w:w="80" w:type="dxa"/>
              <w:bottom w:w="80" w:type="dxa"/>
              <w:right w:w="80" w:type="dxa"/>
            </w:tcMar>
          </w:tcPr>
          <w:p>
            <w:pPr>
              <w:jc w:val="left"/>
            </w:pPr>
            <w:r>
              <w:rPr>
                <w:sz w:val="16"/>
              </w:rPr>
            </w:r>
            <w:r>
              <w:rPr>
                <w:b w:val="0"/>
                <w:sz w:val="16"/>
              </w:rPr>
              <w:t>If error budget is exhausted, new feature release pauses until stability improves.</w:t>
            </w:r>
          </w:p>
        </w:tc>
      </w:tr>
    </w:tbl>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vAlign w:val="top"/>
            <w:shd w:fill="1F4E79"/>
            <w:tcMar>
              <w:top w:w="80" w:type="dxa"/>
              <w:left w:w="80" w:type="dxa"/>
              <w:bottom w:w="80" w:type="dxa"/>
              <w:right w:w="80" w:type="dxa"/>
            </w:tcMar>
          </w:tcPr>
          <w:p>
            <w:pPr>
              <w:jc w:val="left"/>
            </w:pPr>
            <w:r>
              <w:rPr>
                <w:b/>
                <w:color w:val="FFFFFF"/>
                <w:sz w:val="16"/>
              </w:rPr>
            </w:r>
            <w:r>
              <w:rPr>
                <w:b/>
                <w:color w:val="FFFFFF"/>
                <w:sz w:val="16"/>
              </w:rPr>
              <w:t>Service Type</w:t>
            </w:r>
          </w:p>
        </w:tc>
        <w:tc>
          <w:tcPr>
            <w:tcW w:type="dxa" w:w="4896"/>
            <w:vAlign w:val="top"/>
            <w:shd w:fill="1F4E79"/>
            <w:tcMar>
              <w:top w:w="80" w:type="dxa"/>
              <w:left w:w="80" w:type="dxa"/>
              <w:bottom w:w="80" w:type="dxa"/>
              <w:right w:w="80" w:type="dxa"/>
            </w:tcMar>
          </w:tcPr>
          <w:p>
            <w:pPr>
              <w:jc w:val="left"/>
            </w:pPr>
            <w:r>
              <w:rPr>
                <w:b/>
                <w:color w:val="FFFFFF"/>
                <w:sz w:val="16"/>
              </w:rPr>
            </w:r>
            <w:r>
              <w:rPr>
                <w:b/>
                <w:color w:val="FFFFFF"/>
                <w:sz w:val="16"/>
              </w:rPr>
              <w:t>Recommended SLI</w:t>
            </w:r>
          </w:p>
        </w:tc>
        <w:tc>
          <w:tcPr>
            <w:tcW w:type="dxa" w:w="3312"/>
            <w:vAlign w:val="top"/>
            <w:shd w:fill="1F4E79"/>
            <w:tcMar>
              <w:top w:w="80" w:type="dxa"/>
              <w:left w:w="80" w:type="dxa"/>
              <w:bottom w:w="80" w:type="dxa"/>
              <w:right w:w="80" w:type="dxa"/>
            </w:tcMar>
          </w:tcPr>
          <w:p>
            <w:pPr>
              <w:jc w:val="left"/>
            </w:pPr>
            <w:r>
              <w:rPr>
                <w:b/>
                <w:color w:val="FFFFFF"/>
                <w:sz w:val="16"/>
              </w:rPr>
            </w:r>
            <w:r>
              <w:rPr>
                <w:b/>
                <w:color w:val="FFFFFF"/>
                <w:sz w:val="16"/>
              </w:rPr>
              <w:t>Initial Target Guidance</w:t>
            </w:r>
          </w:p>
        </w:tc>
      </w:tr>
      <w:tr>
        <w:tc>
          <w:tcPr>
            <w:tcW w:type="dxa" w:w="2304"/>
            <w:vAlign w:val="top"/>
            <w:tcMar>
              <w:top w:w="80" w:type="dxa"/>
              <w:left w:w="80" w:type="dxa"/>
              <w:bottom w:w="80" w:type="dxa"/>
              <w:right w:w="80" w:type="dxa"/>
            </w:tcMar>
          </w:tcPr>
          <w:p>
            <w:pPr>
              <w:jc w:val="left"/>
            </w:pPr>
            <w:r>
              <w:rPr>
                <w:sz w:val="16"/>
              </w:rPr>
            </w:r>
            <w:r>
              <w:rPr>
                <w:b w:val="0"/>
                <w:sz w:val="16"/>
              </w:rPr>
              <w:t>API Service</w:t>
            </w:r>
          </w:p>
        </w:tc>
        <w:tc>
          <w:tcPr>
            <w:tcW w:type="dxa" w:w="4896"/>
            <w:vAlign w:val="top"/>
            <w:tcMar>
              <w:top w:w="80" w:type="dxa"/>
              <w:left w:w="80" w:type="dxa"/>
              <w:bottom w:w="80" w:type="dxa"/>
              <w:right w:w="80" w:type="dxa"/>
            </w:tcMar>
          </w:tcPr>
          <w:p>
            <w:pPr>
              <w:jc w:val="left"/>
            </w:pPr>
            <w:r>
              <w:rPr>
                <w:sz w:val="16"/>
              </w:rPr>
            </w:r>
            <w:r>
              <w:rPr>
                <w:b w:val="0"/>
                <w:sz w:val="16"/>
              </w:rPr>
              <w:t>availability, p95 latency, 5xx rate, auth denial rate, request throughput</w:t>
            </w:r>
          </w:p>
        </w:tc>
        <w:tc>
          <w:tcPr>
            <w:tcW w:type="dxa" w:w="3312"/>
            <w:vAlign w:val="top"/>
            <w:tcMar>
              <w:top w:w="80" w:type="dxa"/>
              <w:left w:w="80" w:type="dxa"/>
              <w:bottom w:w="80" w:type="dxa"/>
              <w:right w:w="80" w:type="dxa"/>
            </w:tcMar>
          </w:tcPr>
          <w:p>
            <w:pPr>
              <w:jc w:val="left"/>
            </w:pPr>
            <w:r>
              <w:rPr>
                <w:sz w:val="16"/>
              </w:rPr>
            </w:r>
            <w:r>
              <w:rPr>
                <w:b w:val="0"/>
                <w:sz w:val="16"/>
              </w:rPr>
              <w:t>Set DEV/UAT baseline first; production target approved after pilot data.</w:t>
            </w:r>
          </w:p>
        </w:tc>
      </w:tr>
      <w:tr>
        <w:tc>
          <w:tcPr>
            <w:tcW w:type="dxa" w:w="2304"/>
            <w:vAlign w:val="top"/>
            <w:tcMar>
              <w:top w:w="80" w:type="dxa"/>
              <w:left w:w="80" w:type="dxa"/>
              <w:bottom w:w="80" w:type="dxa"/>
              <w:right w:w="80" w:type="dxa"/>
            </w:tcMar>
          </w:tcPr>
          <w:p>
            <w:pPr>
              <w:jc w:val="left"/>
            </w:pPr>
            <w:r>
              <w:rPr>
                <w:sz w:val="16"/>
              </w:rPr>
            </w:r>
            <w:r>
              <w:rPr>
                <w:b w:val="0"/>
                <w:sz w:val="16"/>
              </w:rPr>
              <w:t>Workflow Service</w:t>
            </w:r>
          </w:p>
        </w:tc>
        <w:tc>
          <w:tcPr>
            <w:tcW w:type="dxa" w:w="4896"/>
            <w:vAlign w:val="top"/>
            <w:tcMar>
              <w:top w:w="80" w:type="dxa"/>
              <w:left w:w="80" w:type="dxa"/>
              <w:bottom w:w="80" w:type="dxa"/>
              <w:right w:w="80" w:type="dxa"/>
            </w:tcMar>
          </w:tcPr>
          <w:p>
            <w:pPr>
              <w:jc w:val="left"/>
            </w:pPr>
            <w:r>
              <w:rPr>
                <w:sz w:val="16"/>
              </w:rPr>
            </w:r>
            <w:r>
              <w:rPr>
                <w:b w:val="0"/>
                <w:sz w:val="16"/>
              </w:rPr>
              <w:t>workflow success rate, stuck workflow count, task age, compensation rate</w:t>
            </w:r>
          </w:p>
        </w:tc>
        <w:tc>
          <w:tcPr>
            <w:tcW w:type="dxa" w:w="3312"/>
            <w:vAlign w:val="top"/>
            <w:tcMar>
              <w:top w:w="80" w:type="dxa"/>
              <w:left w:w="80" w:type="dxa"/>
              <w:bottom w:w="80" w:type="dxa"/>
              <w:right w:w="80" w:type="dxa"/>
            </w:tcMar>
          </w:tcPr>
          <w:p>
            <w:pPr>
              <w:jc w:val="left"/>
            </w:pPr>
            <w:r>
              <w:rPr>
                <w:sz w:val="16"/>
              </w:rPr>
            </w:r>
            <w:r>
              <w:rPr>
                <w:b w:val="0"/>
                <w:sz w:val="16"/>
              </w:rPr>
              <w:t>Alert on stuck workflows and SLA timer breach.</w:t>
            </w:r>
          </w:p>
        </w:tc>
      </w:tr>
      <w:tr>
        <w:tc>
          <w:tcPr>
            <w:tcW w:type="dxa" w:w="2304"/>
            <w:vAlign w:val="top"/>
            <w:tcMar>
              <w:top w:w="80" w:type="dxa"/>
              <w:left w:w="80" w:type="dxa"/>
              <w:bottom w:w="80" w:type="dxa"/>
              <w:right w:w="80" w:type="dxa"/>
            </w:tcMar>
          </w:tcPr>
          <w:p>
            <w:pPr>
              <w:jc w:val="left"/>
            </w:pPr>
            <w:r>
              <w:rPr>
                <w:sz w:val="16"/>
              </w:rPr>
            </w:r>
            <w:r>
              <w:rPr>
                <w:b w:val="0"/>
                <w:sz w:val="16"/>
              </w:rPr>
              <w:t>Document Intake</w:t>
            </w:r>
          </w:p>
        </w:tc>
        <w:tc>
          <w:tcPr>
            <w:tcW w:type="dxa" w:w="4896"/>
            <w:vAlign w:val="top"/>
            <w:tcMar>
              <w:top w:w="80" w:type="dxa"/>
              <w:left w:w="80" w:type="dxa"/>
              <w:bottom w:w="80" w:type="dxa"/>
              <w:right w:w="80" w:type="dxa"/>
            </w:tcMar>
          </w:tcPr>
          <w:p>
            <w:pPr>
              <w:jc w:val="left"/>
            </w:pPr>
            <w:r>
              <w:rPr>
                <w:sz w:val="16"/>
              </w:rPr>
            </w:r>
            <w:r>
              <w:rPr>
                <w:b w:val="0"/>
                <w:sz w:val="16"/>
              </w:rPr>
              <w:t>upload success rate, malware scan completion, registry creation, orphan record count</w:t>
            </w:r>
          </w:p>
        </w:tc>
        <w:tc>
          <w:tcPr>
            <w:tcW w:type="dxa" w:w="3312"/>
            <w:vAlign w:val="top"/>
            <w:tcMar>
              <w:top w:w="80" w:type="dxa"/>
              <w:left w:w="80" w:type="dxa"/>
              <w:bottom w:w="80" w:type="dxa"/>
              <w:right w:w="80" w:type="dxa"/>
            </w:tcMar>
          </w:tcPr>
          <w:p>
            <w:pPr>
              <w:jc w:val="left"/>
            </w:pPr>
            <w:r>
              <w:rPr>
                <w:sz w:val="16"/>
              </w:rPr>
            </w:r>
            <w:r>
              <w:rPr>
                <w:b w:val="0"/>
                <w:sz w:val="16"/>
              </w:rPr>
              <w:t>Zero orphan records as reliability objective.</w:t>
            </w:r>
          </w:p>
        </w:tc>
      </w:tr>
      <w:tr>
        <w:tc>
          <w:tcPr>
            <w:tcW w:type="dxa" w:w="2304"/>
            <w:vAlign w:val="top"/>
            <w:tcMar>
              <w:top w:w="80" w:type="dxa"/>
              <w:left w:w="80" w:type="dxa"/>
              <w:bottom w:w="80" w:type="dxa"/>
              <w:right w:w="80" w:type="dxa"/>
            </w:tcMar>
          </w:tcPr>
          <w:p>
            <w:pPr>
              <w:jc w:val="left"/>
            </w:pPr>
            <w:r>
              <w:rPr>
                <w:sz w:val="16"/>
              </w:rPr>
            </w:r>
            <w:r>
              <w:rPr>
                <w:b w:val="0"/>
                <w:sz w:val="16"/>
              </w:rPr>
              <w:t>AI Orchestration</w:t>
            </w:r>
          </w:p>
        </w:tc>
        <w:tc>
          <w:tcPr>
            <w:tcW w:type="dxa" w:w="4896"/>
            <w:vAlign w:val="top"/>
            <w:tcMar>
              <w:top w:w="80" w:type="dxa"/>
              <w:left w:w="80" w:type="dxa"/>
              <w:bottom w:w="80" w:type="dxa"/>
              <w:right w:w="80" w:type="dxa"/>
            </w:tcMar>
          </w:tcPr>
          <w:p>
            <w:pPr>
              <w:jc w:val="left"/>
            </w:pPr>
            <w:r>
              <w:rPr>
                <w:sz w:val="16"/>
              </w:rPr>
            </w:r>
            <w:r>
              <w:rPr>
                <w:b w:val="0"/>
                <w:sz w:val="16"/>
              </w:rPr>
              <w:t>guardrail pass/block rate, model route success, grounded answer rate, token/cost budget</w:t>
            </w:r>
          </w:p>
        </w:tc>
        <w:tc>
          <w:tcPr>
            <w:tcW w:type="dxa" w:w="3312"/>
            <w:vAlign w:val="top"/>
            <w:tcMar>
              <w:top w:w="80" w:type="dxa"/>
              <w:left w:w="80" w:type="dxa"/>
              <w:bottom w:w="80" w:type="dxa"/>
              <w:right w:w="80" w:type="dxa"/>
            </w:tcMar>
          </w:tcPr>
          <w:p>
            <w:pPr>
              <w:jc w:val="left"/>
            </w:pPr>
            <w:r>
              <w:rPr>
                <w:sz w:val="16"/>
              </w:rPr>
            </w:r>
            <w:r>
              <w:rPr>
                <w:b w:val="0"/>
                <w:sz w:val="16"/>
              </w:rPr>
              <w:t>Fail closed on unknown classification or route policy.</w:t>
            </w:r>
          </w:p>
        </w:tc>
      </w:tr>
      <w:tr>
        <w:tc>
          <w:tcPr>
            <w:tcW w:type="dxa" w:w="2304"/>
            <w:vAlign w:val="top"/>
            <w:tcMar>
              <w:top w:w="80" w:type="dxa"/>
              <w:left w:w="80" w:type="dxa"/>
              <w:bottom w:w="80" w:type="dxa"/>
              <w:right w:w="80" w:type="dxa"/>
            </w:tcMar>
          </w:tcPr>
          <w:p>
            <w:pPr>
              <w:jc w:val="left"/>
            </w:pPr>
            <w:r>
              <w:rPr>
                <w:sz w:val="16"/>
              </w:rPr>
            </w:r>
            <w:r>
              <w:rPr>
                <w:b w:val="0"/>
                <w:sz w:val="16"/>
              </w:rPr>
              <w:t>Data Service</w:t>
            </w:r>
          </w:p>
        </w:tc>
        <w:tc>
          <w:tcPr>
            <w:tcW w:type="dxa" w:w="4896"/>
            <w:vAlign w:val="top"/>
            <w:tcMar>
              <w:top w:w="80" w:type="dxa"/>
              <w:left w:w="80" w:type="dxa"/>
              <w:bottom w:w="80" w:type="dxa"/>
              <w:right w:w="80" w:type="dxa"/>
            </w:tcMar>
          </w:tcPr>
          <w:p>
            <w:pPr>
              <w:jc w:val="left"/>
            </w:pPr>
            <w:r>
              <w:rPr>
                <w:sz w:val="16"/>
              </w:rPr>
            </w:r>
            <w:r>
              <w:rPr>
                <w:b w:val="0"/>
                <w:sz w:val="16"/>
              </w:rPr>
              <w:t>migration status, connection saturation, replication health, query latency, backup status</w:t>
            </w:r>
          </w:p>
        </w:tc>
        <w:tc>
          <w:tcPr>
            <w:tcW w:type="dxa" w:w="3312"/>
            <w:vAlign w:val="top"/>
            <w:tcMar>
              <w:top w:w="80" w:type="dxa"/>
              <w:left w:w="80" w:type="dxa"/>
              <w:bottom w:w="80" w:type="dxa"/>
              <w:right w:w="80" w:type="dxa"/>
            </w:tcMar>
          </w:tcPr>
          <w:p>
            <w:pPr>
              <w:jc w:val="left"/>
            </w:pPr>
            <w:r>
              <w:rPr>
                <w:sz w:val="16"/>
              </w:rPr>
            </w:r>
            <w:r>
              <w:rPr>
                <w:b w:val="0"/>
                <w:sz w:val="16"/>
              </w:rPr>
              <w:t>No production change without backup/restore validation evidence.</w:t>
            </w:r>
          </w:p>
        </w:tc>
      </w:tr>
      <w:tr>
        <w:tc>
          <w:tcPr>
            <w:tcW w:type="dxa" w:w="2304"/>
            <w:vAlign w:val="top"/>
            <w:tcMar>
              <w:top w:w="80" w:type="dxa"/>
              <w:left w:w="80" w:type="dxa"/>
              <w:bottom w:w="80" w:type="dxa"/>
              <w:right w:w="80" w:type="dxa"/>
            </w:tcMar>
          </w:tcPr>
          <w:p>
            <w:pPr>
              <w:jc w:val="left"/>
            </w:pPr>
            <w:r>
              <w:rPr>
                <w:sz w:val="16"/>
              </w:rPr>
            </w:r>
            <w:r>
              <w:rPr>
                <w:b w:val="0"/>
                <w:sz w:val="16"/>
              </w:rPr>
              <w:t>Security Operations</w:t>
            </w:r>
          </w:p>
        </w:tc>
        <w:tc>
          <w:tcPr>
            <w:tcW w:type="dxa" w:w="4896"/>
            <w:vAlign w:val="top"/>
            <w:tcMar>
              <w:top w:w="80" w:type="dxa"/>
              <w:left w:w="80" w:type="dxa"/>
              <w:bottom w:w="80" w:type="dxa"/>
              <w:right w:w="80" w:type="dxa"/>
            </w:tcMar>
          </w:tcPr>
          <w:p>
            <w:pPr>
              <w:jc w:val="left"/>
            </w:pPr>
            <w:r>
              <w:rPr>
                <w:sz w:val="16"/>
              </w:rPr>
            </w:r>
            <w:r>
              <w:rPr>
                <w:b w:val="0"/>
                <w:sz w:val="16"/>
              </w:rPr>
              <w:t>alert triage age, case closure time, critical finding SLA, false positive trend</w:t>
            </w:r>
          </w:p>
        </w:tc>
        <w:tc>
          <w:tcPr>
            <w:tcW w:type="dxa" w:w="3312"/>
            <w:vAlign w:val="top"/>
            <w:tcMar>
              <w:top w:w="80" w:type="dxa"/>
              <w:left w:w="80" w:type="dxa"/>
              <w:bottom w:w="80" w:type="dxa"/>
              <w:right w:w="80" w:type="dxa"/>
            </w:tcMar>
          </w:tcPr>
          <w:p>
            <w:pPr>
              <w:jc w:val="left"/>
            </w:pPr>
            <w:r>
              <w:rPr>
                <w:sz w:val="16"/>
              </w:rPr>
            </w:r>
            <w:r>
              <w:rPr>
                <w:b w:val="0"/>
                <w:sz w:val="16"/>
              </w:rPr>
              <w:t>Wazuh/TheHive/Cortex metrics reported in security review.</w:t>
            </w:r>
          </w:p>
        </w:tc>
      </w:tr>
    </w:tbl>
    <w:tbl>
      <w:tblPr>
        <w:tblW w:type="auto" w:w="0"/>
        <w:jc w:val="center"/>
        <w:tblLook w:firstColumn="1" w:firstRow="1" w:lastColumn="0" w:lastRow="0" w:noHBand="0" w:noVBand="1" w:val="04A0"/>
      </w:tblPr>
      <w:tblGrid>
        <w:gridCol w:w="10656"/>
      </w:tblGrid>
      <w:tr>
        <w:tc>
          <w:tcPr>
            <w:tcW w:type="dxa" w:w="10656"/>
            <w:shd w:fill="FCE4D6"/>
            <w:tcMar>
              <w:top w:w="80" w:type="dxa"/>
              <w:left w:w="80" w:type="dxa"/>
              <w:bottom w:w="80" w:type="dxa"/>
              <w:right w:w="80" w:type="dxa"/>
            </w:tcMar>
          </w:tcPr>
          <w:p>
            <w:pPr>
              <w:jc w:val="left"/>
            </w:pPr>
            <w:r>
              <w:rPr>
                <w:b/>
                <w:color w:val="1F3B60"/>
                <w:sz w:val="20"/>
              </w:rPr>
              <w:t>Error Budget Rule</w:t>
              <w:br/>
            </w:r>
            <w:r>
              <w:rPr>
                <w:color w:val="202020"/>
                <w:sz w:val="18"/>
              </w:rPr>
              <w:t>When a Tier 0 or Tier 1 service exhausts its approved error budget, feature delivery for that service is paused or restricted until the service owner, SRE lead, and Architecture/CAB authority approve recovery actions.</w:t>
            </w:r>
          </w:p>
        </w:tc>
      </w:tr>
    </w:tbl>
    <w:p>
      <w:pPr>
        <w:pStyle w:val="Heading1"/>
        <w:spacing w:after="80" w:line="252" w:lineRule="auto"/>
      </w:pPr>
      <w:r>
        <w:t>7. Zammad ITSM and Service Management Workflow</w:t>
      </w:r>
    </w:p>
    <w:p>
      <w:pPr>
        <w:spacing w:after="80" w:line="252" w:lineRule="auto"/>
      </w:pPr>
      <w:r>
        <w:t>Zammad is the default operational system of record for AIRA service work. It captures requests, incidents, problems, change references, support communication, ownership, status, severity, SLA timers, and evidence references.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6"/>
            <w:vAlign w:val="top"/>
            <w:shd w:fill="1F4E79"/>
            <w:tcMar>
              <w:top w:w="80" w:type="dxa"/>
              <w:left w:w="80" w:type="dxa"/>
              <w:bottom w:w="80" w:type="dxa"/>
              <w:right w:w="80" w:type="dxa"/>
            </w:tcMar>
          </w:tcPr>
          <w:p>
            <w:pPr>
              <w:jc w:val="left"/>
            </w:pPr>
            <w:r>
              <w:rPr>
                <w:b/>
                <w:color w:val="FFFFFF"/>
                <w:sz w:val="16"/>
              </w:rPr>
            </w:r>
            <w:r>
              <w:rPr>
                <w:b/>
                <w:color w:val="FFFFFF"/>
                <w:sz w:val="16"/>
              </w:rPr>
              <w:t>Ticket Type</w:t>
            </w:r>
          </w:p>
        </w:tc>
        <w:tc>
          <w:tcPr>
            <w:tcW w:type="dxa" w:w="4608"/>
            <w:vAlign w:val="top"/>
            <w:shd w:fill="1F4E79"/>
            <w:tcMar>
              <w:top w:w="80" w:type="dxa"/>
              <w:left w:w="80" w:type="dxa"/>
              <w:bottom w:w="80" w:type="dxa"/>
              <w:right w:w="80" w:type="dxa"/>
            </w:tcMar>
          </w:tcPr>
          <w:p>
            <w:pPr>
              <w:jc w:val="left"/>
            </w:pPr>
            <w:r>
              <w:rPr>
                <w:b/>
                <w:color w:val="FFFFFF"/>
                <w:sz w:val="16"/>
              </w:rPr>
            </w:r>
            <w:r>
              <w:rPr>
                <w:b/>
                <w:color w:val="FFFFFF"/>
                <w:sz w:val="16"/>
              </w:rPr>
              <w:t>Used For</w:t>
            </w:r>
          </w:p>
        </w:tc>
        <w:tc>
          <w:tcPr>
            <w:tcW w:type="dxa" w:w="3888"/>
            <w:vAlign w:val="top"/>
            <w:shd w:fill="1F4E79"/>
            <w:tcMar>
              <w:top w:w="80" w:type="dxa"/>
              <w:left w:w="80" w:type="dxa"/>
              <w:bottom w:w="80" w:type="dxa"/>
              <w:right w:w="80" w:type="dxa"/>
            </w:tcMar>
          </w:tcPr>
          <w:p>
            <w:pPr>
              <w:jc w:val="left"/>
            </w:pPr>
            <w:r>
              <w:rPr>
                <w:b/>
                <w:color w:val="FFFFFF"/>
                <w:sz w:val="16"/>
              </w:rPr>
            </w:r>
            <w:r>
              <w:rPr>
                <w:b/>
                <w:color w:val="FFFFFF"/>
                <w:sz w:val="16"/>
              </w:rPr>
              <w:t>Required Evidence</w:t>
            </w:r>
          </w:p>
        </w:tc>
      </w:tr>
      <w:tr>
        <w:tc>
          <w:tcPr>
            <w:tcW w:type="dxa" w:w="2016"/>
            <w:vAlign w:val="top"/>
            <w:tcMar>
              <w:top w:w="80" w:type="dxa"/>
              <w:left w:w="80" w:type="dxa"/>
              <w:bottom w:w="80" w:type="dxa"/>
              <w:right w:w="80" w:type="dxa"/>
            </w:tcMar>
          </w:tcPr>
          <w:p>
            <w:pPr>
              <w:jc w:val="left"/>
            </w:pPr>
            <w:r>
              <w:rPr>
                <w:sz w:val="16"/>
              </w:rPr>
            </w:r>
            <w:r>
              <w:rPr>
                <w:b w:val="0"/>
                <w:sz w:val="16"/>
              </w:rPr>
              <w:t>Service Request</w:t>
            </w:r>
          </w:p>
        </w:tc>
        <w:tc>
          <w:tcPr>
            <w:tcW w:type="dxa" w:w="4608"/>
            <w:vAlign w:val="top"/>
            <w:tcMar>
              <w:top w:w="80" w:type="dxa"/>
              <w:left w:w="80" w:type="dxa"/>
              <w:bottom w:w="80" w:type="dxa"/>
              <w:right w:w="80" w:type="dxa"/>
            </w:tcMar>
          </w:tcPr>
          <w:p>
            <w:pPr>
              <w:jc w:val="left"/>
            </w:pPr>
            <w:r>
              <w:rPr>
                <w:sz w:val="16"/>
              </w:rPr>
            </w:r>
            <w:r>
              <w:rPr>
                <w:b w:val="0"/>
                <w:sz w:val="16"/>
              </w:rPr>
              <w:t>Standard access, information, configuration, training, non-break/fix request.</w:t>
            </w:r>
          </w:p>
        </w:tc>
        <w:tc>
          <w:tcPr>
            <w:tcW w:type="dxa" w:w="3888"/>
            <w:vAlign w:val="top"/>
            <w:tcMar>
              <w:top w:w="80" w:type="dxa"/>
              <w:left w:w="80" w:type="dxa"/>
              <w:bottom w:w="80" w:type="dxa"/>
              <w:right w:w="80" w:type="dxa"/>
            </w:tcMar>
          </w:tcPr>
          <w:p>
            <w:pPr>
              <w:jc w:val="left"/>
            </w:pPr>
            <w:r>
              <w:rPr>
                <w:sz w:val="16"/>
              </w:rPr>
            </w:r>
            <w:r>
              <w:rPr>
                <w:b w:val="0"/>
                <w:sz w:val="16"/>
              </w:rPr>
              <w:t>Requester, service, approval if needed, fulfillment evidence, closure note.</w:t>
            </w:r>
          </w:p>
        </w:tc>
      </w:tr>
      <w:tr>
        <w:tc>
          <w:tcPr>
            <w:tcW w:type="dxa" w:w="2016"/>
            <w:vAlign w:val="top"/>
            <w:tcMar>
              <w:top w:w="80" w:type="dxa"/>
              <w:left w:w="80" w:type="dxa"/>
              <w:bottom w:w="80" w:type="dxa"/>
              <w:right w:w="80" w:type="dxa"/>
            </w:tcMar>
          </w:tcPr>
          <w:p>
            <w:pPr>
              <w:jc w:val="left"/>
            </w:pPr>
            <w:r>
              <w:rPr>
                <w:sz w:val="16"/>
              </w:rPr>
            </w:r>
            <w:r>
              <w:rPr>
                <w:b w:val="0"/>
                <w:sz w:val="16"/>
              </w:rPr>
              <w:t>Incident</w:t>
            </w:r>
          </w:p>
        </w:tc>
        <w:tc>
          <w:tcPr>
            <w:tcW w:type="dxa" w:w="4608"/>
            <w:vAlign w:val="top"/>
            <w:tcMar>
              <w:top w:w="80" w:type="dxa"/>
              <w:left w:w="80" w:type="dxa"/>
              <w:bottom w:w="80" w:type="dxa"/>
              <w:right w:w="80" w:type="dxa"/>
            </w:tcMar>
          </w:tcPr>
          <w:p>
            <w:pPr>
              <w:jc w:val="left"/>
            </w:pPr>
            <w:r>
              <w:rPr>
                <w:sz w:val="16"/>
              </w:rPr>
            </w:r>
            <w:r>
              <w:rPr>
                <w:b w:val="0"/>
                <w:sz w:val="16"/>
              </w:rPr>
              <w:t>Unplanned service interruption, degradation, failed job, user-impacting defect, security-relevant alert.</w:t>
            </w:r>
          </w:p>
        </w:tc>
        <w:tc>
          <w:tcPr>
            <w:tcW w:type="dxa" w:w="3888"/>
            <w:vAlign w:val="top"/>
            <w:tcMar>
              <w:top w:w="80" w:type="dxa"/>
              <w:left w:w="80" w:type="dxa"/>
              <w:bottom w:w="80" w:type="dxa"/>
              <w:right w:w="80" w:type="dxa"/>
            </w:tcMar>
          </w:tcPr>
          <w:p>
            <w:pPr>
              <w:jc w:val="left"/>
            </w:pPr>
            <w:r>
              <w:rPr>
                <w:sz w:val="16"/>
              </w:rPr>
            </w:r>
            <w:r>
              <w:rPr>
                <w:b w:val="0"/>
                <w:sz w:val="16"/>
              </w:rPr>
              <w:t>Impact, severity, affected service, timeline, mitigation, evidence path, closure validation.</w:t>
            </w:r>
          </w:p>
        </w:tc>
      </w:tr>
      <w:tr>
        <w:tc>
          <w:tcPr>
            <w:tcW w:type="dxa" w:w="2016"/>
            <w:vAlign w:val="top"/>
            <w:tcMar>
              <w:top w:w="80" w:type="dxa"/>
              <w:left w:w="80" w:type="dxa"/>
              <w:bottom w:w="80" w:type="dxa"/>
              <w:right w:w="80" w:type="dxa"/>
            </w:tcMar>
          </w:tcPr>
          <w:p>
            <w:pPr>
              <w:jc w:val="left"/>
            </w:pPr>
            <w:r>
              <w:rPr>
                <w:sz w:val="16"/>
              </w:rPr>
            </w:r>
            <w:r>
              <w:rPr>
                <w:b w:val="0"/>
                <w:sz w:val="16"/>
              </w:rPr>
              <w:t>Major Incident</w:t>
            </w:r>
          </w:p>
        </w:tc>
        <w:tc>
          <w:tcPr>
            <w:tcW w:type="dxa" w:w="4608"/>
            <w:vAlign w:val="top"/>
            <w:tcMar>
              <w:top w:w="80" w:type="dxa"/>
              <w:left w:w="80" w:type="dxa"/>
              <w:bottom w:w="80" w:type="dxa"/>
              <w:right w:w="80" w:type="dxa"/>
            </w:tcMar>
          </w:tcPr>
          <w:p>
            <w:pPr>
              <w:jc w:val="left"/>
            </w:pPr>
            <w:r>
              <w:rPr>
                <w:sz w:val="16"/>
              </w:rPr>
            </w:r>
            <w:r>
              <w:rPr>
                <w:b w:val="0"/>
                <w:sz w:val="16"/>
              </w:rPr>
              <w:t>Sev-1 or high-impact Sev-2 affecting critical service, security, compliance, or business operation.</w:t>
            </w:r>
          </w:p>
        </w:tc>
        <w:tc>
          <w:tcPr>
            <w:tcW w:type="dxa" w:w="3888"/>
            <w:vAlign w:val="top"/>
            <w:tcMar>
              <w:top w:w="80" w:type="dxa"/>
              <w:left w:w="80" w:type="dxa"/>
              <w:bottom w:w="80" w:type="dxa"/>
              <w:right w:w="80" w:type="dxa"/>
            </w:tcMar>
          </w:tcPr>
          <w:p>
            <w:pPr>
              <w:jc w:val="left"/>
            </w:pPr>
            <w:r>
              <w:rPr>
                <w:sz w:val="16"/>
              </w:rPr>
            </w:r>
            <w:r>
              <w:rPr>
                <w:b w:val="0"/>
                <w:sz w:val="16"/>
              </w:rPr>
              <w:t>War-room timeline, owner, executive updates, RCA, CAB/change links, post-incident review.</w:t>
            </w:r>
          </w:p>
        </w:tc>
      </w:tr>
      <w:tr>
        <w:tc>
          <w:tcPr>
            <w:tcW w:type="dxa" w:w="2016"/>
            <w:vAlign w:val="top"/>
            <w:tcMar>
              <w:top w:w="80" w:type="dxa"/>
              <w:left w:w="80" w:type="dxa"/>
              <w:bottom w:w="80" w:type="dxa"/>
              <w:right w:w="80" w:type="dxa"/>
            </w:tcMar>
          </w:tcPr>
          <w:p>
            <w:pPr>
              <w:jc w:val="left"/>
            </w:pPr>
            <w:r>
              <w:rPr>
                <w:sz w:val="16"/>
              </w:rPr>
            </w:r>
            <w:r>
              <w:rPr>
                <w:b w:val="0"/>
                <w:sz w:val="16"/>
              </w:rPr>
              <w:t>Problem</w:t>
            </w:r>
          </w:p>
        </w:tc>
        <w:tc>
          <w:tcPr>
            <w:tcW w:type="dxa" w:w="4608"/>
            <w:vAlign w:val="top"/>
            <w:tcMar>
              <w:top w:w="80" w:type="dxa"/>
              <w:left w:w="80" w:type="dxa"/>
              <w:bottom w:w="80" w:type="dxa"/>
              <w:right w:w="80" w:type="dxa"/>
            </w:tcMar>
          </w:tcPr>
          <w:p>
            <w:pPr>
              <w:jc w:val="left"/>
            </w:pPr>
            <w:r>
              <w:rPr>
                <w:sz w:val="16"/>
              </w:rPr>
            </w:r>
            <w:r>
              <w:rPr>
                <w:b w:val="0"/>
                <w:sz w:val="16"/>
              </w:rPr>
              <w:t>Underlying cause of one or more incidents or recurring failure pattern.</w:t>
            </w:r>
          </w:p>
        </w:tc>
        <w:tc>
          <w:tcPr>
            <w:tcW w:type="dxa" w:w="3888"/>
            <w:vAlign w:val="top"/>
            <w:tcMar>
              <w:top w:w="80" w:type="dxa"/>
              <w:left w:w="80" w:type="dxa"/>
              <w:bottom w:w="80" w:type="dxa"/>
              <w:right w:w="80" w:type="dxa"/>
            </w:tcMar>
          </w:tcPr>
          <w:p>
            <w:pPr>
              <w:jc w:val="left"/>
            </w:pPr>
            <w:r>
              <w:rPr>
                <w:sz w:val="16"/>
              </w:rPr>
            </w:r>
            <w:r>
              <w:rPr>
                <w:b w:val="0"/>
                <w:sz w:val="16"/>
              </w:rPr>
              <w:t>RCA, known error record, workaround, permanent fix, backlog item, improvement owner.</w:t>
            </w:r>
          </w:p>
        </w:tc>
      </w:tr>
      <w:tr>
        <w:tc>
          <w:tcPr>
            <w:tcW w:type="dxa" w:w="2016"/>
            <w:vAlign w:val="top"/>
            <w:tcMar>
              <w:top w:w="80" w:type="dxa"/>
              <w:left w:w="80" w:type="dxa"/>
              <w:bottom w:w="80" w:type="dxa"/>
              <w:right w:w="80" w:type="dxa"/>
            </w:tcMar>
          </w:tcPr>
          <w:p>
            <w:pPr>
              <w:jc w:val="left"/>
            </w:pPr>
            <w:r>
              <w:rPr>
                <w:sz w:val="16"/>
              </w:rPr>
            </w:r>
            <w:r>
              <w:rPr>
                <w:b w:val="0"/>
                <w:sz w:val="16"/>
              </w:rPr>
              <w:t>Change Reference</w:t>
            </w:r>
          </w:p>
        </w:tc>
        <w:tc>
          <w:tcPr>
            <w:tcW w:type="dxa" w:w="4608"/>
            <w:vAlign w:val="top"/>
            <w:tcMar>
              <w:top w:w="80" w:type="dxa"/>
              <w:left w:w="80" w:type="dxa"/>
              <w:bottom w:w="80" w:type="dxa"/>
              <w:right w:w="80" w:type="dxa"/>
            </w:tcMar>
          </w:tcPr>
          <w:p>
            <w:pPr>
              <w:jc w:val="left"/>
            </w:pPr>
            <w:r>
              <w:rPr>
                <w:sz w:val="16"/>
              </w:rPr>
            </w:r>
            <w:r>
              <w:rPr>
                <w:b w:val="0"/>
                <w:sz w:val="16"/>
              </w:rPr>
              <w:t>Operational work linked to CAB-approved change.</w:t>
            </w:r>
          </w:p>
        </w:tc>
        <w:tc>
          <w:tcPr>
            <w:tcW w:type="dxa" w:w="3888"/>
            <w:vAlign w:val="top"/>
            <w:tcMar>
              <w:top w:w="80" w:type="dxa"/>
              <w:left w:w="80" w:type="dxa"/>
              <w:bottom w:w="80" w:type="dxa"/>
              <w:right w:w="80" w:type="dxa"/>
            </w:tcMar>
          </w:tcPr>
          <w:p>
            <w:pPr>
              <w:jc w:val="left"/>
            </w:pPr>
            <w:r>
              <w:rPr>
                <w:sz w:val="16"/>
              </w:rPr>
            </w:r>
            <w:r>
              <w:rPr>
                <w:b w:val="0"/>
                <w:sz w:val="16"/>
              </w:rPr>
              <w:t>Change ID, implementation window, validation, rollback, evidence pack.</w:t>
            </w:r>
          </w:p>
        </w:tc>
      </w:tr>
      <w:tr>
        <w:tc>
          <w:tcPr>
            <w:tcW w:type="dxa" w:w="2016"/>
            <w:vAlign w:val="top"/>
            <w:tcMar>
              <w:top w:w="80" w:type="dxa"/>
              <w:left w:w="80" w:type="dxa"/>
              <w:bottom w:w="80" w:type="dxa"/>
              <w:right w:w="80" w:type="dxa"/>
            </w:tcMar>
          </w:tcPr>
          <w:p>
            <w:pPr>
              <w:jc w:val="left"/>
            </w:pPr>
            <w:r>
              <w:rPr>
                <w:sz w:val="16"/>
              </w:rPr>
            </w:r>
            <w:r>
              <w:rPr>
                <w:b w:val="0"/>
                <w:sz w:val="16"/>
              </w:rPr>
              <w:t>Knowledge Request</w:t>
            </w:r>
          </w:p>
        </w:tc>
        <w:tc>
          <w:tcPr>
            <w:tcW w:type="dxa" w:w="4608"/>
            <w:vAlign w:val="top"/>
            <w:tcMar>
              <w:top w:w="80" w:type="dxa"/>
              <w:left w:w="80" w:type="dxa"/>
              <w:bottom w:w="80" w:type="dxa"/>
              <w:right w:w="80" w:type="dxa"/>
            </w:tcMar>
          </w:tcPr>
          <w:p>
            <w:pPr>
              <w:jc w:val="left"/>
            </w:pPr>
            <w:r>
              <w:rPr>
                <w:sz w:val="16"/>
              </w:rPr>
            </w:r>
            <w:r>
              <w:rPr>
                <w:b w:val="0"/>
                <w:sz w:val="16"/>
              </w:rPr>
              <w:t>Runbook, FAQ, SOP, or LLM Wiki/Obsidian update request.</w:t>
            </w:r>
          </w:p>
        </w:tc>
        <w:tc>
          <w:tcPr>
            <w:tcW w:type="dxa" w:w="3888"/>
            <w:vAlign w:val="top"/>
            <w:tcMar>
              <w:top w:w="80" w:type="dxa"/>
              <w:left w:w="80" w:type="dxa"/>
              <w:bottom w:w="80" w:type="dxa"/>
              <w:right w:w="80" w:type="dxa"/>
            </w:tcMar>
          </w:tcPr>
          <w:p>
            <w:pPr>
              <w:jc w:val="left"/>
            </w:pPr>
            <w:r>
              <w:rPr>
                <w:sz w:val="16"/>
              </w:rPr>
            </w:r>
            <w:r>
              <w:rPr>
                <w:b w:val="0"/>
                <w:sz w:val="16"/>
              </w:rPr>
              <w:t>Source evidence, reviewer, classification, publication path.</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Zammad Field</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AIRA Requirement</w:t>
            </w:r>
          </w:p>
        </w:tc>
      </w:tr>
      <w:tr>
        <w:tc>
          <w:tcPr>
            <w:tcW w:type="dxa" w:w="2592"/>
            <w:vAlign w:val="top"/>
            <w:tcMar>
              <w:top w:w="80" w:type="dxa"/>
              <w:left w:w="80" w:type="dxa"/>
              <w:bottom w:w="80" w:type="dxa"/>
              <w:right w:w="80" w:type="dxa"/>
            </w:tcMar>
          </w:tcPr>
          <w:p>
            <w:pPr>
              <w:jc w:val="left"/>
            </w:pPr>
            <w:r>
              <w:rPr>
                <w:sz w:val="16"/>
              </w:rPr>
            </w:r>
            <w:r>
              <w:rPr>
                <w:b w:val="0"/>
                <w:sz w:val="16"/>
              </w:rPr>
              <w:t>Service / Component</w:t>
            </w:r>
          </w:p>
        </w:tc>
        <w:tc>
          <w:tcPr>
            <w:tcW w:type="dxa" w:w="7920"/>
            <w:vAlign w:val="top"/>
            <w:tcMar>
              <w:top w:w="80" w:type="dxa"/>
              <w:left w:w="80" w:type="dxa"/>
              <w:bottom w:w="80" w:type="dxa"/>
              <w:right w:w="80" w:type="dxa"/>
            </w:tcMar>
          </w:tcPr>
          <w:p>
            <w:pPr>
              <w:jc w:val="left"/>
            </w:pPr>
            <w:r>
              <w:rPr>
                <w:sz w:val="16"/>
              </w:rPr>
            </w:r>
            <w:r>
              <w:rPr>
                <w:b w:val="0"/>
                <w:sz w:val="16"/>
              </w:rPr>
              <w:t>Must map to service catalog ID.</w:t>
            </w:r>
          </w:p>
        </w:tc>
      </w:tr>
      <w:tr>
        <w:tc>
          <w:tcPr>
            <w:tcW w:type="dxa" w:w="2592"/>
            <w:vAlign w:val="top"/>
            <w:tcMar>
              <w:top w:w="80" w:type="dxa"/>
              <w:left w:w="80" w:type="dxa"/>
              <w:bottom w:w="80" w:type="dxa"/>
              <w:right w:w="80" w:type="dxa"/>
            </w:tcMar>
          </w:tcPr>
          <w:p>
            <w:pPr>
              <w:jc w:val="left"/>
            </w:pPr>
            <w:r>
              <w:rPr>
                <w:sz w:val="16"/>
              </w:rPr>
            </w:r>
            <w:r>
              <w:rPr>
                <w:b w:val="0"/>
                <w:sz w:val="16"/>
              </w:rPr>
              <w:t>Environment</w:t>
            </w:r>
          </w:p>
        </w:tc>
        <w:tc>
          <w:tcPr>
            <w:tcW w:type="dxa" w:w="7920"/>
            <w:vAlign w:val="top"/>
            <w:tcMar>
              <w:top w:w="80" w:type="dxa"/>
              <w:left w:w="80" w:type="dxa"/>
              <w:bottom w:w="80" w:type="dxa"/>
              <w:right w:w="80" w:type="dxa"/>
            </w:tcMar>
          </w:tcPr>
          <w:p>
            <w:pPr>
              <w:jc w:val="left"/>
            </w:pPr>
            <w:r>
              <w:rPr>
                <w:sz w:val="16"/>
              </w:rPr>
            </w:r>
            <w:r>
              <w:rPr>
                <w:b w:val="0"/>
                <w:sz w:val="16"/>
              </w:rPr>
              <w:t>DEV, INT, UAT, STG, PROD, DR, or shared platform.</w:t>
            </w:r>
          </w:p>
        </w:tc>
      </w:tr>
      <w:tr>
        <w:tc>
          <w:tcPr>
            <w:tcW w:type="dxa" w:w="2592"/>
            <w:vAlign w:val="top"/>
            <w:tcMar>
              <w:top w:w="80" w:type="dxa"/>
              <w:left w:w="80" w:type="dxa"/>
              <w:bottom w:w="80" w:type="dxa"/>
              <w:right w:w="80" w:type="dxa"/>
            </w:tcMar>
          </w:tcPr>
          <w:p>
            <w:pPr>
              <w:jc w:val="left"/>
            </w:pPr>
            <w:r>
              <w:rPr>
                <w:sz w:val="16"/>
              </w:rPr>
            </w:r>
            <w:r>
              <w:rPr>
                <w:b w:val="0"/>
                <w:sz w:val="16"/>
              </w:rPr>
              <w:t>Severity / Priority</w:t>
            </w:r>
          </w:p>
        </w:tc>
        <w:tc>
          <w:tcPr>
            <w:tcW w:type="dxa" w:w="7920"/>
            <w:vAlign w:val="top"/>
            <w:tcMar>
              <w:top w:w="80" w:type="dxa"/>
              <w:left w:w="80" w:type="dxa"/>
              <w:bottom w:w="80" w:type="dxa"/>
              <w:right w:w="80" w:type="dxa"/>
            </w:tcMar>
          </w:tcPr>
          <w:p>
            <w:pPr>
              <w:jc w:val="left"/>
            </w:pPr>
            <w:r>
              <w:rPr>
                <w:sz w:val="16"/>
              </w:rPr>
            </w:r>
            <w:r>
              <w:rPr>
                <w:b w:val="0"/>
                <w:sz w:val="16"/>
              </w:rPr>
              <w:t>Derived from impact and urgency; not chosen arbitrarily.</w:t>
            </w:r>
          </w:p>
        </w:tc>
      </w:tr>
      <w:tr>
        <w:tc>
          <w:tcPr>
            <w:tcW w:type="dxa" w:w="2592"/>
            <w:vAlign w:val="top"/>
            <w:tcMar>
              <w:top w:w="80" w:type="dxa"/>
              <w:left w:w="80" w:type="dxa"/>
              <w:bottom w:w="80" w:type="dxa"/>
              <w:right w:w="80" w:type="dxa"/>
            </w:tcMar>
          </w:tcPr>
          <w:p>
            <w:pPr>
              <w:jc w:val="left"/>
            </w:pPr>
            <w:r>
              <w:rPr>
                <w:sz w:val="16"/>
              </w:rPr>
            </w:r>
            <w:r>
              <w:rPr>
                <w:b w:val="0"/>
                <w:sz w:val="16"/>
              </w:rPr>
              <w:t>Classification</w:t>
            </w:r>
          </w:p>
        </w:tc>
        <w:tc>
          <w:tcPr>
            <w:tcW w:type="dxa" w:w="7920"/>
            <w:vAlign w:val="top"/>
            <w:tcMar>
              <w:top w:w="80" w:type="dxa"/>
              <w:left w:w="80" w:type="dxa"/>
              <w:bottom w:w="80" w:type="dxa"/>
              <w:right w:w="80" w:type="dxa"/>
            </w:tcMar>
          </w:tcPr>
          <w:p>
            <w:pPr>
              <w:jc w:val="left"/>
            </w:pPr>
            <w:r>
              <w:rPr>
                <w:sz w:val="16"/>
              </w:rPr>
            </w:r>
            <w:r>
              <w:rPr>
                <w:b w:val="0"/>
                <w:sz w:val="16"/>
              </w:rPr>
              <w:t>Public, Internal, Confidential, Restricted handling requirement.</w:t>
            </w:r>
          </w:p>
        </w:tc>
      </w:tr>
      <w:tr>
        <w:tc>
          <w:tcPr>
            <w:tcW w:type="dxa" w:w="2592"/>
            <w:vAlign w:val="top"/>
            <w:tcMar>
              <w:top w:w="80" w:type="dxa"/>
              <w:left w:w="80" w:type="dxa"/>
              <w:bottom w:w="80" w:type="dxa"/>
              <w:right w:w="80" w:type="dxa"/>
            </w:tcMar>
          </w:tcPr>
          <w:p>
            <w:pPr>
              <w:jc w:val="left"/>
            </w:pPr>
            <w:r>
              <w:rPr>
                <w:sz w:val="16"/>
              </w:rPr>
            </w:r>
            <w:r>
              <w:rPr>
                <w:b w:val="0"/>
                <w:sz w:val="16"/>
              </w:rPr>
              <w:t>Evidence Reference</w:t>
            </w:r>
          </w:p>
        </w:tc>
        <w:tc>
          <w:tcPr>
            <w:tcW w:type="dxa" w:w="7920"/>
            <w:vAlign w:val="top"/>
            <w:tcMar>
              <w:top w:w="80" w:type="dxa"/>
              <w:left w:w="80" w:type="dxa"/>
              <w:bottom w:w="80" w:type="dxa"/>
              <w:right w:w="80" w:type="dxa"/>
            </w:tcMar>
          </w:tcPr>
          <w:p>
            <w:pPr>
              <w:jc w:val="left"/>
            </w:pPr>
            <w:r>
              <w:rPr>
                <w:sz w:val="16"/>
              </w:rPr>
            </w:r>
            <w:r>
              <w:rPr>
                <w:b w:val="0"/>
                <w:sz w:val="16"/>
              </w:rPr>
              <w:t>OpenKM/CI/Grafana/SigNoz/Wazuh/TheHive link or evidence path.</w:t>
            </w:r>
          </w:p>
        </w:tc>
      </w:tr>
      <w:tr>
        <w:tc>
          <w:tcPr>
            <w:tcW w:type="dxa" w:w="2592"/>
            <w:vAlign w:val="top"/>
            <w:tcMar>
              <w:top w:w="80" w:type="dxa"/>
              <w:left w:w="80" w:type="dxa"/>
              <w:bottom w:w="80" w:type="dxa"/>
              <w:right w:w="80" w:type="dxa"/>
            </w:tcMar>
          </w:tcPr>
          <w:p>
            <w:pPr>
              <w:jc w:val="left"/>
            </w:pPr>
            <w:r>
              <w:rPr>
                <w:sz w:val="16"/>
              </w:rPr>
            </w:r>
            <w:r>
              <w:rPr>
                <w:b w:val="0"/>
                <w:sz w:val="16"/>
              </w:rPr>
              <w:t>Trace IDs</w:t>
            </w:r>
          </w:p>
        </w:tc>
        <w:tc>
          <w:tcPr>
            <w:tcW w:type="dxa" w:w="7920"/>
            <w:vAlign w:val="top"/>
            <w:tcMar>
              <w:top w:w="80" w:type="dxa"/>
              <w:left w:w="80" w:type="dxa"/>
              <w:bottom w:w="80" w:type="dxa"/>
              <w:right w:w="80" w:type="dxa"/>
            </w:tcMar>
          </w:tcPr>
          <w:p>
            <w:pPr>
              <w:jc w:val="left"/>
            </w:pPr>
            <w:r>
              <w:rPr>
                <w:sz w:val="16"/>
              </w:rPr>
            </w:r>
            <w:r>
              <w:rPr>
                <w:b w:val="0"/>
                <w:sz w:val="16"/>
              </w:rPr>
              <w:t>trace_id, request_id, workflow_id, audit_id, release_id where applicable.</w:t>
            </w:r>
          </w:p>
        </w:tc>
      </w:tr>
      <w:tr>
        <w:tc>
          <w:tcPr>
            <w:tcW w:type="dxa" w:w="2592"/>
            <w:vAlign w:val="top"/>
            <w:tcMar>
              <w:top w:w="80" w:type="dxa"/>
              <w:left w:w="80" w:type="dxa"/>
              <w:bottom w:w="80" w:type="dxa"/>
              <w:right w:w="80" w:type="dxa"/>
            </w:tcMar>
          </w:tcPr>
          <w:p>
            <w:pPr>
              <w:jc w:val="left"/>
            </w:pPr>
            <w:r>
              <w:rPr>
                <w:sz w:val="16"/>
              </w:rPr>
            </w:r>
            <w:r>
              <w:rPr>
                <w:b w:val="0"/>
                <w:sz w:val="16"/>
              </w:rPr>
              <w:t>Owner / Assignment Group</w:t>
            </w:r>
          </w:p>
        </w:tc>
        <w:tc>
          <w:tcPr>
            <w:tcW w:type="dxa" w:w="7920"/>
            <w:vAlign w:val="top"/>
            <w:tcMar>
              <w:top w:w="80" w:type="dxa"/>
              <w:left w:w="80" w:type="dxa"/>
              <w:bottom w:w="80" w:type="dxa"/>
              <w:right w:w="80" w:type="dxa"/>
            </w:tcMar>
          </w:tcPr>
          <w:p>
            <w:pPr>
              <w:jc w:val="left"/>
            </w:pPr>
            <w:r>
              <w:rPr>
                <w:sz w:val="16"/>
              </w:rPr>
            </w:r>
            <w:r>
              <w:rPr>
                <w:b w:val="0"/>
                <w:sz w:val="16"/>
              </w:rPr>
              <w:t>Named accountable group and human owner.</w:t>
            </w:r>
          </w:p>
        </w:tc>
      </w:tr>
      <w:tr>
        <w:tc>
          <w:tcPr>
            <w:tcW w:type="dxa" w:w="2592"/>
            <w:vAlign w:val="top"/>
            <w:tcMar>
              <w:top w:w="80" w:type="dxa"/>
              <w:left w:w="80" w:type="dxa"/>
              <w:bottom w:w="80" w:type="dxa"/>
              <w:right w:w="80" w:type="dxa"/>
            </w:tcMar>
          </w:tcPr>
          <w:p>
            <w:pPr>
              <w:jc w:val="left"/>
            </w:pPr>
            <w:r>
              <w:rPr>
                <w:sz w:val="16"/>
              </w:rPr>
            </w:r>
            <w:r>
              <w:rPr>
                <w:b w:val="0"/>
                <w:sz w:val="16"/>
              </w:rPr>
              <w:t>Linked Records</w:t>
            </w:r>
          </w:p>
        </w:tc>
        <w:tc>
          <w:tcPr>
            <w:tcW w:type="dxa" w:w="7920"/>
            <w:vAlign w:val="top"/>
            <w:tcMar>
              <w:top w:w="80" w:type="dxa"/>
              <w:left w:w="80" w:type="dxa"/>
              <w:bottom w:w="80" w:type="dxa"/>
              <w:right w:w="80" w:type="dxa"/>
            </w:tcMar>
          </w:tcPr>
          <w:p>
            <w:pPr>
              <w:jc w:val="left"/>
            </w:pPr>
            <w:r>
              <w:rPr>
                <w:sz w:val="16"/>
              </w:rPr>
            </w:r>
            <w:r>
              <w:rPr>
                <w:b w:val="0"/>
                <w:sz w:val="16"/>
              </w:rPr>
              <w:t>Problem, change, release, RCA, runbook, improvement backlog, security case.</w:t>
            </w:r>
          </w:p>
        </w:tc>
      </w:tr>
    </w:tbl>
    <w:p>
      <w:pPr>
        <w:pStyle w:val="Heading1"/>
        <w:spacing w:after="80" w:line="252" w:lineRule="auto"/>
      </w:pPr>
      <w:r>
        <w:t>8. Incident Management and Major Incident Procedure</w:t>
      </w:r>
    </w:p>
    <w:p>
      <w:pPr>
        <w:spacing w:after="80" w:line="252" w:lineRule="auto"/>
      </w:pPr>
      <w:r>
        <w:t>Incident management restores service safely, preserves evidence, communicates clearly, and prevents recurrence. Speed matters, but unsupported shortcuts that weaken security, audit, or data correctness are not allowed.</w:t>
      </w:r>
    </w:p>
    <w:p>
      <w:pPr>
        <w:spacing w:after="80" w:line="252" w:lineRule="auto"/>
      </w:pPr>
      <w:r>
        <w:drawing>
          <wp:inline xmlns:a="http://schemas.openxmlformats.org/drawingml/2006/main" xmlns:pic="http://schemas.openxmlformats.org/drawingml/2006/picture">
            <wp:extent cx="6583680" cy="2139696"/>
            <wp:docPr id="3" name="Picture 3"/>
            <wp:cNvGraphicFramePr>
              <a:graphicFrameLocks noChangeAspect="1"/>
            </wp:cNvGraphicFramePr>
            <a:graphic>
              <a:graphicData uri="http://schemas.openxmlformats.org/drawingml/2006/picture">
                <pic:pic>
                  <pic:nvPicPr>
                    <pic:cNvPr id="0" name="incident_flow.png"/>
                    <pic:cNvPicPr/>
                  </pic:nvPicPr>
                  <pic:blipFill>
                    <a:blip r:embed="rId13"/>
                    <a:stretch>
                      <a:fillRect/>
                    </a:stretch>
                  </pic:blipFill>
                  <pic:spPr>
                    <a:xfrm>
                      <a:off x="0" y="0"/>
                      <a:ext cx="6583680" cy="2139696"/>
                    </a:xfrm>
                    <a:prstGeom prst="rect"/>
                  </pic:spPr>
                </pic:pic>
              </a:graphicData>
            </a:graphic>
          </wp:inline>
        </w:drawing>
      </w:r>
    </w:p>
    <w:p>
      <w:pPr>
        <w:spacing w:after="80" w:line="252" w:lineRule="auto"/>
        <w:jc w:val="center"/>
      </w:pPr>
      <w:r>
        <w:rPr>
          <w:i/>
        </w:rPr>
        <w:t>Figure 3. Incident-to-problem-to-improvement flow.</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728"/>
            <w:vAlign w:val="top"/>
            <w:shd w:fill="1F4E79"/>
            <w:tcMar>
              <w:top w:w="80" w:type="dxa"/>
              <w:left w:w="80" w:type="dxa"/>
              <w:bottom w:w="80" w:type="dxa"/>
              <w:right w:w="80" w:type="dxa"/>
            </w:tcMar>
          </w:tcPr>
          <w:p>
            <w:pPr>
              <w:jc w:val="left"/>
            </w:pPr>
            <w:r>
              <w:rPr>
                <w:b/>
                <w:color w:val="FFFFFF"/>
                <w:sz w:val="16"/>
              </w:rPr>
            </w:r>
            <w:r>
              <w:rPr>
                <w:b/>
                <w:color w:val="FFFFFF"/>
                <w:sz w:val="16"/>
              </w:rPr>
              <w:t>Severity</w:t>
            </w:r>
          </w:p>
        </w:tc>
        <w:tc>
          <w:tcPr>
            <w:tcW w:type="dxa" w:w="4896"/>
            <w:vAlign w:val="top"/>
            <w:shd w:fill="1F4E79"/>
            <w:tcMar>
              <w:top w:w="80" w:type="dxa"/>
              <w:left w:w="80" w:type="dxa"/>
              <w:bottom w:w="80" w:type="dxa"/>
              <w:right w:w="80" w:type="dxa"/>
            </w:tcMar>
          </w:tcPr>
          <w:p>
            <w:pPr>
              <w:jc w:val="left"/>
            </w:pPr>
            <w:r>
              <w:rPr>
                <w:b/>
                <w:color w:val="FFFFFF"/>
                <w:sz w:val="16"/>
              </w:rPr>
            </w:r>
            <w:r>
              <w:rPr>
                <w:b/>
                <w:color w:val="FFFFFF"/>
                <w:sz w:val="16"/>
              </w:rPr>
              <w:t>Definition</w:t>
            </w:r>
          </w:p>
        </w:tc>
        <w:tc>
          <w:tcPr>
            <w:tcW w:type="dxa" w:w="3888"/>
            <w:vAlign w:val="top"/>
            <w:shd w:fill="1F4E79"/>
            <w:tcMar>
              <w:top w:w="80" w:type="dxa"/>
              <w:left w:w="80" w:type="dxa"/>
              <w:bottom w:w="80" w:type="dxa"/>
              <w:right w:w="80" w:type="dxa"/>
            </w:tcMar>
          </w:tcPr>
          <w:p>
            <w:pPr>
              <w:jc w:val="left"/>
            </w:pPr>
            <w:r>
              <w:rPr>
                <w:b/>
                <w:color w:val="FFFFFF"/>
                <w:sz w:val="16"/>
              </w:rPr>
            </w:r>
            <w:r>
              <w:rPr>
                <w:b/>
                <w:color w:val="FFFFFF"/>
                <w:sz w:val="16"/>
              </w:rPr>
              <w:t>Response Rule</w:t>
            </w:r>
          </w:p>
        </w:tc>
      </w:tr>
      <w:tr>
        <w:tc>
          <w:tcPr>
            <w:tcW w:type="dxa" w:w="1728"/>
            <w:vAlign w:val="top"/>
            <w:tcMar>
              <w:top w:w="80" w:type="dxa"/>
              <w:left w:w="80" w:type="dxa"/>
              <w:bottom w:w="80" w:type="dxa"/>
              <w:right w:w="80" w:type="dxa"/>
            </w:tcMar>
          </w:tcPr>
          <w:p>
            <w:pPr>
              <w:jc w:val="left"/>
            </w:pPr>
            <w:r>
              <w:rPr>
                <w:sz w:val="16"/>
              </w:rPr>
            </w:r>
            <w:r>
              <w:rPr>
                <w:b w:val="0"/>
                <w:sz w:val="16"/>
              </w:rPr>
              <w:t>Sev-1 Critical</w:t>
            </w:r>
          </w:p>
        </w:tc>
        <w:tc>
          <w:tcPr>
            <w:tcW w:type="dxa" w:w="4896"/>
            <w:vAlign w:val="top"/>
            <w:tcMar>
              <w:top w:w="80" w:type="dxa"/>
              <w:left w:w="80" w:type="dxa"/>
              <w:bottom w:w="80" w:type="dxa"/>
              <w:right w:w="80" w:type="dxa"/>
            </w:tcMar>
          </w:tcPr>
          <w:p>
            <w:pPr>
              <w:jc w:val="left"/>
            </w:pPr>
            <w:r>
              <w:rPr>
                <w:sz w:val="16"/>
              </w:rPr>
            </w:r>
            <w:r>
              <w:rPr>
                <w:b w:val="0"/>
                <w:sz w:val="16"/>
              </w:rPr>
              <w:t>Material business outage, security incident, data integrity risk, customer-impacting failure, or executive-level impact.</w:t>
            </w:r>
          </w:p>
        </w:tc>
        <w:tc>
          <w:tcPr>
            <w:tcW w:type="dxa" w:w="3888"/>
            <w:vAlign w:val="top"/>
            <w:tcMar>
              <w:top w:w="80" w:type="dxa"/>
              <w:left w:w="80" w:type="dxa"/>
              <w:bottom w:w="80" w:type="dxa"/>
              <w:right w:w="80" w:type="dxa"/>
            </w:tcMar>
          </w:tcPr>
          <w:p>
            <w:pPr>
              <w:jc w:val="left"/>
            </w:pPr>
            <w:r>
              <w:rPr>
                <w:sz w:val="16"/>
              </w:rPr>
            </w:r>
            <w:r>
              <w:rPr>
                <w:b w:val="0"/>
                <w:sz w:val="16"/>
              </w:rPr>
              <w:t>Major incident procedure, immediate owner assignment, war-room, executive communication, RCA mandatory.</w:t>
            </w:r>
          </w:p>
        </w:tc>
      </w:tr>
      <w:tr>
        <w:tc>
          <w:tcPr>
            <w:tcW w:type="dxa" w:w="1728"/>
            <w:vAlign w:val="top"/>
            <w:tcMar>
              <w:top w:w="80" w:type="dxa"/>
              <w:left w:w="80" w:type="dxa"/>
              <w:bottom w:w="80" w:type="dxa"/>
              <w:right w:w="80" w:type="dxa"/>
            </w:tcMar>
          </w:tcPr>
          <w:p>
            <w:pPr>
              <w:jc w:val="left"/>
            </w:pPr>
            <w:r>
              <w:rPr>
                <w:sz w:val="16"/>
              </w:rPr>
            </w:r>
            <w:r>
              <w:rPr>
                <w:b w:val="0"/>
                <w:sz w:val="16"/>
              </w:rPr>
              <w:t>Sev-2 High</w:t>
            </w:r>
          </w:p>
        </w:tc>
        <w:tc>
          <w:tcPr>
            <w:tcW w:type="dxa" w:w="4896"/>
            <w:vAlign w:val="top"/>
            <w:tcMar>
              <w:top w:w="80" w:type="dxa"/>
              <w:left w:w="80" w:type="dxa"/>
              <w:bottom w:w="80" w:type="dxa"/>
              <w:right w:w="80" w:type="dxa"/>
            </w:tcMar>
          </w:tcPr>
          <w:p>
            <w:pPr>
              <w:jc w:val="left"/>
            </w:pPr>
            <w:r>
              <w:rPr>
                <w:sz w:val="16"/>
              </w:rPr>
            </w:r>
            <w:r>
              <w:rPr>
                <w:b w:val="0"/>
                <w:sz w:val="16"/>
              </w:rPr>
              <w:t>Significant service degradation, failed critical workflow, high-risk defect, or partial outage with workaround.</w:t>
            </w:r>
          </w:p>
        </w:tc>
        <w:tc>
          <w:tcPr>
            <w:tcW w:type="dxa" w:w="3888"/>
            <w:vAlign w:val="top"/>
            <w:tcMar>
              <w:top w:w="80" w:type="dxa"/>
              <w:left w:w="80" w:type="dxa"/>
              <w:bottom w:w="80" w:type="dxa"/>
              <w:right w:w="80" w:type="dxa"/>
            </w:tcMar>
          </w:tcPr>
          <w:p>
            <w:pPr>
              <w:jc w:val="left"/>
            </w:pPr>
            <w:r>
              <w:rPr>
                <w:sz w:val="16"/>
              </w:rPr>
            </w:r>
            <w:r>
              <w:rPr>
                <w:b w:val="0"/>
                <w:sz w:val="16"/>
              </w:rPr>
              <w:t>Priority response, service owner escalation, RCA or problem review required if recurring.</w:t>
            </w:r>
          </w:p>
        </w:tc>
      </w:tr>
      <w:tr>
        <w:tc>
          <w:tcPr>
            <w:tcW w:type="dxa" w:w="1728"/>
            <w:vAlign w:val="top"/>
            <w:tcMar>
              <w:top w:w="80" w:type="dxa"/>
              <w:left w:w="80" w:type="dxa"/>
              <w:bottom w:w="80" w:type="dxa"/>
              <w:right w:w="80" w:type="dxa"/>
            </w:tcMar>
          </w:tcPr>
          <w:p>
            <w:pPr>
              <w:jc w:val="left"/>
            </w:pPr>
            <w:r>
              <w:rPr>
                <w:sz w:val="16"/>
              </w:rPr>
            </w:r>
            <w:r>
              <w:rPr>
                <w:b w:val="0"/>
                <w:sz w:val="16"/>
              </w:rPr>
              <w:t>Sev-3 Medium</w:t>
            </w:r>
          </w:p>
        </w:tc>
        <w:tc>
          <w:tcPr>
            <w:tcW w:type="dxa" w:w="4896"/>
            <w:vAlign w:val="top"/>
            <w:tcMar>
              <w:top w:w="80" w:type="dxa"/>
              <w:left w:w="80" w:type="dxa"/>
              <w:bottom w:w="80" w:type="dxa"/>
              <w:right w:w="80" w:type="dxa"/>
            </w:tcMar>
          </w:tcPr>
          <w:p>
            <w:pPr>
              <w:jc w:val="left"/>
            </w:pPr>
            <w:r>
              <w:rPr>
                <w:sz w:val="16"/>
              </w:rPr>
            </w:r>
            <w:r>
              <w:rPr>
                <w:b w:val="0"/>
                <w:sz w:val="16"/>
              </w:rPr>
              <w:t>Limited issue affecting non-critical function or small user group with workaround.</w:t>
            </w:r>
          </w:p>
        </w:tc>
        <w:tc>
          <w:tcPr>
            <w:tcW w:type="dxa" w:w="3888"/>
            <w:vAlign w:val="top"/>
            <w:tcMar>
              <w:top w:w="80" w:type="dxa"/>
              <w:left w:w="80" w:type="dxa"/>
              <w:bottom w:w="80" w:type="dxa"/>
              <w:right w:w="80" w:type="dxa"/>
            </w:tcMar>
          </w:tcPr>
          <w:p>
            <w:pPr>
              <w:jc w:val="left"/>
            </w:pPr>
            <w:r>
              <w:rPr>
                <w:sz w:val="16"/>
              </w:rPr>
            </w:r>
            <w:r>
              <w:rPr>
                <w:b w:val="0"/>
                <w:sz w:val="16"/>
              </w:rPr>
              <w:t>Standard incident workflow, fix or backlog item, closure evidence.</w:t>
            </w:r>
          </w:p>
        </w:tc>
      </w:tr>
      <w:tr>
        <w:tc>
          <w:tcPr>
            <w:tcW w:type="dxa" w:w="1728"/>
            <w:vAlign w:val="top"/>
            <w:tcMar>
              <w:top w:w="80" w:type="dxa"/>
              <w:left w:w="80" w:type="dxa"/>
              <w:bottom w:w="80" w:type="dxa"/>
              <w:right w:w="80" w:type="dxa"/>
            </w:tcMar>
          </w:tcPr>
          <w:p>
            <w:pPr>
              <w:jc w:val="left"/>
            </w:pPr>
            <w:r>
              <w:rPr>
                <w:sz w:val="16"/>
              </w:rPr>
            </w:r>
            <w:r>
              <w:rPr>
                <w:b w:val="0"/>
                <w:sz w:val="16"/>
              </w:rPr>
              <w:t>Sev-4 Low</w:t>
            </w:r>
          </w:p>
        </w:tc>
        <w:tc>
          <w:tcPr>
            <w:tcW w:type="dxa" w:w="4896"/>
            <w:vAlign w:val="top"/>
            <w:tcMar>
              <w:top w:w="80" w:type="dxa"/>
              <w:left w:w="80" w:type="dxa"/>
              <w:bottom w:w="80" w:type="dxa"/>
              <w:right w:w="80" w:type="dxa"/>
            </w:tcMar>
          </w:tcPr>
          <w:p>
            <w:pPr>
              <w:jc w:val="left"/>
            </w:pPr>
            <w:r>
              <w:rPr>
                <w:sz w:val="16"/>
              </w:rPr>
            </w:r>
            <w:r>
              <w:rPr>
                <w:b w:val="0"/>
                <w:sz w:val="16"/>
              </w:rPr>
              <w:t>Minor issue, cosmetic defect, inquiry, operational noise, or non-impacting alert.</w:t>
            </w:r>
          </w:p>
        </w:tc>
        <w:tc>
          <w:tcPr>
            <w:tcW w:type="dxa" w:w="3888"/>
            <w:vAlign w:val="top"/>
            <w:tcMar>
              <w:top w:w="80" w:type="dxa"/>
              <w:left w:w="80" w:type="dxa"/>
              <w:bottom w:w="80" w:type="dxa"/>
              <w:right w:w="80" w:type="dxa"/>
            </w:tcMar>
          </w:tcPr>
          <w:p>
            <w:pPr>
              <w:jc w:val="left"/>
            </w:pPr>
            <w:r>
              <w:rPr>
                <w:sz w:val="16"/>
              </w:rPr>
            </w:r>
            <w:r>
              <w:rPr>
                <w:b w:val="0"/>
                <w:sz w:val="16"/>
              </w:rPr>
              <w:t>Service request or low-priority incident handling.</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2160"/>
            <w:vAlign w:val="top"/>
            <w:shd w:fill="1F4E79"/>
            <w:tcMar>
              <w:top w:w="80" w:type="dxa"/>
              <w:left w:w="80" w:type="dxa"/>
              <w:bottom w:w="80" w:type="dxa"/>
              <w:right w:w="80" w:type="dxa"/>
            </w:tcMar>
          </w:tcPr>
          <w:p>
            <w:pPr>
              <w:jc w:val="left"/>
            </w:pPr>
            <w:r>
              <w:rPr>
                <w:b/>
                <w:color w:val="FFFFFF"/>
                <w:sz w:val="16"/>
              </w:rPr>
            </w:r>
            <w:r>
              <w:rPr>
                <w:b/>
                <w:color w:val="FFFFFF"/>
                <w:sz w:val="16"/>
              </w:rPr>
              <w:t>Major Incident Stage</w:t>
            </w:r>
          </w:p>
        </w:tc>
        <w:tc>
          <w:tcPr>
            <w:tcW w:type="dxa" w:w="8352"/>
            <w:vAlign w:val="top"/>
            <w:shd w:fill="1F4E79"/>
            <w:tcMar>
              <w:top w:w="80" w:type="dxa"/>
              <w:left w:w="80" w:type="dxa"/>
              <w:bottom w:w="80" w:type="dxa"/>
              <w:right w:w="80" w:type="dxa"/>
            </w:tcMar>
          </w:tcPr>
          <w:p>
            <w:pPr>
              <w:jc w:val="left"/>
            </w:pPr>
            <w:r>
              <w:rPr>
                <w:b/>
                <w:color w:val="FFFFFF"/>
                <w:sz w:val="16"/>
              </w:rPr>
            </w:r>
            <w:r>
              <w:rPr>
                <w:b/>
                <w:color w:val="FFFFFF"/>
                <w:sz w:val="16"/>
              </w:rPr>
              <w:t>Action</w:t>
            </w:r>
          </w:p>
        </w:tc>
      </w:tr>
      <w:tr>
        <w:tc>
          <w:tcPr>
            <w:tcW w:type="dxa" w:w="2160"/>
            <w:vAlign w:val="top"/>
            <w:tcMar>
              <w:top w:w="80" w:type="dxa"/>
              <w:left w:w="80" w:type="dxa"/>
              <w:bottom w:w="80" w:type="dxa"/>
              <w:right w:w="80" w:type="dxa"/>
            </w:tcMar>
          </w:tcPr>
          <w:p>
            <w:pPr>
              <w:jc w:val="left"/>
            </w:pPr>
            <w:r>
              <w:rPr>
                <w:sz w:val="16"/>
              </w:rPr>
            </w:r>
            <w:r>
              <w:rPr>
                <w:b w:val="0"/>
                <w:sz w:val="16"/>
              </w:rPr>
              <w:t>Declare</w:t>
            </w:r>
          </w:p>
        </w:tc>
        <w:tc>
          <w:tcPr>
            <w:tcW w:type="dxa" w:w="8352"/>
            <w:vAlign w:val="top"/>
            <w:tcMar>
              <w:top w:w="80" w:type="dxa"/>
              <w:left w:w="80" w:type="dxa"/>
              <w:bottom w:w="80" w:type="dxa"/>
              <w:right w:w="80" w:type="dxa"/>
            </w:tcMar>
          </w:tcPr>
          <w:p>
            <w:pPr>
              <w:jc w:val="left"/>
            </w:pPr>
            <w:r>
              <w:rPr>
                <w:sz w:val="16"/>
              </w:rPr>
            </w:r>
            <w:r>
              <w:rPr>
                <w:b w:val="0"/>
                <w:sz w:val="16"/>
              </w:rPr>
              <w:t>Incident Commander or accountable manager declares major incident and opens/updates Zammad major incident record.</w:t>
            </w:r>
          </w:p>
        </w:tc>
      </w:tr>
      <w:tr>
        <w:tc>
          <w:tcPr>
            <w:tcW w:type="dxa" w:w="2160"/>
            <w:vAlign w:val="top"/>
            <w:tcMar>
              <w:top w:w="80" w:type="dxa"/>
              <w:left w:w="80" w:type="dxa"/>
              <w:bottom w:w="80" w:type="dxa"/>
              <w:right w:w="80" w:type="dxa"/>
            </w:tcMar>
          </w:tcPr>
          <w:p>
            <w:pPr>
              <w:jc w:val="left"/>
            </w:pPr>
            <w:r>
              <w:rPr>
                <w:sz w:val="16"/>
              </w:rPr>
            </w:r>
            <w:r>
              <w:rPr>
                <w:b w:val="0"/>
                <w:sz w:val="16"/>
              </w:rPr>
              <w:t>Stabilize</w:t>
            </w:r>
          </w:p>
        </w:tc>
        <w:tc>
          <w:tcPr>
            <w:tcW w:type="dxa" w:w="8352"/>
            <w:vAlign w:val="top"/>
            <w:tcMar>
              <w:top w:w="80" w:type="dxa"/>
              <w:left w:w="80" w:type="dxa"/>
              <w:bottom w:w="80" w:type="dxa"/>
              <w:right w:w="80" w:type="dxa"/>
            </w:tcMar>
          </w:tcPr>
          <w:p>
            <w:pPr>
              <w:jc w:val="left"/>
            </w:pPr>
            <w:r>
              <w:rPr>
                <w:sz w:val="16"/>
              </w:rPr>
            </w:r>
            <w:r>
              <w:rPr>
                <w:b w:val="0"/>
                <w:sz w:val="16"/>
              </w:rPr>
              <w:t>Protect customer/business data, stop harmful action, apply safe mitigation, preserve evidence.</w:t>
            </w:r>
          </w:p>
        </w:tc>
      </w:tr>
      <w:tr>
        <w:tc>
          <w:tcPr>
            <w:tcW w:type="dxa" w:w="2160"/>
            <w:vAlign w:val="top"/>
            <w:tcMar>
              <w:top w:w="80" w:type="dxa"/>
              <w:left w:w="80" w:type="dxa"/>
              <w:bottom w:w="80" w:type="dxa"/>
              <w:right w:w="80" w:type="dxa"/>
            </w:tcMar>
          </w:tcPr>
          <w:p>
            <w:pPr>
              <w:jc w:val="left"/>
            </w:pPr>
            <w:r>
              <w:rPr>
                <w:sz w:val="16"/>
              </w:rPr>
            </w:r>
            <w:r>
              <w:rPr>
                <w:b w:val="0"/>
                <w:sz w:val="16"/>
              </w:rPr>
              <w:t>Communicate</w:t>
            </w:r>
          </w:p>
        </w:tc>
        <w:tc>
          <w:tcPr>
            <w:tcW w:type="dxa" w:w="8352"/>
            <w:vAlign w:val="top"/>
            <w:tcMar>
              <w:top w:w="80" w:type="dxa"/>
              <w:left w:w="80" w:type="dxa"/>
              <w:bottom w:w="80" w:type="dxa"/>
              <w:right w:w="80" w:type="dxa"/>
            </w:tcMar>
          </w:tcPr>
          <w:p>
            <w:pPr>
              <w:jc w:val="left"/>
            </w:pPr>
            <w:r>
              <w:rPr>
                <w:sz w:val="16"/>
              </w:rPr>
            </w:r>
            <w:r>
              <w:rPr>
                <w:b w:val="0"/>
                <w:sz w:val="16"/>
              </w:rPr>
              <w:t>Send stakeholder updates at agreed cadence; avoid speculative root cause.</w:t>
            </w:r>
          </w:p>
        </w:tc>
      </w:tr>
      <w:tr>
        <w:tc>
          <w:tcPr>
            <w:tcW w:type="dxa" w:w="2160"/>
            <w:vAlign w:val="top"/>
            <w:tcMar>
              <w:top w:w="80" w:type="dxa"/>
              <w:left w:w="80" w:type="dxa"/>
              <w:bottom w:w="80" w:type="dxa"/>
              <w:right w:w="80" w:type="dxa"/>
            </w:tcMar>
          </w:tcPr>
          <w:p>
            <w:pPr>
              <w:jc w:val="left"/>
            </w:pPr>
            <w:r>
              <w:rPr>
                <w:sz w:val="16"/>
              </w:rPr>
            </w:r>
            <w:r>
              <w:rPr>
                <w:b w:val="0"/>
                <w:sz w:val="16"/>
              </w:rPr>
              <w:t>Recover</w:t>
            </w:r>
          </w:p>
        </w:tc>
        <w:tc>
          <w:tcPr>
            <w:tcW w:type="dxa" w:w="8352"/>
            <w:vAlign w:val="top"/>
            <w:tcMar>
              <w:top w:w="80" w:type="dxa"/>
              <w:left w:w="80" w:type="dxa"/>
              <w:bottom w:w="80" w:type="dxa"/>
              <w:right w:w="80" w:type="dxa"/>
            </w:tcMar>
          </w:tcPr>
          <w:p>
            <w:pPr>
              <w:jc w:val="left"/>
            </w:pPr>
            <w:r>
              <w:rPr>
                <w:sz w:val="16"/>
              </w:rPr>
            </w:r>
            <w:r>
              <w:rPr>
                <w:b w:val="0"/>
                <w:sz w:val="16"/>
              </w:rPr>
              <w:t>Execute approved runbook, rollback, forward-fix, failover, queue drain, or isolation procedure.</w:t>
            </w:r>
          </w:p>
        </w:tc>
      </w:tr>
      <w:tr>
        <w:tc>
          <w:tcPr>
            <w:tcW w:type="dxa" w:w="2160"/>
            <w:vAlign w:val="top"/>
            <w:tcMar>
              <w:top w:w="80" w:type="dxa"/>
              <w:left w:w="80" w:type="dxa"/>
              <w:bottom w:w="80" w:type="dxa"/>
              <w:right w:w="80" w:type="dxa"/>
            </w:tcMar>
          </w:tcPr>
          <w:p>
            <w:pPr>
              <w:jc w:val="left"/>
            </w:pPr>
            <w:r>
              <w:rPr>
                <w:sz w:val="16"/>
              </w:rPr>
            </w:r>
            <w:r>
              <w:rPr>
                <w:b w:val="0"/>
                <w:sz w:val="16"/>
              </w:rPr>
              <w:t>Validate</w:t>
            </w:r>
          </w:p>
        </w:tc>
        <w:tc>
          <w:tcPr>
            <w:tcW w:type="dxa" w:w="8352"/>
            <w:vAlign w:val="top"/>
            <w:tcMar>
              <w:top w:w="80" w:type="dxa"/>
              <w:left w:w="80" w:type="dxa"/>
              <w:bottom w:w="80" w:type="dxa"/>
              <w:right w:w="80" w:type="dxa"/>
            </w:tcMar>
          </w:tcPr>
          <w:p>
            <w:pPr>
              <w:jc w:val="left"/>
            </w:pPr>
            <w:r>
              <w:rPr>
                <w:sz w:val="16"/>
              </w:rPr>
            </w:r>
            <w:r>
              <w:rPr>
                <w:b w:val="0"/>
                <w:sz w:val="16"/>
              </w:rPr>
              <w:t>Confirm service health through telemetry, business checks, audit evidence, and user confirmation where applicable.</w:t>
            </w:r>
          </w:p>
        </w:tc>
      </w:tr>
      <w:tr>
        <w:tc>
          <w:tcPr>
            <w:tcW w:type="dxa" w:w="2160"/>
            <w:vAlign w:val="top"/>
            <w:tcMar>
              <w:top w:w="80" w:type="dxa"/>
              <w:left w:w="80" w:type="dxa"/>
              <w:bottom w:w="80" w:type="dxa"/>
              <w:right w:w="80" w:type="dxa"/>
            </w:tcMar>
          </w:tcPr>
          <w:p>
            <w:pPr>
              <w:jc w:val="left"/>
            </w:pPr>
            <w:r>
              <w:rPr>
                <w:sz w:val="16"/>
              </w:rPr>
            </w:r>
            <w:r>
              <w:rPr>
                <w:b w:val="0"/>
                <w:sz w:val="16"/>
              </w:rPr>
              <w:t>Review</w:t>
            </w:r>
          </w:p>
        </w:tc>
        <w:tc>
          <w:tcPr>
            <w:tcW w:type="dxa" w:w="8352"/>
            <w:vAlign w:val="top"/>
            <w:tcMar>
              <w:top w:w="80" w:type="dxa"/>
              <w:left w:w="80" w:type="dxa"/>
              <w:bottom w:w="80" w:type="dxa"/>
              <w:right w:w="80" w:type="dxa"/>
            </w:tcMar>
          </w:tcPr>
          <w:p>
            <w:pPr>
              <w:jc w:val="left"/>
            </w:pPr>
            <w:r>
              <w:rPr>
                <w:sz w:val="16"/>
              </w:rPr>
            </w:r>
            <w:r>
              <w:rPr>
                <w:b w:val="0"/>
                <w:sz w:val="16"/>
              </w:rPr>
              <w:t>Complete RCA, problem record, action items, architecture/control improvements, and knowledge updates.</w:t>
            </w:r>
          </w:p>
        </w:tc>
      </w:tr>
    </w:tbl>
    <w:p>
      <w:pPr>
        <w:pStyle w:val="Heading1"/>
        <w:spacing w:after="80" w:line="252" w:lineRule="auto"/>
      </w:pPr>
      <w:r>
        <w:t>9. Problem Management, RCA, and Known Error Control</w:t>
      </w:r>
    </w:p>
    <w:p>
      <w:pPr>
        <w:spacing w:after="80" w:line="252" w:lineRule="auto"/>
      </w:pPr>
      <w:r>
        <w:t>Problem management eliminates recurring failure and systemic weakness. A closed incident without learning is incomplete when the issue is recurring, high impact, security-relevant, or architecture-related.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880"/>
            <w:vAlign w:val="top"/>
            <w:shd w:fill="1F4E79"/>
            <w:tcMar>
              <w:top w:w="80" w:type="dxa"/>
              <w:left w:w="80" w:type="dxa"/>
              <w:bottom w:w="80" w:type="dxa"/>
              <w:right w:w="80" w:type="dxa"/>
            </w:tcMar>
          </w:tcPr>
          <w:p>
            <w:pPr>
              <w:jc w:val="left"/>
            </w:pPr>
            <w:r>
              <w:rPr>
                <w:b/>
                <w:color w:val="FFFFFF"/>
                <w:sz w:val="16"/>
              </w:rPr>
            </w:r>
            <w:r>
              <w:rPr>
                <w:b/>
                <w:color w:val="FFFFFF"/>
                <w:sz w:val="16"/>
              </w:rPr>
              <w:t>Trigger</w:t>
            </w:r>
          </w:p>
        </w:tc>
        <w:tc>
          <w:tcPr>
            <w:tcW w:type="dxa" w:w="2304"/>
            <w:vAlign w:val="top"/>
            <w:shd w:fill="1F4E79"/>
            <w:tcMar>
              <w:top w:w="80" w:type="dxa"/>
              <w:left w:w="80" w:type="dxa"/>
              <w:bottom w:w="80" w:type="dxa"/>
              <w:right w:w="80" w:type="dxa"/>
            </w:tcMar>
          </w:tcPr>
          <w:p>
            <w:pPr>
              <w:jc w:val="left"/>
            </w:pPr>
            <w:r>
              <w:rPr>
                <w:b/>
                <w:color w:val="FFFFFF"/>
                <w:sz w:val="16"/>
              </w:rPr>
            </w:r>
            <w:r>
              <w:rPr>
                <w:b/>
                <w:color w:val="FFFFFF"/>
                <w:sz w:val="16"/>
              </w:rPr>
              <w:t>Problem Record Required?</w:t>
            </w:r>
          </w:p>
        </w:tc>
        <w:tc>
          <w:tcPr>
            <w:tcW w:type="dxa" w:w="5328"/>
            <w:vAlign w:val="top"/>
            <w:shd w:fill="1F4E79"/>
            <w:tcMar>
              <w:top w:w="80" w:type="dxa"/>
              <w:left w:w="80" w:type="dxa"/>
              <w:bottom w:w="80" w:type="dxa"/>
              <w:right w:w="80" w:type="dxa"/>
            </w:tcMar>
          </w:tcPr>
          <w:p>
            <w:pPr>
              <w:jc w:val="left"/>
            </w:pPr>
            <w:r>
              <w:rPr>
                <w:b/>
                <w:color w:val="FFFFFF"/>
                <w:sz w:val="16"/>
              </w:rPr>
            </w:r>
            <w:r>
              <w:rPr>
                <w:b/>
                <w:color w:val="FFFFFF"/>
                <w:sz w:val="16"/>
              </w:rPr>
              <w:t>Reason</w:t>
            </w:r>
          </w:p>
        </w:tc>
      </w:tr>
      <w:tr>
        <w:tc>
          <w:tcPr>
            <w:tcW w:type="dxa" w:w="2880"/>
            <w:vAlign w:val="top"/>
            <w:tcMar>
              <w:top w:w="80" w:type="dxa"/>
              <w:left w:w="80" w:type="dxa"/>
              <w:bottom w:w="80" w:type="dxa"/>
              <w:right w:w="80" w:type="dxa"/>
            </w:tcMar>
          </w:tcPr>
          <w:p>
            <w:pPr>
              <w:jc w:val="left"/>
            </w:pPr>
            <w:r>
              <w:rPr>
                <w:sz w:val="16"/>
              </w:rPr>
            </w:r>
            <w:r>
              <w:rPr>
                <w:b w:val="0"/>
                <w:sz w:val="16"/>
              </w:rPr>
              <w:t>Sev-1 incident</w:t>
            </w:r>
          </w:p>
        </w:tc>
        <w:tc>
          <w:tcPr>
            <w:tcW w:type="dxa" w:w="2304"/>
            <w:vAlign w:val="top"/>
            <w:tcMar>
              <w:top w:w="80" w:type="dxa"/>
              <w:left w:w="80" w:type="dxa"/>
              <w:bottom w:w="80" w:type="dxa"/>
              <w:right w:w="80" w:type="dxa"/>
            </w:tcMar>
          </w:tcPr>
          <w:p>
            <w:pPr>
              <w:jc w:val="left"/>
            </w:pPr>
            <w:r>
              <w:rPr>
                <w:sz w:val="16"/>
              </w:rPr>
            </w:r>
            <w:r>
              <w:rPr>
                <w:b w:val="0"/>
                <w:sz w:val="16"/>
              </w:rPr>
              <w:t>Yes</w:t>
            </w:r>
          </w:p>
        </w:tc>
        <w:tc>
          <w:tcPr>
            <w:tcW w:type="dxa" w:w="5328"/>
            <w:vAlign w:val="top"/>
            <w:tcMar>
              <w:top w:w="80" w:type="dxa"/>
              <w:left w:w="80" w:type="dxa"/>
              <w:bottom w:w="80" w:type="dxa"/>
              <w:right w:w="80" w:type="dxa"/>
            </w:tcMar>
          </w:tcPr>
          <w:p>
            <w:pPr>
              <w:jc w:val="left"/>
            </w:pPr>
            <w:r>
              <w:rPr>
                <w:sz w:val="16"/>
              </w:rPr>
            </w:r>
            <w:r>
              <w:rPr>
                <w:b w:val="0"/>
                <w:sz w:val="16"/>
              </w:rPr>
              <w:t>Material impact requires RCA and preventive action.</w:t>
            </w:r>
          </w:p>
        </w:tc>
      </w:tr>
      <w:tr>
        <w:tc>
          <w:tcPr>
            <w:tcW w:type="dxa" w:w="2880"/>
            <w:vAlign w:val="top"/>
            <w:tcMar>
              <w:top w:w="80" w:type="dxa"/>
              <w:left w:w="80" w:type="dxa"/>
              <w:bottom w:w="80" w:type="dxa"/>
              <w:right w:w="80" w:type="dxa"/>
            </w:tcMar>
          </w:tcPr>
          <w:p>
            <w:pPr>
              <w:jc w:val="left"/>
            </w:pPr>
            <w:r>
              <w:rPr>
                <w:sz w:val="16"/>
              </w:rPr>
            </w:r>
            <w:r>
              <w:rPr>
                <w:b w:val="0"/>
                <w:sz w:val="16"/>
              </w:rPr>
              <w:t>Repeated Sev-2/Sev-3 incidents</w:t>
            </w:r>
          </w:p>
        </w:tc>
        <w:tc>
          <w:tcPr>
            <w:tcW w:type="dxa" w:w="2304"/>
            <w:vAlign w:val="top"/>
            <w:tcMar>
              <w:top w:w="80" w:type="dxa"/>
              <w:left w:w="80" w:type="dxa"/>
              <w:bottom w:w="80" w:type="dxa"/>
              <w:right w:w="80" w:type="dxa"/>
            </w:tcMar>
          </w:tcPr>
          <w:p>
            <w:pPr>
              <w:jc w:val="left"/>
            </w:pPr>
            <w:r>
              <w:rPr>
                <w:sz w:val="16"/>
              </w:rPr>
            </w:r>
            <w:r>
              <w:rPr>
                <w:b w:val="0"/>
                <w:sz w:val="16"/>
              </w:rPr>
              <w:t>Yes</w:t>
            </w:r>
          </w:p>
        </w:tc>
        <w:tc>
          <w:tcPr>
            <w:tcW w:type="dxa" w:w="5328"/>
            <w:vAlign w:val="top"/>
            <w:tcMar>
              <w:top w:w="80" w:type="dxa"/>
              <w:left w:w="80" w:type="dxa"/>
              <w:bottom w:w="80" w:type="dxa"/>
              <w:right w:w="80" w:type="dxa"/>
            </w:tcMar>
          </w:tcPr>
          <w:p>
            <w:pPr>
              <w:jc w:val="left"/>
            </w:pPr>
            <w:r>
              <w:rPr>
                <w:sz w:val="16"/>
              </w:rPr>
            </w:r>
            <w:r>
              <w:rPr>
                <w:b w:val="0"/>
                <w:sz w:val="16"/>
              </w:rPr>
              <w:t>Recurring pattern indicates systemic defect or inadequate runbook/monitoring.</w:t>
            </w:r>
          </w:p>
        </w:tc>
      </w:tr>
      <w:tr>
        <w:tc>
          <w:tcPr>
            <w:tcW w:type="dxa" w:w="2880"/>
            <w:vAlign w:val="top"/>
            <w:tcMar>
              <w:top w:w="80" w:type="dxa"/>
              <w:left w:w="80" w:type="dxa"/>
              <w:bottom w:w="80" w:type="dxa"/>
              <w:right w:w="80" w:type="dxa"/>
            </w:tcMar>
          </w:tcPr>
          <w:p>
            <w:pPr>
              <w:jc w:val="left"/>
            </w:pPr>
            <w:r>
              <w:rPr>
                <w:sz w:val="16"/>
              </w:rPr>
            </w:r>
            <w:r>
              <w:rPr>
                <w:b w:val="0"/>
                <w:sz w:val="16"/>
              </w:rPr>
              <w:t>Security incident or high-risk alert</w:t>
            </w:r>
          </w:p>
        </w:tc>
        <w:tc>
          <w:tcPr>
            <w:tcW w:type="dxa" w:w="2304"/>
            <w:vAlign w:val="top"/>
            <w:tcMar>
              <w:top w:w="80" w:type="dxa"/>
              <w:left w:w="80" w:type="dxa"/>
              <w:bottom w:w="80" w:type="dxa"/>
              <w:right w:w="80" w:type="dxa"/>
            </w:tcMar>
          </w:tcPr>
          <w:p>
            <w:pPr>
              <w:jc w:val="left"/>
            </w:pPr>
            <w:r>
              <w:rPr>
                <w:sz w:val="16"/>
              </w:rPr>
            </w:r>
            <w:r>
              <w:rPr>
                <w:b w:val="0"/>
                <w:sz w:val="16"/>
              </w:rPr>
              <w:t>Yes, linked to TheHive case where applicable</w:t>
            </w:r>
          </w:p>
        </w:tc>
        <w:tc>
          <w:tcPr>
            <w:tcW w:type="dxa" w:w="5328"/>
            <w:vAlign w:val="top"/>
            <w:tcMar>
              <w:top w:w="80" w:type="dxa"/>
              <w:left w:w="80" w:type="dxa"/>
              <w:bottom w:w="80" w:type="dxa"/>
              <w:right w:w="80" w:type="dxa"/>
            </w:tcMar>
          </w:tcPr>
          <w:p>
            <w:pPr>
              <w:jc w:val="left"/>
            </w:pPr>
            <w:r>
              <w:rPr>
                <w:sz w:val="16"/>
              </w:rPr>
            </w:r>
            <w:r>
              <w:rPr>
                <w:b w:val="0"/>
                <w:sz w:val="16"/>
              </w:rPr>
              <w:t>Security evidence and remediation must remain traceable.</w:t>
            </w:r>
          </w:p>
        </w:tc>
      </w:tr>
      <w:tr>
        <w:tc>
          <w:tcPr>
            <w:tcW w:type="dxa" w:w="2880"/>
            <w:vAlign w:val="top"/>
            <w:tcMar>
              <w:top w:w="80" w:type="dxa"/>
              <w:left w:w="80" w:type="dxa"/>
              <w:bottom w:w="80" w:type="dxa"/>
              <w:right w:w="80" w:type="dxa"/>
            </w:tcMar>
          </w:tcPr>
          <w:p>
            <w:pPr>
              <w:jc w:val="left"/>
            </w:pPr>
            <w:r>
              <w:rPr>
                <w:sz w:val="16"/>
              </w:rPr>
            </w:r>
            <w:r>
              <w:rPr>
                <w:b w:val="0"/>
                <w:sz w:val="16"/>
              </w:rPr>
              <w:t>Failed rollback/recovery test</w:t>
            </w:r>
          </w:p>
        </w:tc>
        <w:tc>
          <w:tcPr>
            <w:tcW w:type="dxa" w:w="2304"/>
            <w:vAlign w:val="top"/>
            <w:tcMar>
              <w:top w:w="80" w:type="dxa"/>
              <w:left w:w="80" w:type="dxa"/>
              <w:bottom w:w="80" w:type="dxa"/>
              <w:right w:w="80" w:type="dxa"/>
            </w:tcMar>
          </w:tcPr>
          <w:p>
            <w:pPr>
              <w:jc w:val="left"/>
            </w:pPr>
            <w:r>
              <w:rPr>
                <w:sz w:val="16"/>
              </w:rPr>
            </w:r>
            <w:r>
              <w:rPr>
                <w:b w:val="0"/>
                <w:sz w:val="16"/>
              </w:rPr>
              <w:t>Yes</w:t>
            </w:r>
          </w:p>
        </w:tc>
        <w:tc>
          <w:tcPr>
            <w:tcW w:type="dxa" w:w="5328"/>
            <w:vAlign w:val="top"/>
            <w:tcMar>
              <w:top w:w="80" w:type="dxa"/>
              <w:left w:w="80" w:type="dxa"/>
              <w:bottom w:w="80" w:type="dxa"/>
              <w:right w:w="80" w:type="dxa"/>
            </w:tcMar>
          </w:tcPr>
          <w:p>
            <w:pPr>
              <w:jc w:val="left"/>
            </w:pPr>
            <w:r>
              <w:rPr>
                <w:sz w:val="16"/>
              </w:rPr>
            </w:r>
            <w:r>
              <w:rPr>
                <w:b w:val="0"/>
                <w:sz w:val="16"/>
              </w:rPr>
              <w:t>Recovery weakness is production risk.</w:t>
            </w:r>
          </w:p>
        </w:tc>
      </w:tr>
      <w:tr>
        <w:tc>
          <w:tcPr>
            <w:tcW w:type="dxa" w:w="2880"/>
            <w:vAlign w:val="top"/>
            <w:tcMar>
              <w:top w:w="80" w:type="dxa"/>
              <w:left w:w="80" w:type="dxa"/>
              <w:bottom w:w="80" w:type="dxa"/>
              <w:right w:w="80" w:type="dxa"/>
            </w:tcMar>
          </w:tcPr>
          <w:p>
            <w:pPr>
              <w:jc w:val="left"/>
            </w:pPr>
            <w:r>
              <w:rPr>
                <w:sz w:val="16"/>
              </w:rPr>
            </w:r>
            <w:r>
              <w:rPr>
                <w:b w:val="0"/>
                <w:sz w:val="16"/>
              </w:rPr>
              <w:t>SLO breach or error budget exhaustion</w:t>
            </w:r>
          </w:p>
        </w:tc>
        <w:tc>
          <w:tcPr>
            <w:tcW w:type="dxa" w:w="2304"/>
            <w:vAlign w:val="top"/>
            <w:tcMar>
              <w:top w:w="80" w:type="dxa"/>
              <w:left w:w="80" w:type="dxa"/>
              <w:bottom w:w="80" w:type="dxa"/>
              <w:right w:w="80" w:type="dxa"/>
            </w:tcMar>
          </w:tcPr>
          <w:p>
            <w:pPr>
              <w:jc w:val="left"/>
            </w:pPr>
            <w:r>
              <w:rPr>
                <w:sz w:val="16"/>
              </w:rPr>
            </w:r>
            <w:r>
              <w:rPr>
                <w:b w:val="0"/>
                <w:sz w:val="16"/>
              </w:rPr>
              <w:t>Yes</w:t>
            </w:r>
          </w:p>
        </w:tc>
        <w:tc>
          <w:tcPr>
            <w:tcW w:type="dxa" w:w="5328"/>
            <w:vAlign w:val="top"/>
            <w:tcMar>
              <w:top w:w="80" w:type="dxa"/>
              <w:left w:w="80" w:type="dxa"/>
              <w:bottom w:w="80" w:type="dxa"/>
              <w:right w:w="80" w:type="dxa"/>
            </w:tcMar>
          </w:tcPr>
          <w:p>
            <w:pPr>
              <w:jc w:val="left"/>
            </w:pPr>
            <w:r>
              <w:rPr>
                <w:sz w:val="16"/>
              </w:rPr>
            </w:r>
            <w:r>
              <w:rPr>
                <w:b w:val="0"/>
                <w:sz w:val="16"/>
              </w:rPr>
              <w:t>Reliability target failure requires engineering review.</w:t>
            </w:r>
          </w:p>
        </w:tc>
      </w:tr>
      <w:tr>
        <w:tc>
          <w:tcPr>
            <w:tcW w:type="dxa" w:w="2880"/>
            <w:vAlign w:val="top"/>
            <w:tcMar>
              <w:top w:w="80" w:type="dxa"/>
              <w:left w:w="80" w:type="dxa"/>
              <w:bottom w:w="80" w:type="dxa"/>
              <w:right w:w="80" w:type="dxa"/>
            </w:tcMar>
          </w:tcPr>
          <w:p>
            <w:pPr>
              <w:jc w:val="left"/>
            </w:pPr>
            <w:r>
              <w:rPr>
                <w:sz w:val="16"/>
              </w:rPr>
            </w:r>
            <w:r>
              <w:rPr>
                <w:b w:val="0"/>
                <w:sz w:val="16"/>
              </w:rPr>
              <w:t>One-time low-impact user error</w:t>
            </w:r>
          </w:p>
        </w:tc>
        <w:tc>
          <w:tcPr>
            <w:tcW w:type="dxa" w:w="2304"/>
            <w:vAlign w:val="top"/>
            <w:tcMar>
              <w:top w:w="80" w:type="dxa"/>
              <w:left w:w="80" w:type="dxa"/>
              <w:bottom w:w="80" w:type="dxa"/>
              <w:right w:w="80" w:type="dxa"/>
            </w:tcMar>
          </w:tcPr>
          <w:p>
            <w:pPr>
              <w:jc w:val="left"/>
            </w:pPr>
            <w:r>
              <w:rPr>
                <w:sz w:val="16"/>
              </w:rPr>
            </w:r>
            <w:r>
              <w:rPr>
                <w:b w:val="0"/>
                <w:sz w:val="16"/>
              </w:rPr>
              <w:t>No, unless trend emerges</w:t>
            </w:r>
          </w:p>
        </w:tc>
        <w:tc>
          <w:tcPr>
            <w:tcW w:type="dxa" w:w="5328"/>
            <w:vAlign w:val="top"/>
            <w:tcMar>
              <w:top w:w="80" w:type="dxa"/>
              <w:left w:w="80" w:type="dxa"/>
              <w:bottom w:w="80" w:type="dxa"/>
              <w:right w:w="80" w:type="dxa"/>
            </w:tcMar>
          </w:tcPr>
          <w:p>
            <w:pPr>
              <w:jc w:val="left"/>
            </w:pPr>
            <w:r>
              <w:rPr>
                <w:sz w:val="16"/>
              </w:rPr>
            </w:r>
            <w:r>
              <w:rPr>
                <w:b w:val="0"/>
                <w:sz w:val="16"/>
              </w:rPr>
              <w:t>Can be resolved through training or knowledge article.</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RCA Field</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Minimum Requirement</w:t>
            </w:r>
          </w:p>
        </w:tc>
      </w:tr>
      <w:tr>
        <w:tc>
          <w:tcPr>
            <w:tcW w:type="dxa" w:w="2592"/>
            <w:vAlign w:val="top"/>
            <w:tcMar>
              <w:top w:w="80" w:type="dxa"/>
              <w:left w:w="80" w:type="dxa"/>
              <w:bottom w:w="80" w:type="dxa"/>
              <w:right w:w="80" w:type="dxa"/>
            </w:tcMar>
          </w:tcPr>
          <w:p>
            <w:pPr>
              <w:jc w:val="left"/>
            </w:pPr>
            <w:r>
              <w:rPr>
                <w:sz w:val="16"/>
              </w:rPr>
            </w:r>
            <w:r>
              <w:rPr>
                <w:b w:val="0"/>
                <w:sz w:val="16"/>
              </w:rPr>
              <w:t>Problem statement</w:t>
            </w:r>
          </w:p>
        </w:tc>
        <w:tc>
          <w:tcPr>
            <w:tcW w:type="dxa" w:w="7920"/>
            <w:vAlign w:val="top"/>
            <w:tcMar>
              <w:top w:w="80" w:type="dxa"/>
              <w:left w:w="80" w:type="dxa"/>
              <w:bottom w:w="80" w:type="dxa"/>
              <w:right w:w="80" w:type="dxa"/>
            </w:tcMar>
          </w:tcPr>
          <w:p>
            <w:pPr>
              <w:jc w:val="left"/>
            </w:pPr>
            <w:r>
              <w:rPr>
                <w:sz w:val="16"/>
              </w:rPr>
            </w:r>
            <w:r>
              <w:rPr>
                <w:b w:val="0"/>
                <w:sz w:val="16"/>
              </w:rPr>
              <w:t>What happened, when, where, who/what was affected.</w:t>
            </w:r>
          </w:p>
        </w:tc>
      </w:tr>
      <w:tr>
        <w:tc>
          <w:tcPr>
            <w:tcW w:type="dxa" w:w="2592"/>
            <w:vAlign w:val="top"/>
            <w:tcMar>
              <w:top w:w="80" w:type="dxa"/>
              <w:left w:w="80" w:type="dxa"/>
              <w:bottom w:w="80" w:type="dxa"/>
              <w:right w:w="80" w:type="dxa"/>
            </w:tcMar>
          </w:tcPr>
          <w:p>
            <w:pPr>
              <w:jc w:val="left"/>
            </w:pPr>
            <w:r>
              <w:rPr>
                <w:sz w:val="16"/>
              </w:rPr>
            </w:r>
            <w:r>
              <w:rPr>
                <w:b w:val="0"/>
                <w:sz w:val="16"/>
              </w:rPr>
              <w:t>Impact assessment</w:t>
            </w:r>
          </w:p>
        </w:tc>
        <w:tc>
          <w:tcPr>
            <w:tcW w:type="dxa" w:w="7920"/>
            <w:vAlign w:val="top"/>
            <w:tcMar>
              <w:top w:w="80" w:type="dxa"/>
              <w:left w:w="80" w:type="dxa"/>
              <w:bottom w:w="80" w:type="dxa"/>
              <w:right w:w="80" w:type="dxa"/>
            </w:tcMar>
          </w:tcPr>
          <w:p>
            <w:pPr>
              <w:jc w:val="left"/>
            </w:pPr>
            <w:r>
              <w:rPr>
                <w:sz w:val="16"/>
              </w:rPr>
            </w:r>
            <w:r>
              <w:rPr>
                <w:b w:val="0"/>
                <w:sz w:val="16"/>
              </w:rPr>
              <w:t>Business, user, data, security, compliance, and SLO impact.</w:t>
            </w:r>
          </w:p>
        </w:tc>
      </w:tr>
      <w:tr>
        <w:tc>
          <w:tcPr>
            <w:tcW w:type="dxa" w:w="2592"/>
            <w:vAlign w:val="top"/>
            <w:tcMar>
              <w:top w:w="80" w:type="dxa"/>
              <w:left w:w="80" w:type="dxa"/>
              <w:bottom w:w="80" w:type="dxa"/>
              <w:right w:w="80" w:type="dxa"/>
            </w:tcMar>
          </w:tcPr>
          <w:p>
            <w:pPr>
              <w:jc w:val="left"/>
            </w:pPr>
            <w:r>
              <w:rPr>
                <w:sz w:val="16"/>
              </w:rPr>
            </w:r>
            <w:r>
              <w:rPr>
                <w:b w:val="0"/>
                <w:sz w:val="16"/>
              </w:rPr>
              <w:t>Timeline</w:t>
            </w:r>
          </w:p>
        </w:tc>
        <w:tc>
          <w:tcPr>
            <w:tcW w:type="dxa" w:w="7920"/>
            <w:vAlign w:val="top"/>
            <w:tcMar>
              <w:top w:w="80" w:type="dxa"/>
              <w:left w:w="80" w:type="dxa"/>
              <w:bottom w:w="80" w:type="dxa"/>
              <w:right w:w="80" w:type="dxa"/>
            </w:tcMar>
          </w:tcPr>
          <w:p>
            <w:pPr>
              <w:jc w:val="left"/>
            </w:pPr>
            <w:r>
              <w:rPr>
                <w:sz w:val="16"/>
              </w:rPr>
            </w:r>
            <w:r>
              <w:rPr>
                <w:b w:val="0"/>
                <w:sz w:val="16"/>
              </w:rPr>
              <w:t>Detection, escalation, mitigation, recovery, validation, closure.</w:t>
            </w:r>
          </w:p>
        </w:tc>
      </w:tr>
      <w:tr>
        <w:tc>
          <w:tcPr>
            <w:tcW w:type="dxa" w:w="2592"/>
            <w:vAlign w:val="top"/>
            <w:tcMar>
              <w:top w:w="80" w:type="dxa"/>
              <w:left w:w="80" w:type="dxa"/>
              <w:bottom w:w="80" w:type="dxa"/>
              <w:right w:w="80" w:type="dxa"/>
            </w:tcMar>
          </w:tcPr>
          <w:p>
            <w:pPr>
              <w:jc w:val="left"/>
            </w:pPr>
            <w:r>
              <w:rPr>
                <w:sz w:val="16"/>
              </w:rPr>
            </w:r>
            <w:r>
              <w:rPr>
                <w:b w:val="0"/>
                <w:sz w:val="16"/>
              </w:rPr>
              <w:t>Root cause</w:t>
            </w:r>
          </w:p>
        </w:tc>
        <w:tc>
          <w:tcPr>
            <w:tcW w:type="dxa" w:w="7920"/>
            <w:vAlign w:val="top"/>
            <w:tcMar>
              <w:top w:w="80" w:type="dxa"/>
              <w:left w:w="80" w:type="dxa"/>
              <w:bottom w:w="80" w:type="dxa"/>
              <w:right w:w="80" w:type="dxa"/>
            </w:tcMar>
          </w:tcPr>
          <w:p>
            <w:pPr>
              <w:jc w:val="left"/>
            </w:pPr>
            <w:r>
              <w:rPr>
                <w:sz w:val="16"/>
              </w:rPr>
            </w:r>
            <w:r>
              <w:rPr>
                <w:b w:val="0"/>
                <w:sz w:val="16"/>
              </w:rPr>
              <w:t>Technical and process cause; avoid blaming individuals.</w:t>
            </w:r>
          </w:p>
        </w:tc>
      </w:tr>
      <w:tr>
        <w:tc>
          <w:tcPr>
            <w:tcW w:type="dxa" w:w="2592"/>
            <w:vAlign w:val="top"/>
            <w:tcMar>
              <w:top w:w="80" w:type="dxa"/>
              <w:left w:w="80" w:type="dxa"/>
              <w:bottom w:w="80" w:type="dxa"/>
              <w:right w:w="80" w:type="dxa"/>
            </w:tcMar>
          </w:tcPr>
          <w:p>
            <w:pPr>
              <w:jc w:val="left"/>
            </w:pPr>
            <w:r>
              <w:rPr>
                <w:sz w:val="16"/>
              </w:rPr>
            </w:r>
            <w:r>
              <w:rPr>
                <w:b w:val="0"/>
                <w:sz w:val="16"/>
              </w:rPr>
              <w:t>Contributing factors</w:t>
            </w:r>
          </w:p>
        </w:tc>
        <w:tc>
          <w:tcPr>
            <w:tcW w:type="dxa" w:w="7920"/>
            <w:vAlign w:val="top"/>
            <w:tcMar>
              <w:top w:w="80" w:type="dxa"/>
              <w:left w:w="80" w:type="dxa"/>
              <w:bottom w:w="80" w:type="dxa"/>
              <w:right w:w="80" w:type="dxa"/>
            </w:tcMar>
          </w:tcPr>
          <w:p>
            <w:pPr>
              <w:jc w:val="left"/>
            </w:pPr>
            <w:r>
              <w:rPr>
                <w:sz w:val="16"/>
              </w:rPr>
            </w:r>
            <w:r>
              <w:rPr>
                <w:b w:val="0"/>
                <w:sz w:val="16"/>
              </w:rPr>
              <w:t>Monitoring gap, test gap, design gap, knowledge gap, change gap, dependency issue.</w:t>
            </w:r>
          </w:p>
        </w:tc>
      </w:tr>
      <w:tr>
        <w:tc>
          <w:tcPr>
            <w:tcW w:type="dxa" w:w="2592"/>
            <w:vAlign w:val="top"/>
            <w:tcMar>
              <w:top w:w="80" w:type="dxa"/>
              <w:left w:w="80" w:type="dxa"/>
              <w:bottom w:w="80" w:type="dxa"/>
              <w:right w:w="80" w:type="dxa"/>
            </w:tcMar>
          </w:tcPr>
          <w:p>
            <w:pPr>
              <w:jc w:val="left"/>
            </w:pPr>
            <w:r>
              <w:rPr>
                <w:sz w:val="16"/>
              </w:rPr>
            </w:r>
            <w:r>
              <w:rPr>
                <w:b w:val="0"/>
                <w:sz w:val="16"/>
              </w:rPr>
              <w:t>Corrective action</w:t>
            </w:r>
          </w:p>
        </w:tc>
        <w:tc>
          <w:tcPr>
            <w:tcW w:type="dxa" w:w="7920"/>
            <w:vAlign w:val="top"/>
            <w:tcMar>
              <w:top w:w="80" w:type="dxa"/>
              <w:left w:w="80" w:type="dxa"/>
              <w:bottom w:w="80" w:type="dxa"/>
              <w:right w:w="80" w:type="dxa"/>
            </w:tcMar>
          </w:tcPr>
          <w:p>
            <w:pPr>
              <w:jc w:val="left"/>
            </w:pPr>
            <w:r>
              <w:rPr>
                <w:sz w:val="16"/>
              </w:rPr>
            </w:r>
            <w:r>
              <w:rPr>
                <w:b w:val="0"/>
                <w:sz w:val="16"/>
              </w:rPr>
              <w:t>Fix, rollback, guardrail, runbook, test, monitor, policy, architecture update.</w:t>
            </w:r>
          </w:p>
        </w:tc>
      </w:tr>
      <w:tr>
        <w:tc>
          <w:tcPr>
            <w:tcW w:type="dxa" w:w="2592"/>
            <w:vAlign w:val="top"/>
            <w:tcMar>
              <w:top w:w="80" w:type="dxa"/>
              <w:left w:w="80" w:type="dxa"/>
              <w:bottom w:w="80" w:type="dxa"/>
              <w:right w:w="80" w:type="dxa"/>
            </w:tcMar>
          </w:tcPr>
          <w:p>
            <w:pPr>
              <w:jc w:val="left"/>
            </w:pPr>
            <w:r>
              <w:rPr>
                <w:sz w:val="16"/>
              </w:rPr>
            </w:r>
            <w:r>
              <w:rPr>
                <w:b w:val="0"/>
                <w:sz w:val="16"/>
              </w:rPr>
              <w:t>Preventive action</w:t>
            </w:r>
          </w:p>
        </w:tc>
        <w:tc>
          <w:tcPr>
            <w:tcW w:type="dxa" w:w="7920"/>
            <w:vAlign w:val="top"/>
            <w:tcMar>
              <w:top w:w="80" w:type="dxa"/>
              <w:left w:w="80" w:type="dxa"/>
              <w:bottom w:w="80" w:type="dxa"/>
              <w:right w:w="80" w:type="dxa"/>
            </w:tcMar>
          </w:tcPr>
          <w:p>
            <w:pPr>
              <w:jc w:val="left"/>
            </w:pPr>
            <w:r>
              <w:rPr>
                <w:sz w:val="16"/>
              </w:rPr>
            </w:r>
            <w:r>
              <w:rPr>
                <w:b w:val="0"/>
                <w:sz w:val="16"/>
              </w:rPr>
              <w:t>Architecture fitness function, CI gate, training, SLO alert, automation, capacity improvement.</w:t>
            </w:r>
          </w:p>
        </w:tc>
      </w:tr>
      <w:tr>
        <w:tc>
          <w:tcPr>
            <w:tcW w:type="dxa" w:w="2592"/>
            <w:vAlign w:val="top"/>
            <w:tcMar>
              <w:top w:w="80" w:type="dxa"/>
              <w:left w:w="80" w:type="dxa"/>
              <w:bottom w:w="80" w:type="dxa"/>
              <w:right w:w="80" w:type="dxa"/>
            </w:tcMar>
          </w:tcPr>
          <w:p>
            <w:pPr>
              <w:jc w:val="left"/>
            </w:pPr>
            <w:r>
              <w:rPr>
                <w:sz w:val="16"/>
              </w:rPr>
            </w:r>
            <w:r>
              <w:rPr>
                <w:b w:val="0"/>
                <w:sz w:val="16"/>
              </w:rPr>
              <w:t>Evidence references</w:t>
            </w:r>
          </w:p>
        </w:tc>
        <w:tc>
          <w:tcPr>
            <w:tcW w:type="dxa" w:w="7920"/>
            <w:vAlign w:val="top"/>
            <w:tcMar>
              <w:top w:w="80" w:type="dxa"/>
              <w:left w:w="80" w:type="dxa"/>
              <w:bottom w:w="80" w:type="dxa"/>
              <w:right w:w="80" w:type="dxa"/>
            </w:tcMar>
          </w:tcPr>
          <w:p>
            <w:pPr>
              <w:jc w:val="left"/>
            </w:pPr>
            <w:r>
              <w:rPr>
                <w:sz w:val="16"/>
              </w:rPr>
            </w:r>
            <w:r>
              <w:rPr>
                <w:b w:val="0"/>
                <w:sz w:val="16"/>
              </w:rPr>
              <w:t>Tickets, traces, logs, Wazuh/TheHive, CI/CD, Git commits, change records, screenshots.</w:t>
            </w:r>
          </w:p>
        </w:tc>
      </w:tr>
    </w:tbl>
    <w:p>
      <w:pPr>
        <w:pStyle w:val="Heading1"/>
        <w:spacing w:after="80" w:line="252" w:lineRule="auto"/>
      </w:pPr>
      <w:r>
        <w:t>10. Change, Release, Deployment, and Production Transition Interface</w:t>
      </w:r>
    </w:p>
    <w:p>
      <w:pPr>
        <w:spacing w:after="80" w:line="252" w:lineRule="auto"/>
      </w:pPr>
      <w:r>
        <w:t>Document 30 governs release and CAB approval. This standard defines the operational readiness and post-deployment responsibilities that must be met before a release becomes a supported service.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Transition Gate</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Operational Requirement</w:t>
            </w:r>
          </w:p>
        </w:tc>
      </w:tr>
      <w:tr>
        <w:tc>
          <w:tcPr>
            <w:tcW w:type="dxa" w:w="2592"/>
            <w:vAlign w:val="top"/>
            <w:tcMar>
              <w:top w:w="80" w:type="dxa"/>
              <w:left w:w="80" w:type="dxa"/>
              <w:bottom w:w="80" w:type="dxa"/>
              <w:right w:w="80" w:type="dxa"/>
            </w:tcMar>
          </w:tcPr>
          <w:p>
            <w:pPr>
              <w:jc w:val="left"/>
            </w:pPr>
            <w:r>
              <w:rPr>
                <w:sz w:val="16"/>
              </w:rPr>
            </w:r>
            <w:r>
              <w:rPr>
                <w:b w:val="0"/>
                <w:sz w:val="16"/>
              </w:rPr>
              <w:t>Service Catalog Updated</w:t>
            </w:r>
          </w:p>
        </w:tc>
        <w:tc>
          <w:tcPr>
            <w:tcW w:type="dxa" w:w="7920"/>
            <w:vAlign w:val="top"/>
            <w:tcMar>
              <w:top w:w="80" w:type="dxa"/>
              <w:left w:w="80" w:type="dxa"/>
              <w:bottom w:w="80" w:type="dxa"/>
              <w:right w:w="80" w:type="dxa"/>
            </w:tcMar>
          </w:tcPr>
          <w:p>
            <w:pPr>
              <w:jc w:val="left"/>
            </w:pPr>
            <w:r>
              <w:rPr>
                <w:sz w:val="16"/>
              </w:rPr>
            </w:r>
            <w:r>
              <w:rPr>
                <w:b w:val="0"/>
                <w:sz w:val="16"/>
              </w:rPr>
              <w:t>New or changed service/component has owner, support group, SLO profile, dependencies, and evidence path.</w:t>
            </w:r>
          </w:p>
        </w:tc>
      </w:tr>
      <w:tr>
        <w:tc>
          <w:tcPr>
            <w:tcW w:type="dxa" w:w="2592"/>
            <w:vAlign w:val="top"/>
            <w:tcMar>
              <w:top w:w="80" w:type="dxa"/>
              <w:left w:w="80" w:type="dxa"/>
              <w:bottom w:w="80" w:type="dxa"/>
              <w:right w:w="80" w:type="dxa"/>
            </w:tcMar>
          </w:tcPr>
          <w:p>
            <w:pPr>
              <w:jc w:val="left"/>
            </w:pPr>
            <w:r>
              <w:rPr>
                <w:sz w:val="16"/>
              </w:rPr>
            </w:r>
            <w:r>
              <w:rPr>
                <w:b w:val="0"/>
                <w:sz w:val="16"/>
              </w:rPr>
              <w:t>Monitoring Ready</w:t>
            </w:r>
          </w:p>
        </w:tc>
        <w:tc>
          <w:tcPr>
            <w:tcW w:type="dxa" w:w="7920"/>
            <w:vAlign w:val="top"/>
            <w:tcMar>
              <w:top w:w="80" w:type="dxa"/>
              <w:left w:w="80" w:type="dxa"/>
              <w:bottom w:w="80" w:type="dxa"/>
              <w:right w:w="80" w:type="dxa"/>
            </w:tcMar>
          </w:tcPr>
          <w:p>
            <w:pPr>
              <w:jc w:val="left"/>
            </w:pPr>
            <w:r>
              <w:rPr>
                <w:sz w:val="16"/>
              </w:rPr>
            </w:r>
            <w:r>
              <w:rPr>
                <w:b w:val="0"/>
                <w:sz w:val="16"/>
              </w:rPr>
              <w:t>Dashboards, alerts, log queries, traces, Sentry/SigNoz views, and Wazuh rules where applicable are ready.</w:t>
            </w:r>
          </w:p>
        </w:tc>
      </w:tr>
      <w:tr>
        <w:tc>
          <w:tcPr>
            <w:tcW w:type="dxa" w:w="2592"/>
            <w:vAlign w:val="top"/>
            <w:tcMar>
              <w:top w:w="80" w:type="dxa"/>
              <w:left w:w="80" w:type="dxa"/>
              <w:bottom w:w="80" w:type="dxa"/>
              <w:right w:w="80" w:type="dxa"/>
            </w:tcMar>
          </w:tcPr>
          <w:p>
            <w:pPr>
              <w:jc w:val="left"/>
            </w:pPr>
            <w:r>
              <w:rPr>
                <w:sz w:val="16"/>
              </w:rPr>
            </w:r>
            <w:r>
              <w:rPr>
                <w:b w:val="0"/>
                <w:sz w:val="16"/>
              </w:rPr>
              <w:t>Runbook Ready</w:t>
            </w:r>
          </w:p>
        </w:tc>
        <w:tc>
          <w:tcPr>
            <w:tcW w:type="dxa" w:w="7920"/>
            <w:vAlign w:val="top"/>
            <w:tcMar>
              <w:top w:w="80" w:type="dxa"/>
              <w:left w:w="80" w:type="dxa"/>
              <w:bottom w:w="80" w:type="dxa"/>
              <w:right w:w="80" w:type="dxa"/>
            </w:tcMar>
          </w:tcPr>
          <w:p>
            <w:pPr>
              <w:jc w:val="left"/>
            </w:pPr>
            <w:r>
              <w:rPr>
                <w:sz w:val="16"/>
              </w:rPr>
            </w:r>
            <w:r>
              <w:rPr>
                <w:b w:val="0"/>
                <w:sz w:val="16"/>
              </w:rPr>
              <w:t>Known recovery, rollback, triage, restart, replay, DLQ, and escalation procedures exist.</w:t>
            </w:r>
          </w:p>
        </w:tc>
      </w:tr>
      <w:tr>
        <w:tc>
          <w:tcPr>
            <w:tcW w:type="dxa" w:w="2592"/>
            <w:vAlign w:val="top"/>
            <w:tcMar>
              <w:top w:w="80" w:type="dxa"/>
              <w:left w:w="80" w:type="dxa"/>
              <w:bottom w:w="80" w:type="dxa"/>
              <w:right w:w="80" w:type="dxa"/>
            </w:tcMar>
          </w:tcPr>
          <w:p>
            <w:pPr>
              <w:jc w:val="left"/>
            </w:pPr>
            <w:r>
              <w:rPr>
                <w:sz w:val="16"/>
              </w:rPr>
            </w:r>
            <w:r>
              <w:rPr>
                <w:b w:val="0"/>
                <w:sz w:val="16"/>
              </w:rPr>
              <w:t>Zammad Ready</w:t>
            </w:r>
          </w:p>
        </w:tc>
        <w:tc>
          <w:tcPr>
            <w:tcW w:type="dxa" w:w="7920"/>
            <w:vAlign w:val="top"/>
            <w:tcMar>
              <w:top w:w="80" w:type="dxa"/>
              <w:left w:w="80" w:type="dxa"/>
              <w:bottom w:w="80" w:type="dxa"/>
              <w:right w:w="80" w:type="dxa"/>
            </w:tcMar>
          </w:tcPr>
          <w:p>
            <w:pPr>
              <w:jc w:val="left"/>
            </w:pPr>
            <w:r>
              <w:rPr>
                <w:sz w:val="16"/>
              </w:rPr>
            </w:r>
            <w:r>
              <w:rPr>
                <w:b w:val="0"/>
                <w:sz w:val="16"/>
              </w:rPr>
              <w:t>Ticket queues, categories, templates, severity rules, and assignment groups are configured.</w:t>
            </w:r>
          </w:p>
        </w:tc>
      </w:tr>
      <w:tr>
        <w:tc>
          <w:tcPr>
            <w:tcW w:type="dxa" w:w="2592"/>
            <w:vAlign w:val="top"/>
            <w:tcMar>
              <w:top w:w="80" w:type="dxa"/>
              <w:left w:w="80" w:type="dxa"/>
              <w:bottom w:w="80" w:type="dxa"/>
              <w:right w:w="80" w:type="dxa"/>
            </w:tcMar>
          </w:tcPr>
          <w:p>
            <w:pPr>
              <w:jc w:val="left"/>
            </w:pPr>
            <w:r>
              <w:rPr>
                <w:sz w:val="16"/>
              </w:rPr>
            </w:r>
            <w:r>
              <w:rPr>
                <w:b w:val="0"/>
                <w:sz w:val="16"/>
              </w:rPr>
              <w:t>Security Monitoring Ready</w:t>
            </w:r>
          </w:p>
        </w:tc>
        <w:tc>
          <w:tcPr>
            <w:tcW w:type="dxa" w:w="7920"/>
            <w:vAlign w:val="top"/>
            <w:tcMar>
              <w:top w:w="80" w:type="dxa"/>
              <w:left w:w="80" w:type="dxa"/>
              <w:bottom w:w="80" w:type="dxa"/>
              <w:right w:w="80" w:type="dxa"/>
            </w:tcMar>
          </w:tcPr>
          <w:p>
            <w:pPr>
              <w:jc w:val="left"/>
            </w:pPr>
            <w:r>
              <w:rPr>
                <w:sz w:val="16"/>
              </w:rPr>
            </w:r>
            <w:r>
              <w:rPr>
                <w:b w:val="0"/>
                <w:sz w:val="16"/>
              </w:rPr>
              <w:t>Security-relevant events flow to Wazuh/TheHive/Cortex workflow where required.</w:t>
            </w:r>
          </w:p>
        </w:tc>
      </w:tr>
      <w:tr>
        <w:tc>
          <w:tcPr>
            <w:tcW w:type="dxa" w:w="2592"/>
            <w:vAlign w:val="top"/>
            <w:tcMar>
              <w:top w:w="80" w:type="dxa"/>
              <w:left w:w="80" w:type="dxa"/>
              <w:bottom w:w="80" w:type="dxa"/>
              <w:right w:w="80" w:type="dxa"/>
            </w:tcMar>
          </w:tcPr>
          <w:p>
            <w:pPr>
              <w:jc w:val="left"/>
            </w:pPr>
            <w:r>
              <w:rPr>
                <w:sz w:val="16"/>
              </w:rPr>
            </w:r>
            <w:r>
              <w:rPr>
                <w:b w:val="0"/>
                <w:sz w:val="16"/>
              </w:rPr>
              <w:t>Hypercare Plan Ready</w:t>
            </w:r>
          </w:p>
        </w:tc>
        <w:tc>
          <w:tcPr>
            <w:tcW w:type="dxa" w:w="7920"/>
            <w:vAlign w:val="top"/>
            <w:tcMar>
              <w:top w:w="80" w:type="dxa"/>
              <w:left w:w="80" w:type="dxa"/>
              <w:bottom w:w="80" w:type="dxa"/>
              <w:right w:w="80" w:type="dxa"/>
            </w:tcMar>
          </w:tcPr>
          <w:p>
            <w:pPr>
              <w:jc w:val="left"/>
            </w:pPr>
            <w:r>
              <w:rPr>
                <w:sz w:val="16"/>
              </w:rPr>
            </w:r>
            <w:r>
              <w:rPr>
                <w:b w:val="0"/>
                <w:sz w:val="16"/>
              </w:rPr>
              <w:t>Release support window, owner schedule, communication channel, known limitations, and rollback criteria are defined.</w:t>
            </w:r>
          </w:p>
        </w:tc>
      </w:tr>
      <w:tr>
        <w:tc>
          <w:tcPr>
            <w:tcW w:type="dxa" w:w="2592"/>
            <w:vAlign w:val="top"/>
            <w:tcMar>
              <w:top w:w="80" w:type="dxa"/>
              <w:left w:w="80" w:type="dxa"/>
              <w:bottom w:w="80" w:type="dxa"/>
              <w:right w:w="80" w:type="dxa"/>
            </w:tcMar>
          </w:tcPr>
          <w:p>
            <w:pPr>
              <w:jc w:val="left"/>
            </w:pPr>
            <w:r>
              <w:rPr>
                <w:sz w:val="16"/>
              </w:rPr>
            </w:r>
            <w:r>
              <w:rPr>
                <w:b w:val="0"/>
                <w:sz w:val="16"/>
              </w:rPr>
              <w:t>Knowledge Updated</w:t>
            </w:r>
          </w:p>
        </w:tc>
        <w:tc>
          <w:tcPr>
            <w:tcW w:type="dxa" w:w="7920"/>
            <w:vAlign w:val="top"/>
            <w:tcMar>
              <w:top w:w="80" w:type="dxa"/>
              <w:left w:w="80" w:type="dxa"/>
              <w:bottom w:w="80" w:type="dxa"/>
              <w:right w:w="80" w:type="dxa"/>
            </w:tcMar>
          </w:tcPr>
          <w:p>
            <w:pPr>
              <w:jc w:val="left"/>
            </w:pPr>
            <w:r>
              <w:rPr>
                <w:sz w:val="16"/>
              </w:rPr>
            </w:r>
            <w:r>
              <w:rPr>
                <w:b w:val="0"/>
                <w:sz w:val="16"/>
              </w:rPr>
              <w:t>OpenKM, Obsidian, LLM Wiki, and service dashboard references are updated and reviewed.</w:t>
            </w:r>
          </w:p>
        </w:tc>
      </w:tr>
    </w:tbl>
    <w:p>
      <w:pPr>
        <w:pStyle w:val="Heading1"/>
        <w:spacing w:after="80" w:line="252" w:lineRule="auto"/>
      </w:pPr>
      <w:r>
        <w:t>11. Observability, APM, Logging, Metrics, and Tracing</w:t>
      </w:r>
    </w:p>
    <w:p>
      <w:pPr>
        <w:spacing w:after="80" w:line="252" w:lineRule="auto"/>
      </w:pPr>
      <w:r>
        <w:t>AIRA observability is not optional telemetry. It is production evidence. Every critical path must be traceable from user/API request through gateway, service, workflow, database, event bus, AI gateway, audit, and response.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160"/>
            <w:vAlign w:val="top"/>
            <w:shd w:fill="1F4E79"/>
            <w:tcMar>
              <w:top w:w="80" w:type="dxa"/>
              <w:left w:w="80" w:type="dxa"/>
              <w:bottom w:w="80" w:type="dxa"/>
              <w:right w:w="80" w:type="dxa"/>
            </w:tcMar>
          </w:tcPr>
          <w:p>
            <w:pPr>
              <w:jc w:val="left"/>
            </w:pPr>
            <w:r>
              <w:rPr>
                <w:b/>
                <w:color w:val="FFFFFF"/>
                <w:sz w:val="16"/>
              </w:rPr>
            </w:r>
            <w:r>
              <w:rPr>
                <w:b/>
                <w:color w:val="FFFFFF"/>
                <w:sz w:val="16"/>
              </w:rPr>
              <w:t>Capability</w:t>
            </w:r>
          </w:p>
        </w:tc>
        <w:tc>
          <w:tcPr>
            <w:tcW w:type="dxa" w:w="3456"/>
            <w:vAlign w:val="top"/>
            <w:shd w:fill="1F4E79"/>
            <w:tcMar>
              <w:top w:w="80" w:type="dxa"/>
              <w:left w:w="80" w:type="dxa"/>
              <w:bottom w:w="80" w:type="dxa"/>
              <w:right w:w="80" w:type="dxa"/>
            </w:tcMar>
          </w:tcPr>
          <w:p>
            <w:pPr>
              <w:jc w:val="left"/>
            </w:pPr>
            <w:r>
              <w:rPr>
                <w:b/>
                <w:color w:val="FFFFFF"/>
                <w:sz w:val="16"/>
              </w:rPr>
            </w:r>
            <w:r>
              <w:rPr>
                <w:b/>
                <w:color w:val="FFFFFF"/>
                <w:sz w:val="16"/>
              </w:rPr>
              <w:t>Primary Tools</w:t>
            </w:r>
          </w:p>
        </w:tc>
        <w:tc>
          <w:tcPr>
            <w:tcW w:type="dxa" w:w="4896"/>
            <w:vAlign w:val="top"/>
            <w:shd w:fill="1F4E79"/>
            <w:tcMar>
              <w:top w:w="80" w:type="dxa"/>
              <w:left w:w="80" w:type="dxa"/>
              <w:bottom w:w="80" w:type="dxa"/>
              <w:right w:w="80" w:type="dxa"/>
            </w:tcMar>
          </w:tcPr>
          <w:p>
            <w:pPr>
              <w:jc w:val="left"/>
            </w:pPr>
            <w:r>
              <w:rPr>
                <w:b/>
                <w:color w:val="FFFFFF"/>
                <w:sz w:val="16"/>
              </w:rPr>
            </w:r>
            <w:r>
              <w:rPr>
                <w:b/>
                <w:color w:val="FFFFFF"/>
                <w:sz w:val="16"/>
              </w:rPr>
              <w:t>AIRA Use</w:t>
            </w:r>
          </w:p>
        </w:tc>
      </w:tr>
      <w:tr>
        <w:tc>
          <w:tcPr>
            <w:tcW w:type="dxa" w:w="2160"/>
            <w:vAlign w:val="top"/>
            <w:tcMar>
              <w:top w:w="80" w:type="dxa"/>
              <w:left w:w="80" w:type="dxa"/>
              <w:bottom w:w="80" w:type="dxa"/>
              <w:right w:w="80" w:type="dxa"/>
            </w:tcMar>
          </w:tcPr>
          <w:p>
            <w:pPr>
              <w:jc w:val="left"/>
            </w:pPr>
            <w:r>
              <w:rPr>
                <w:sz w:val="16"/>
              </w:rPr>
            </w:r>
            <w:r>
              <w:rPr>
                <w:b w:val="0"/>
                <w:sz w:val="16"/>
              </w:rPr>
              <w:t>Metrics</w:t>
            </w:r>
          </w:p>
        </w:tc>
        <w:tc>
          <w:tcPr>
            <w:tcW w:type="dxa" w:w="3456"/>
            <w:vAlign w:val="top"/>
            <w:tcMar>
              <w:top w:w="80" w:type="dxa"/>
              <w:left w:w="80" w:type="dxa"/>
              <w:bottom w:w="80" w:type="dxa"/>
              <w:right w:w="80" w:type="dxa"/>
            </w:tcMar>
          </w:tcPr>
          <w:p>
            <w:pPr>
              <w:jc w:val="left"/>
            </w:pPr>
            <w:r>
              <w:rPr>
                <w:sz w:val="16"/>
              </w:rPr>
            </w:r>
            <w:r>
              <w:rPr>
                <w:b w:val="0"/>
                <w:sz w:val="16"/>
              </w:rPr>
              <w:t>Prometheus, Thanos, Grafana</w:t>
            </w:r>
          </w:p>
        </w:tc>
        <w:tc>
          <w:tcPr>
            <w:tcW w:type="dxa" w:w="4896"/>
            <w:vAlign w:val="top"/>
            <w:tcMar>
              <w:top w:w="80" w:type="dxa"/>
              <w:left w:w="80" w:type="dxa"/>
              <w:bottom w:w="80" w:type="dxa"/>
              <w:right w:w="80" w:type="dxa"/>
            </w:tcMar>
          </w:tcPr>
          <w:p>
            <w:pPr>
              <w:jc w:val="left"/>
            </w:pPr>
            <w:r>
              <w:rPr>
                <w:sz w:val="16"/>
              </w:rPr>
            </w:r>
            <w:r>
              <w:rPr>
                <w:b w:val="0"/>
                <w:sz w:val="16"/>
              </w:rPr>
              <w:t>Service health, SLO calculation, resource saturation, workflow and queue metrics, platform dashboards.</w:t>
            </w:r>
          </w:p>
        </w:tc>
      </w:tr>
      <w:tr>
        <w:tc>
          <w:tcPr>
            <w:tcW w:type="dxa" w:w="2160"/>
            <w:vAlign w:val="top"/>
            <w:tcMar>
              <w:top w:w="80" w:type="dxa"/>
              <w:left w:w="80" w:type="dxa"/>
              <w:bottom w:w="80" w:type="dxa"/>
              <w:right w:w="80" w:type="dxa"/>
            </w:tcMar>
          </w:tcPr>
          <w:p>
            <w:pPr>
              <w:jc w:val="left"/>
            </w:pPr>
            <w:r>
              <w:rPr>
                <w:sz w:val="16"/>
              </w:rPr>
            </w:r>
            <w:r>
              <w:rPr>
                <w:b w:val="0"/>
                <w:sz w:val="16"/>
              </w:rPr>
              <w:t>Logs</w:t>
            </w:r>
          </w:p>
        </w:tc>
        <w:tc>
          <w:tcPr>
            <w:tcW w:type="dxa" w:w="3456"/>
            <w:vAlign w:val="top"/>
            <w:tcMar>
              <w:top w:w="80" w:type="dxa"/>
              <w:left w:w="80" w:type="dxa"/>
              <w:bottom w:w="80" w:type="dxa"/>
              <w:right w:w="80" w:type="dxa"/>
            </w:tcMar>
          </w:tcPr>
          <w:p>
            <w:pPr>
              <w:jc w:val="left"/>
            </w:pPr>
            <w:r>
              <w:rPr>
                <w:sz w:val="16"/>
              </w:rPr>
            </w:r>
            <w:r>
              <w:rPr>
                <w:b w:val="0"/>
                <w:sz w:val="16"/>
              </w:rPr>
              <w:t>Loki, Log4j2 structured JSON, Grafana</w:t>
            </w:r>
          </w:p>
        </w:tc>
        <w:tc>
          <w:tcPr>
            <w:tcW w:type="dxa" w:w="4896"/>
            <w:vAlign w:val="top"/>
            <w:tcMar>
              <w:top w:w="80" w:type="dxa"/>
              <w:left w:w="80" w:type="dxa"/>
              <w:bottom w:w="80" w:type="dxa"/>
              <w:right w:w="80" w:type="dxa"/>
            </w:tcMar>
          </w:tcPr>
          <w:p>
            <w:pPr>
              <w:jc w:val="left"/>
            </w:pPr>
            <w:r>
              <w:rPr>
                <w:sz w:val="16"/>
              </w:rPr>
            </w:r>
            <w:r>
              <w:rPr>
                <w:b w:val="0"/>
                <w:sz w:val="16"/>
              </w:rPr>
              <w:t>Application logs, platform logs, operational troubleshooting with redaction.</w:t>
            </w:r>
          </w:p>
        </w:tc>
      </w:tr>
      <w:tr>
        <w:tc>
          <w:tcPr>
            <w:tcW w:type="dxa" w:w="2160"/>
            <w:vAlign w:val="top"/>
            <w:tcMar>
              <w:top w:w="80" w:type="dxa"/>
              <w:left w:w="80" w:type="dxa"/>
              <w:bottom w:w="80" w:type="dxa"/>
              <w:right w:w="80" w:type="dxa"/>
            </w:tcMar>
          </w:tcPr>
          <w:p>
            <w:pPr>
              <w:jc w:val="left"/>
            </w:pPr>
            <w:r>
              <w:rPr>
                <w:sz w:val="16"/>
              </w:rPr>
            </w:r>
            <w:r>
              <w:rPr>
                <w:b w:val="0"/>
                <w:sz w:val="16"/>
              </w:rPr>
              <w:t>Traces</w:t>
            </w:r>
          </w:p>
        </w:tc>
        <w:tc>
          <w:tcPr>
            <w:tcW w:type="dxa" w:w="3456"/>
            <w:vAlign w:val="top"/>
            <w:tcMar>
              <w:top w:w="80" w:type="dxa"/>
              <w:left w:w="80" w:type="dxa"/>
              <w:bottom w:w="80" w:type="dxa"/>
              <w:right w:w="80" w:type="dxa"/>
            </w:tcMar>
          </w:tcPr>
          <w:p>
            <w:pPr>
              <w:jc w:val="left"/>
            </w:pPr>
            <w:r>
              <w:rPr>
                <w:sz w:val="16"/>
              </w:rPr>
            </w:r>
            <w:r>
              <w:rPr>
                <w:b w:val="0"/>
                <w:sz w:val="16"/>
              </w:rPr>
              <w:t>OpenTelemetry, Tempo, Grafana, SigNoz</w:t>
            </w:r>
          </w:p>
        </w:tc>
        <w:tc>
          <w:tcPr>
            <w:tcW w:type="dxa" w:w="4896"/>
            <w:vAlign w:val="top"/>
            <w:tcMar>
              <w:top w:w="80" w:type="dxa"/>
              <w:left w:w="80" w:type="dxa"/>
              <w:bottom w:w="80" w:type="dxa"/>
              <w:right w:w="80" w:type="dxa"/>
            </w:tcMar>
          </w:tcPr>
          <w:p>
            <w:pPr>
              <w:jc w:val="left"/>
            </w:pPr>
            <w:r>
              <w:rPr>
                <w:sz w:val="16"/>
              </w:rPr>
            </w:r>
            <w:r>
              <w:rPr>
                <w:b w:val="0"/>
                <w:sz w:val="16"/>
              </w:rPr>
              <w:t>Distributed tracing across gateway, services, workflows, database, Kafka, AI calls.</w:t>
            </w:r>
          </w:p>
        </w:tc>
      </w:tr>
      <w:tr>
        <w:tc>
          <w:tcPr>
            <w:tcW w:type="dxa" w:w="2160"/>
            <w:vAlign w:val="top"/>
            <w:tcMar>
              <w:top w:w="80" w:type="dxa"/>
              <w:left w:w="80" w:type="dxa"/>
              <w:bottom w:w="80" w:type="dxa"/>
              <w:right w:w="80" w:type="dxa"/>
            </w:tcMar>
          </w:tcPr>
          <w:p>
            <w:pPr>
              <w:jc w:val="left"/>
            </w:pPr>
            <w:r>
              <w:rPr>
                <w:sz w:val="16"/>
              </w:rPr>
            </w:r>
            <w:r>
              <w:rPr>
                <w:b w:val="0"/>
                <w:sz w:val="16"/>
              </w:rPr>
              <w:t>Error Tracking</w:t>
            </w:r>
          </w:p>
        </w:tc>
        <w:tc>
          <w:tcPr>
            <w:tcW w:type="dxa" w:w="3456"/>
            <w:vAlign w:val="top"/>
            <w:tcMar>
              <w:top w:w="80" w:type="dxa"/>
              <w:left w:w="80" w:type="dxa"/>
              <w:bottom w:w="80" w:type="dxa"/>
              <w:right w:w="80" w:type="dxa"/>
            </w:tcMar>
          </w:tcPr>
          <w:p>
            <w:pPr>
              <w:jc w:val="left"/>
            </w:pPr>
            <w:r>
              <w:rPr>
                <w:sz w:val="16"/>
              </w:rPr>
            </w:r>
            <w:r>
              <w:rPr>
                <w:b w:val="0"/>
                <w:sz w:val="16"/>
              </w:rPr>
              <w:t>Sentry</w:t>
            </w:r>
          </w:p>
        </w:tc>
        <w:tc>
          <w:tcPr>
            <w:tcW w:type="dxa" w:w="4896"/>
            <w:vAlign w:val="top"/>
            <w:tcMar>
              <w:top w:w="80" w:type="dxa"/>
              <w:left w:w="80" w:type="dxa"/>
              <w:bottom w:w="80" w:type="dxa"/>
              <w:right w:w="80" w:type="dxa"/>
            </w:tcMar>
          </w:tcPr>
          <w:p>
            <w:pPr>
              <w:jc w:val="left"/>
            </w:pPr>
            <w:r>
              <w:rPr>
                <w:sz w:val="16"/>
              </w:rPr>
            </w:r>
            <w:r>
              <w:rPr>
                <w:b w:val="0"/>
                <w:sz w:val="16"/>
              </w:rPr>
              <w:t>Application errors, release health, stack trace triage with PII/secret redaction.</w:t>
            </w:r>
          </w:p>
        </w:tc>
      </w:tr>
      <w:tr>
        <w:tc>
          <w:tcPr>
            <w:tcW w:type="dxa" w:w="2160"/>
            <w:vAlign w:val="top"/>
            <w:tcMar>
              <w:top w:w="80" w:type="dxa"/>
              <w:left w:w="80" w:type="dxa"/>
              <w:bottom w:w="80" w:type="dxa"/>
              <w:right w:w="80" w:type="dxa"/>
            </w:tcMar>
          </w:tcPr>
          <w:p>
            <w:pPr>
              <w:jc w:val="left"/>
            </w:pPr>
            <w:r>
              <w:rPr>
                <w:sz w:val="16"/>
              </w:rPr>
            </w:r>
            <w:r>
              <w:rPr>
                <w:b w:val="0"/>
                <w:sz w:val="16"/>
              </w:rPr>
              <w:t>APM</w:t>
            </w:r>
          </w:p>
        </w:tc>
        <w:tc>
          <w:tcPr>
            <w:tcW w:type="dxa" w:w="3456"/>
            <w:vAlign w:val="top"/>
            <w:tcMar>
              <w:top w:w="80" w:type="dxa"/>
              <w:left w:w="80" w:type="dxa"/>
              <w:bottom w:w="80" w:type="dxa"/>
              <w:right w:w="80" w:type="dxa"/>
            </w:tcMar>
          </w:tcPr>
          <w:p>
            <w:pPr>
              <w:jc w:val="left"/>
            </w:pPr>
            <w:r>
              <w:rPr>
                <w:sz w:val="16"/>
              </w:rPr>
            </w:r>
            <w:r>
              <w:rPr>
                <w:b w:val="0"/>
                <w:sz w:val="16"/>
              </w:rPr>
              <w:t>SigNoz, OpenTelemetry</w:t>
            </w:r>
          </w:p>
        </w:tc>
        <w:tc>
          <w:tcPr>
            <w:tcW w:type="dxa" w:w="4896"/>
            <w:vAlign w:val="top"/>
            <w:tcMar>
              <w:top w:w="80" w:type="dxa"/>
              <w:left w:w="80" w:type="dxa"/>
              <w:bottom w:w="80" w:type="dxa"/>
              <w:right w:w="80" w:type="dxa"/>
            </w:tcMar>
          </w:tcPr>
          <w:p>
            <w:pPr>
              <w:jc w:val="left"/>
            </w:pPr>
            <w:r>
              <w:rPr>
                <w:sz w:val="16"/>
              </w:rPr>
            </w:r>
            <w:r>
              <w:rPr>
                <w:b w:val="0"/>
                <w:sz w:val="16"/>
              </w:rPr>
              <w:t>Latency analysis, service dependency maps, API performance, error correlation.</w:t>
            </w:r>
          </w:p>
        </w:tc>
      </w:tr>
      <w:tr>
        <w:tc>
          <w:tcPr>
            <w:tcW w:type="dxa" w:w="2160"/>
            <w:vAlign w:val="top"/>
            <w:tcMar>
              <w:top w:w="80" w:type="dxa"/>
              <w:left w:w="80" w:type="dxa"/>
              <w:bottom w:w="80" w:type="dxa"/>
              <w:right w:w="80" w:type="dxa"/>
            </w:tcMar>
          </w:tcPr>
          <w:p>
            <w:pPr>
              <w:jc w:val="left"/>
            </w:pPr>
            <w:r>
              <w:rPr>
                <w:sz w:val="16"/>
              </w:rPr>
            </w:r>
            <w:r>
              <w:rPr>
                <w:b w:val="0"/>
                <w:sz w:val="16"/>
              </w:rPr>
              <w:t>AI Observability</w:t>
            </w:r>
          </w:p>
        </w:tc>
        <w:tc>
          <w:tcPr>
            <w:tcW w:type="dxa" w:w="3456"/>
            <w:vAlign w:val="top"/>
            <w:tcMar>
              <w:top w:w="80" w:type="dxa"/>
              <w:left w:w="80" w:type="dxa"/>
              <w:bottom w:w="80" w:type="dxa"/>
              <w:right w:w="80" w:type="dxa"/>
            </w:tcMar>
          </w:tcPr>
          <w:p>
            <w:pPr>
              <w:jc w:val="left"/>
            </w:pPr>
            <w:r>
              <w:rPr>
                <w:sz w:val="16"/>
              </w:rPr>
            </w:r>
            <w:r>
              <w:rPr>
                <w:b w:val="0"/>
                <w:sz w:val="16"/>
              </w:rPr>
              <w:t>LiteLLM logs, guardrail events, prompt/model evaluation records, Grafana dashboards</w:t>
            </w:r>
          </w:p>
        </w:tc>
        <w:tc>
          <w:tcPr>
            <w:tcW w:type="dxa" w:w="4896"/>
            <w:vAlign w:val="top"/>
            <w:tcMar>
              <w:top w:w="80" w:type="dxa"/>
              <w:left w:w="80" w:type="dxa"/>
              <w:bottom w:w="80" w:type="dxa"/>
              <w:right w:w="80" w:type="dxa"/>
            </w:tcMar>
          </w:tcPr>
          <w:p>
            <w:pPr>
              <w:jc w:val="left"/>
            </w:pPr>
            <w:r>
              <w:rPr>
                <w:sz w:val="16"/>
              </w:rPr>
            </w:r>
            <w:r>
              <w:rPr>
                <w:b w:val="0"/>
                <w:sz w:val="16"/>
              </w:rPr>
              <w:t>Prompt usage, token/cost, model route, guardrail result, grounded output, evidence completeness.</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Telemetry Rule</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Requirement</w:t>
            </w:r>
          </w:p>
        </w:tc>
      </w:tr>
      <w:tr>
        <w:tc>
          <w:tcPr>
            <w:tcW w:type="dxa" w:w="2592"/>
            <w:vAlign w:val="top"/>
            <w:tcMar>
              <w:top w:w="80" w:type="dxa"/>
              <w:left w:w="80" w:type="dxa"/>
              <w:bottom w:w="80" w:type="dxa"/>
              <w:right w:w="80" w:type="dxa"/>
            </w:tcMar>
          </w:tcPr>
          <w:p>
            <w:pPr>
              <w:jc w:val="left"/>
            </w:pPr>
            <w:r>
              <w:rPr>
                <w:sz w:val="16"/>
              </w:rPr>
            </w:r>
            <w:r>
              <w:rPr>
                <w:b w:val="0"/>
                <w:sz w:val="16"/>
              </w:rPr>
              <w:t>Trace propagation</w:t>
            </w:r>
          </w:p>
        </w:tc>
        <w:tc>
          <w:tcPr>
            <w:tcW w:type="dxa" w:w="7920"/>
            <w:vAlign w:val="top"/>
            <w:tcMar>
              <w:top w:w="80" w:type="dxa"/>
              <w:left w:w="80" w:type="dxa"/>
              <w:bottom w:w="80" w:type="dxa"/>
              <w:right w:w="80" w:type="dxa"/>
            </w:tcMar>
          </w:tcPr>
          <w:p>
            <w:pPr>
              <w:jc w:val="left"/>
            </w:pPr>
            <w:r>
              <w:rPr>
                <w:sz w:val="16"/>
              </w:rPr>
            </w:r>
            <w:r>
              <w:rPr>
                <w:b w:val="0"/>
                <w:sz w:val="16"/>
              </w:rPr>
              <w:t>trace_id/request_id must flow through HTTP, Kafka, Temporal, Flowable, database audit, and AI call evidence.</w:t>
            </w:r>
          </w:p>
        </w:tc>
      </w:tr>
      <w:tr>
        <w:tc>
          <w:tcPr>
            <w:tcW w:type="dxa" w:w="2592"/>
            <w:vAlign w:val="top"/>
            <w:tcMar>
              <w:top w:w="80" w:type="dxa"/>
              <w:left w:w="80" w:type="dxa"/>
              <w:bottom w:w="80" w:type="dxa"/>
              <w:right w:w="80" w:type="dxa"/>
            </w:tcMar>
          </w:tcPr>
          <w:p>
            <w:pPr>
              <w:jc w:val="left"/>
            </w:pPr>
            <w:r>
              <w:rPr>
                <w:sz w:val="16"/>
              </w:rPr>
            </w:r>
            <w:r>
              <w:rPr>
                <w:b w:val="0"/>
                <w:sz w:val="16"/>
              </w:rPr>
              <w:t>No sensitive leakage</w:t>
            </w:r>
          </w:p>
        </w:tc>
        <w:tc>
          <w:tcPr>
            <w:tcW w:type="dxa" w:w="7920"/>
            <w:vAlign w:val="top"/>
            <w:tcMar>
              <w:top w:w="80" w:type="dxa"/>
              <w:left w:w="80" w:type="dxa"/>
              <w:bottom w:w="80" w:type="dxa"/>
              <w:right w:w="80" w:type="dxa"/>
            </w:tcMar>
          </w:tcPr>
          <w:p>
            <w:pPr>
              <w:jc w:val="left"/>
            </w:pPr>
            <w:r>
              <w:rPr>
                <w:sz w:val="16"/>
              </w:rPr>
            </w:r>
            <w:r>
              <w:rPr>
                <w:b w:val="0"/>
                <w:sz w:val="16"/>
              </w:rPr>
              <w:t>No secrets, tokens, raw PII, Restricted data, or raw document content in logs/traces/prompts.</w:t>
            </w:r>
          </w:p>
        </w:tc>
      </w:tr>
      <w:tr>
        <w:tc>
          <w:tcPr>
            <w:tcW w:type="dxa" w:w="2592"/>
            <w:vAlign w:val="top"/>
            <w:tcMar>
              <w:top w:w="80" w:type="dxa"/>
              <w:left w:w="80" w:type="dxa"/>
              <w:bottom w:w="80" w:type="dxa"/>
              <w:right w:w="80" w:type="dxa"/>
            </w:tcMar>
          </w:tcPr>
          <w:p>
            <w:pPr>
              <w:jc w:val="left"/>
            </w:pPr>
            <w:r>
              <w:rPr>
                <w:sz w:val="16"/>
              </w:rPr>
            </w:r>
            <w:r>
              <w:rPr>
                <w:b w:val="0"/>
                <w:sz w:val="16"/>
              </w:rPr>
              <w:t>Structured logs</w:t>
            </w:r>
          </w:p>
        </w:tc>
        <w:tc>
          <w:tcPr>
            <w:tcW w:type="dxa" w:w="7920"/>
            <w:vAlign w:val="top"/>
            <w:tcMar>
              <w:top w:w="80" w:type="dxa"/>
              <w:left w:w="80" w:type="dxa"/>
              <w:bottom w:w="80" w:type="dxa"/>
              <w:right w:w="80" w:type="dxa"/>
            </w:tcMar>
          </w:tcPr>
          <w:p>
            <w:pPr>
              <w:jc w:val="left"/>
            </w:pPr>
            <w:r>
              <w:rPr>
                <w:sz w:val="16"/>
              </w:rPr>
            </w:r>
            <w:r>
              <w:rPr>
                <w:b w:val="0"/>
                <w:sz w:val="16"/>
              </w:rPr>
              <w:t>Use JSON logs with service, environment, actor hash, classification, event type, error code, and trace ID.</w:t>
            </w:r>
          </w:p>
        </w:tc>
      </w:tr>
      <w:tr>
        <w:tc>
          <w:tcPr>
            <w:tcW w:type="dxa" w:w="2592"/>
            <w:vAlign w:val="top"/>
            <w:tcMar>
              <w:top w:w="80" w:type="dxa"/>
              <w:left w:w="80" w:type="dxa"/>
              <w:bottom w:w="80" w:type="dxa"/>
              <w:right w:w="80" w:type="dxa"/>
            </w:tcMar>
          </w:tcPr>
          <w:p>
            <w:pPr>
              <w:jc w:val="left"/>
            </w:pPr>
            <w:r>
              <w:rPr>
                <w:sz w:val="16"/>
              </w:rPr>
            </w:r>
            <w:r>
              <w:rPr>
                <w:b w:val="0"/>
                <w:sz w:val="16"/>
              </w:rPr>
              <w:t>Dashboard ownership</w:t>
            </w:r>
          </w:p>
        </w:tc>
        <w:tc>
          <w:tcPr>
            <w:tcW w:type="dxa" w:w="7920"/>
            <w:vAlign w:val="top"/>
            <w:tcMar>
              <w:top w:w="80" w:type="dxa"/>
              <w:left w:w="80" w:type="dxa"/>
              <w:bottom w:w="80" w:type="dxa"/>
              <w:right w:w="80" w:type="dxa"/>
            </w:tcMar>
          </w:tcPr>
          <w:p>
            <w:pPr>
              <w:jc w:val="left"/>
            </w:pPr>
            <w:r>
              <w:rPr>
                <w:sz w:val="16"/>
              </w:rPr>
            </w:r>
            <w:r>
              <w:rPr>
                <w:b w:val="0"/>
                <w:sz w:val="16"/>
              </w:rPr>
              <w:t>Each Tier 0/Tier 1 service has owner-reviewed dashboard and alert routing.</w:t>
            </w:r>
          </w:p>
        </w:tc>
      </w:tr>
      <w:tr>
        <w:tc>
          <w:tcPr>
            <w:tcW w:type="dxa" w:w="2592"/>
            <w:vAlign w:val="top"/>
            <w:tcMar>
              <w:top w:w="80" w:type="dxa"/>
              <w:left w:w="80" w:type="dxa"/>
              <w:bottom w:w="80" w:type="dxa"/>
              <w:right w:w="80" w:type="dxa"/>
            </w:tcMar>
          </w:tcPr>
          <w:p>
            <w:pPr>
              <w:jc w:val="left"/>
            </w:pPr>
            <w:r>
              <w:rPr>
                <w:sz w:val="16"/>
              </w:rPr>
            </w:r>
            <w:r>
              <w:rPr>
                <w:b w:val="0"/>
                <w:sz w:val="16"/>
              </w:rPr>
              <w:t>Alert quality</w:t>
            </w:r>
          </w:p>
        </w:tc>
        <w:tc>
          <w:tcPr>
            <w:tcW w:type="dxa" w:w="7920"/>
            <w:vAlign w:val="top"/>
            <w:tcMar>
              <w:top w:w="80" w:type="dxa"/>
              <w:left w:w="80" w:type="dxa"/>
              <w:bottom w:w="80" w:type="dxa"/>
              <w:right w:w="80" w:type="dxa"/>
            </w:tcMar>
          </w:tcPr>
          <w:p>
            <w:pPr>
              <w:jc w:val="left"/>
            </w:pPr>
            <w:r>
              <w:rPr>
                <w:sz w:val="16"/>
              </w:rPr>
            </w:r>
            <w:r>
              <w:rPr>
                <w:b w:val="0"/>
                <w:sz w:val="16"/>
              </w:rPr>
              <w:t>Alerts must be actionable, deduplicated where possible, and linked to runbooks.</w:t>
            </w:r>
          </w:p>
        </w:tc>
      </w:tr>
      <w:tr>
        <w:tc>
          <w:tcPr>
            <w:tcW w:type="dxa" w:w="2592"/>
            <w:vAlign w:val="top"/>
            <w:tcMar>
              <w:top w:w="80" w:type="dxa"/>
              <w:left w:w="80" w:type="dxa"/>
              <w:bottom w:w="80" w:type="dxa"/>
              <w:right w:w="80" w:type="dxa"/>
            </w:tcMar>
          </w:tcPr>
          <w:p>
            <w:pPr>
              <w:jc w:val="left"/>
            </w:pPr>
            <w:r>
              <w:rPr>
                <w:sz w:val="16"/>
              </w:rPr>
            </w:r>
            <w:r>
              <w:rPr>
                <w:b w:val="0"/>
                <w:sz w:val="16"/>
              </w:rPr>
              <w:t>Retention</w:t>
            </w:r>
          </w:p>
        </w:tc>
        <w:tc>
          <w:tcPr>
            <w:tcW w:type="dxa" w:w="7920"/>
            <w:vAlign w:val="top"/>
            <w:tcMar>
              <w:top w:w="80" w:type="dxa"/>
              <w:left w:w="80" w:type="dxa"/>
              <w:bottom w:w="80" w:type="dxa"/>
              <w:right w:w="80" w:type="dxa"/>
            </w:tcMar>
          </w:tcPr>
          <w:p>
            <w:pPr>
              <w:jc w:val="left"/>
            </w:pPr>
            <w:r>
              <w:rPr>
                <w:sz w:val="16"/>
              </w:rPr>
            </w:r>
            <w:r>
              <w:rPr>
                <w:b w:val="0"/>
                <w:sz w:val="16"/>
              </w:rPr>
              <w:t>Telemetry retention follows the data classification and retention register.</w:t>
            </w:r>
          </w:p>
        </w:tc>
      </w:tr>
    </w:tbl>
    <w:p>
      <w:pPr>
        <w:pStyle w:val="Heading1"/>
        <w:spacing w:after="80" w:line="252" w:lineRule="auto"/>
      </w:pPr>
      <w:r>
        <w:t>12. Security Operations, SIEM, SOAR, and Case Management</w:t>
      </w:r>
    </w:p>
    <w:p>
      <w:pPr>
        <w:spacing w:after="80" w:line="252" w:lineRule="auto"/>
      </w:pPr>
      <w:r>
        <w:t>Security operations are integrated into AIRA service operations. Wazuh provides SIEM/XDR detection and agent-based security telemetry. TheHive manages security cases. Cortex provides analyzers and responders. Automated response is bounded by policy, approval, and evidence requirements.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shd w:fill="1F4E79"/>
            <w:tcMar>
              <w:top w:w="80" w:type="dxa"/>
              <w:left w:w="80" w:type="dxa"/>
              <w:bottom w:w="80" w:type="dxa"/>
              <w:right w:w="80" w:type="dxa"/>
            </w:tcMar>
          </w:tcPr>
          <w:p>
            <w:pPr>
              <w:jc w:val="left"/>
            </w:pPr>
            <w:r>
              <w:rPr>
                <w:b/>
                <w:color w:val="FFFFFF"/>
                <w:sz w:val="16"/>
              </w:rPr>
            </w:r>
            <w:r>
              <w:rPr>
                <w:b/>
                <w:color w:val="FFFFFF"/>
                <w:sz w:val="16"/>
              </w:rPr>
              <w:t>Tool</w:t>
            </w:r>
          </w:p>
        </w:tc>
        <w:tc>
          <w:tcPr>
            <w:tcW w:type="dxa" w:w="4896"/>
            <w:vAlign w:val="top"/>
            <w:shd w:fill="1F4E79"/>
            <w:tcMar>
              <w:top w:w="80" w:type="dxa"/>
              <w:left w:w="80" w:type="dxa"/>
              <w:bottom w:w="80" w:type="dxa"/>
              <w:right w:w="80" w:type="dxa"/>
            </w:tcMar>
          </w:tcPr>
          <w:p>
            <w:pPr>
              <w:jc w:val="left"/>
            </w:pPr>
            <w:r>
              <w:rPr>
                <w:b/>
                <w:color w:val="FFFFFF"/>
                <w:sz w:val="16"/>
              </w:rPr>
            </w:r>
            <w:r>
              <w:rPr>
                <w:b/>
                <w:color w:val="FFFFFF"/>
                <w:sz w:val="16"/>
              </w:rPr>
              <w:t>Role in AIRA Operations</w:t>
            </w:r>
          </w:p>
        </w:tc>
        <w:tc>
          <w:tcPr>
            <w:tcW w:type="dxa" w:w="3744"/>
            <w:vAlign w:val="top"/>
            <w:shd w:fill="1F4E79"/>
            <w:tcMar>
              <w:top w:w="80" w:type="dxa"/>
              <w:left w:w="80" w:type="dxa"/>
              <w:bottom w:w="80" w:type="dxa"/>
              <w:right w:w="80" w:type="dxa"/>
            </w:tcMar>
          </w:tcPr>
          <w:p>
            <w:pPr>
              <w:jc w:val="left"/>
            </w:pPr>
            <w:r>
              <w:rPr>
                <w:b/>
                <w:color w:val="FFFFFF"/>
                <w:sz w:val="16"/>
              </w:rPr>
            </w:r>
            <w:r>
              <w:rPr>
                <w:b/>
                <w:color w:val="FFFFFF"/>
                <w:sz w:val="16"/>
              </w:rPr>
              <w:t>Control Boundary</w:t>
            </w:r>
          </w:p>
        </w:tc>
      </w:tr>
      <w:tr>
        <w:tc>
          <w:tcPr>
            <w:tcW w:type="dxa" w:w="1872"/>
            <w:vAlign w:val="top"/>
            <w:tcMar>
              <w:top w:w="80" w:type="dxa"/>
              <w:left w:w="80" w:type="dxa"/>
              <w:bottom w:w="80" w:type="dxa"/>
              <w:right w:w="80" w:type="dxa"/>
            </w:tcMar>
          </w:tcPr>
          <w:p>
            <w:pPr>
              <w:jc w:val="left"/>
            </w:pPr>
            <w:r>
              <w:rPr>
                <w:sz w:val="16"/>
              </w:rPr>
            </w:r>
            <w:r>
              <w:rPr>
                <w:b w:val="0"/>
                <w:sz w:val="16"/>
              </w:rPr>
              <w:t>Wazuh</w:t>
            </w:r>
          </w:p>
        </w:tc>
        <w:tc>
          <w:tcPr>
            <w:tcW w:type="dxa" w:w="4896"/>
            <w:vAlign w:val="top"/>
            <w:tcMar>
              <w:top w:w="80" w:type="dxa"/>
              <w:left w:w="80" w:type="dxa"/>
              <w:bottom w:w="80" w:type="dxa"/>
              <w:right w:w="80" w:type="dxa"/>
            </w:tcMar>
          </w:tcPr>
          <w:p>
            <w:pPr>
              <w:jc w:val="left"/>
            </w:pPr>
            <w:r>
              <w:rPr>
                <w:sz w:val="16"/>
              </w:rPr>
            </w:r>
            <w:r>
              <w:rPr>
                <w:b w:val="0"/>
                <w:sz w:val="16"/>
              </w:rPr>
              <w:t>SIEM/XDR monitoring, endpoint/security telemetry, file integrity, vulnerability/configuration signals, alert generation.</w:t>
            </w:r>
          </w:p>
        </w:tc>
        <w:tc>
          <w:tcPr>
            <w:tcW w:type="dxa" w:w="3744"/>
            <w:vAlign w:val="top"/>
            <w:tcMar>
              <w:top w:w="80" w:type="dxa"/>
              <w:left w:w="80" w:type="dxa"/>
              <w:bottom w:w="80" w:type="dxa"/>
              <w:right w:w="80" w:type="dxa"/>
            </w:tcMar>
          </w:tcPr>
          <w:p>
            <w:pPr>
              <w:jc w:val="left"/>
            </w:pPr>
            <w:r>
              <w:rPr>
                <w:sz w:val="16"/>
              </w:rPr>
            </w:r>
            <w:r>
              <w:rPr>
                <w:b w:val="0"/>
                <w:sz w:val="16"/>
              </w:rPr>
              <w:t>Alerts feed service/security triage; high-impact actions require human approval.</w:t>
            </w:r>
          </w:p>
        </w:tc>
      </w:tr>
      <w:tr>
        <w:tc>
          <w:tcPr>
            <w:tcW w:type="dxa" w:w="1872"/>
            <w:vAlign w:val="top"/>
            <w:tcMar>
              <w:top w:w="80" w:type="dxa"/>
              <w:left w:w="80" w:type="dxa"/>
              <w:bottom w:w="80" w:type="dxa"/>
              <w:right w:w="80" w:type="dxa"/>
            </w:tcMar>
          </w:tcPr>
          <w:p>
            <w:pPr>
              <w:jc w:val="left"/>
            </w:pPr>
            <w:r>
              <w:rPr>
                <w:sz w:val="16"/>
              </w:rPr>
            </w:r>
            <w:r>
              <w:rPr>
                <w:b w:val="0"/>
                <w:sz w:val="16"/>
              </w:rPr>
              <w:t>TheHive</w:t>
            </w:r>
          </w:p>
        </w:tc>
        <w:tc>
          <w:tcPr>
            <w:tcW w:type="dxa" w:w="4896"/>
            <w:vAlign w:val="top"/>
            <w:tcMar>
              <w:top w:w="80" w:type="dxa"/>
              <w:left w:w="80" w:type="dxa"/>
              <w:bottom w:w="80" w:type="dxa"/>
              <w:right w:w="80" w:type="dxa"/>
            </w:tcMar>
          </w:tcPr>
          <w:p>
            <w:pPr>
              <w:jc w:val="left"/>
            </w:pPr>
            <w:r>
              <w:rPr>
                <w:sz w:val="16"/>
              </w:rPr>
            </w:r>
            <w:r>
              <w:rPr>
                <w:b w:val="0"/>
                <w:sz w:val="16"/>
              </w:rPr>
              <w:t>Security case management, investigation workflow, collaboration, case evidence, status tracking.</w:t>
            </w:r>
          </w:p>
        </w:tc>
        <w:tc>
          <w:tcPr>
            <w:tcW w:type="dxa" w:w="3744"/>
            <w:vAlign w:val="top"/>
            <w:tcMar>
              <w:top w:w="80" w:type="dxa"/>
              <w:left w:w="80" w:type="dxa"/>
              <w:bottom w:w="80" w:type="dxa"/>
              <w:right w:w="80" w:type="dxa"/>
            </w:tcMar>
          </w:tcPr>
          <w:p>
            <w:pPr>
              <w:jc w:val="left"/>
            </w:pPr>
            <w:r>
              <w:rPr>
                <w:sz w:val="16"/>
              </w:rPr>
            </w:r>
            <w:r>
              <w:rPr>
                <w:b w:val="0"/>
                <w:sz w:val="16"/>
              </w:rPr>
              <w:t>Security cases link to Zammad incident/problem records when service impact exists.</w:t>
            </w:r>
          </w:p>
        </w:tc>
      </w:tr>
      <w:tr>
        <w:tc>
          <w:tcPr>
            <w:tcW w:type="dxa" w:w="1872"/>
            <w:vAlign w:val="top"/>
            <w:tcMar>
              <w:top w:w="80" w:type="dxa"/>
              <w:left w:w="80" w:type="dxa"/>
              <w:bottom w:w="80" w:type="dxa"/>
              <w:right w:w="80" w:type="dxa"/>
            </w:tcMar>
          </w:tcPr>
          <w:p>
            <w:pPr>
              <w:jc w:val="left"/>
            </w:pPr>
            <w:r>
              <w:rPr>
                <w:sz w:val="16"/>
              </w:rPr>
            </w:r>
            <w:r>
              <w:rPr>
                <w:b w:val="0"/>
                <w:sz w:val="16"/>
              </w:rPr>
              <w:t>Cortex</w:t>
            </w:r>
          </w:p>
        </w:tc>
        <w:tc>
          <w:tcPr>
            <w:tcW w:type="dxa" w:w="4896"/>
            <w:vAlign w:val="top"/>
            <w:tcMar>
              <w:top w:w="80" w:type="dxa"/>
              <w:left w:w="80" w:type="dxa"/>
              <w:bottom w:w="80" w:type="dxa"/>
              <w:right w:w="80" w:type="dxa"/>
            </w:tcMar>
          </w:tcPr>
          <w:p>
            <w:pPr>
              <w:jc w:val="left"/>
            </w:pPr>
            <w:r>
              <w:rPr>
                <w:sz w:val="16"/>
              </w:rPr>
            </w:r>
            <w:r>
              <w:rPr>
                <w:b w:val="0"/>
                <w:sz w:val="16"/>
              </w:rPr>
              <w:t>Analyzers/responders for enrichment and controlled response actions.</w:t>
            </w:r>
          </w:p>
        </w:tc>
        <w:tc>
          <w:tcPr>
            <w:tcW w:type="dxa" w:w="3744"/>
            <w:vAlign w:val="top"/>
            <w:tcMar>
              <w:top w:w="80" w:type="dxa"/>
              <w:left w:w="80" w:type="dxa"/>
              <w:bottom w:w="80" w:type="dxa"/>
              <w:right w:w="80" w:type="dxa"/>
            </w:tcMar>
          </w:tcPr>
          <w:p>
            <w:pPr>
              <w:jc w:val="left"/>
            </w:pPr>
            <w:r>
              <w:rPr>
                <w:sz w:val="16"/>
              </w:rPr>
            </w:r>
            <w:r>
              <w:rPr>
                <w:b w:val="0"/>
                <w:sz w:val="16"/>
              </w:rPr>
              <w:t>Responder actions must be approved for high-impact containment or production effect.</w:t>
            </w:r>
          </w:p>
        </w:tc>
      </w:tr>
      <w:tr>
        <w:tc>
          <w:tcPr>
            <w:tcW w:type="dxa" w:w="1872"/>
            <w:vAlign w:val="top"/>
            <w:tcMar>
              <w:top w:w="80" w:type="dxa"/>
              <w:left w:w="80" w:type="dxa"/>
              <w:bottom w:w="80" w:type="dxa"/>
              <w:right w:w="80" w:type="dxa"/>
            </w:tcMar>
          </w:tcPr>
          <w:p>
            <w:pPr>
              <w:jc w:val="left"/>
            </w:pPr>
            <w:r>
              <w:rPr>
                <w:sz w:val="16"/>
              </w:rPr>
            </w:r>
            <w:r>
              <w:rPr>
                <w:b w:val="0"/>
                <w:sz w:val="16"/>
              </w:rPr>
              <w:t>Zammad</w:t>
            </w:r>
          </w:p>
        </w:tc>
        <w:tc>
          <w:tcPr>
            <w:tcW w:type="dxa" w:w="4896"/>
            <w:vAlign w:val="top"/>
            <w:tcMar>
              <w:top w:w="80" w:type="dxa"/>
              <w:left w:w="80" w:type="dxa"/>
              <w:bottom w:w="80" w:type="dxa"/>
              <w:right w:w="80" w:type="dxa"/>
            </w:tcMar>
          </w:tcPr>
          <w:p>
            <w:pPr>
              <w:jc w:val="left"/>
            </w:pPr>
            <w:r>
              <w:rPr>
                <w:sz w:val="16"/>
              </w:rPr>
            </w:r>
            <w:r>
              <w:rPr>
                <w:b w:val="0"/>
                <w:sz w:val="16"/>
              </w:rPr>
              <w:t>ITSM ticket system for user/business-visible service impact and operational work.</w:t>
            </w:r>
          </w:p>
        </w:tc>
        <w:tc>
          <w:tcPr>
            <w:tcW w:type="dxa" w:w="3744"/>
            <w:vAlign w:val="top"/>
            <w:tcMar>
              <w:top w:w="80" w:type="dxa"/>
              <w:left w:w="80" w:type="dxa"/>
              <w:bottom w:w="80" w:type="dxa"/>
              <w:right w:w="80" w:type="dxa"/>
            </w:tcMar>
          </w:tcPr>
          <w:p>
            <w:pPr>
              <w:jc w:val="left"/>
            </w:pPr>
            <w:r>
              <w:rPr>
                <w:sz w:val="16"/>
              </w:rPr>
            </w:r>
            <w:r>
              <w:rPr>
                <w:b w:val="0"/>
                <w:sz w:val="16"/>
              </w:rPr>
              <w:t>Security cases linked; Zammad remains service communication record.</w:t>
            </w:r>
          </w:p>
        </w:tc>
      </w:tr>
      <w:tr>
        <w:tc>
          <w:tcPr>
            <w:tcW w:type="dxa" w:w="1872"/>
            <w:vAlign w:val="top"/>
            <w:tcMar>
              <w:top w:w="80" w:type="dxa"/>
              <w:left w:w="80" w:type="dxa"/>
              <w:bottom w:w="80" w:type="dxa"/>
              <w:right w:w="80" w:type="dxa"/>
            </w:tcMar>
          </w:tcPr>
          <w:p>
            <w:pPr>
              <w:jc w:val="left"/>
            </w:pPr>
            <w:r>
              <w:rPr>
                <w:sz w:val="16"/>
              </w:rPr>
            </w:r>
            <w:r>
              <w:rPr>
                <w:b w:val="0"/>
                <w:sz w:val="16"/>
              </w:rPr>
              <w:t>OpenKM Evidence Store</w:t>
            </w:r>
          </w:p>
        </w:tc>
        <w:tc>
          <w:tcPr>
            <w:tcW w:type="dxa" w:w="4896"/>
            <w:vAlign w:val="top"/>
            <w:tcMar>
              <w:top w:w="80" w:type="dxa"/>
              <w:left w:w="80" w:type="dxa"/>
              <w:bottom w:w="80" w:type="dxa"/>
              <w:right w:w="80" w:type="dxa"/>
            </w:tcMar>
          </w:tcPr>
          <w:p>
            <w:pPr>
              <w:jc w:val="left"/>
            </w:pPr>
            <w:r>
              <w:rPr>
                <w:sz w:val="16"/>
              </w:rPr>
            </w:r>
            <w:r>
              <w:rPr>
                <w:b w:val="0"/>
                <w:sz w:val="16"/>
              </w:rPr>
              <w:t>Stores approved incident, access, investigation, and closure evidence.</w:t>
            </w:r>
          </w:p>
        </w:tc>
        <w:tc>
          <w:tcPr>
            <w:tcW w:type="dxa" w:w="3744"/>
            <w:vAlign w:val="top"/>
            <w:tcMar>
              <w:top w:w="80" w:type="dxa"/>
              <w:left w:w="80" w:type="dxa"/>
              <w:bottom w:w="80" w:type="dxa"/>
              <w:right w:w="80" w:type="dxa"/>
            </w:tcMar>
          </w:tcPr>
          <w:p>
            <w:pPr>
              <w:jc w:val="left"/>
            </w:pPr>
            <w:r>
              <w:rPr>
                <w:sz w:val="16"/>
              </w:rPr>
            </w:r>
            <w:r>
              <w:rPr>
                <w:b w:val="0"/>
                <w:sz w:val="16"/>
              </w:rPr>
              <w:t>Classification and legal hold rules apply.</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3024"/>
            <w:vAlign w:val="top"/>
            <w:shd w:fill="1F4E79"/>
            <w:tcMar>
              <w:top w:w="80" w:type="dxa"/>
              <w:left w:w="80" w:type="dxa"/>
              <w:bottom w:w="80" w:type="dxa"/>
              <w:right w:w="80" w:type="dxa"/>
            </w:tcMar>
          </w:tcPr>
          <w:p>
            <w:pPr>
              <w:jc w:val="left"/>
            </w:pPr>
            <w:r>
              <w:rPr>
                <w:b/>
                <w:color w:val="FFFFFF"/>
                <w:sz w:val="16"/>
              </w:rPr>
            </w:r>
            <w:r>
              <w:rPr>
                <w:b/>
                <w:color w:val="FFFFFF"/>
                <w:sz w:val="16"/>
              </w:rPr>
              <w:t>Security Alert Category</w:t>
            </w:r>
          </w:p>
        </w:tc>
        <w:tc>
          <w:tcPr>
            <w:tcW w:type="dxa" w:w="7488"/>
            <w:vAlign w:val="top"/>
            <w:shd w:fill="1F4E79"/>
            <w:tcMar>
              <w:top w:w="80" w:type="dxa"/>
              <w:left w:w="80" w:type="dxa"/>
              <w:bottom w:w="80" w:type="dxa"/>
              <w:right w:w="80" w:type="dxa"/>
            </w:tcMar>
          </w:tcPr>
          <w:p>
            <w:pPr>
              <w:jc w:val="left"/>
            </w:pPr>
            <w:r>
              <w:rPr>
                <w:b/>
                <w:color w:val="FFFFFF"/>
                <w:sz w:val="16"/>
              </w:rPr>
            </w:r>
            <w:r>
              <w:rPr>
                <w:b/>
                <w:color w:val="FFFFFF"/>
                <w:sz w:val="16"/>
              </w:rPr>
              <w:t>Default Handling</w:t>
            </w:r>
          </w:p>
        </w:tc>
      </w:tr>
      <w:tr>
        <w:tc>
          <w:tcPr>
            <w:tcW w:type="dxa" w:w="3024"/>
            <w:vAlign w:val="top"/>
            <w:tcMar>
              <w:top w:w="80" w:type="dxa"/>
              <w:left w:w="80" w:type="dxa"/>
              <w:bottom w:w="80" w:type="dxa"/>
              <w:right w:w="80" w:type="dxa"/>
            </w:tcMar>
          </w:tcPr>
          <w:p>
            <w:pPr>
              <w:jc w:val="left"/>
            </w:pPr>
            <w:r>
              <w:rPr>
                <w:sz w:val="16"/>
              </w:rPr>
            </w:r>
            <w:r>
              <w:rPr>
                <w:b w:val="0"/>
                <w:sz w:val="16"/>
              </w:rPr>
              <w:t>Suspicious login / identity anomaly</w:t>
            </w:r>
          </w:p>
        </w:tc>
        <w:tc>
          <w:tcPr>
            <w:tcW w:type="dxa" w:w="7488"/>
            <w:vAlign w:val="top"/>
            <w:tcMar>
              <w:top w:w="80" w:type="dxa"/>
              <w:left w:w="80" w:type="dxa"/>
              <w:bottom w:w="80" w:type="dxa"/>
              <w:right w:w="80" w:type="dxa"/>
            </w:tcMar>
          </w:tcPr>
          <w:p>
            <w:pPr>
              <w:jc w:val="left"/>
            </w:pPr>
            <w:r>
              <w:rPr>
                <w:sz w:val="16"/>
              </w:rPr>
            </w:r>
            <w:r>
              <w:rPr>
                <w:b w:val="0"/>
                <w:sz w:val="16"/>
              </w:rPr>
              <w:t>Wazuh alert -&gt; security triage -&gt; Keycloak/AD evidence -&gt; Zammad/TheHive as appropriate.</w:t>
            </w:r>
          </w:p>
        </w:tc>
      </w:tr>
      <w:tr>
        <w:tc>
          <w:tcPr>
            <w:tcW w:type="dxa" w:w="3024"/>
            <w:vAlign w:val="top"/>
            <w:tcMar>
              <w:top w:w="80" w:type="dxa"/>
              <w:left w:w="80" w:type="dxa"/>
              <w:bottom w:w="80" w:type="dxa"/>
              <w:right w:w="80" w:type="dxa"/>
            </w:tcMar>
          </w:tcPr>
          <w:p>
            <w:pPr>
              <w:jc w:val="left"/>
            </w:pPr>
            <w:r>
              <w:rPr>
                <w:sz w:val="16"/>
              </w:rPr>
            </w:r>
            <w:r>
              <w:rPr>
                <w:b w:val="0"/>
                <w:sz w:val="16"/>
              </w:rPr>
              <w:t>Secret exposure</w:t>
            </w:r>
          </w:p>
        </w:tc>
        <w:tc>
          <w:tcPr>
            <w:tcW w:type="dxa" w:w="7488"/>
            <w:vAlign w:val="top"/>
            <w:tcMar>
              <w:top w:w="80" w:type="dxa"/>
              <w:left w:w="80" w:type="dxa"/>
              <w:bottom w:w="80" w:type="dxa"/>
              <w:right w:w="80" w:type="dxa"/>
            </w:tcMar>
          </w:tcPr>
          <w:p>
            <w:pPr>
              <w:jc w:val="left"/>
            </w:pPr>
            <w:r>
              <w:rPr>
                <w:sz w:val="16"/>
              </w:rPr>
            </w:r>
            <w:r>
              <w:rPr>
                <w:b w:val="0"/>
                <w:sz w:val="16"/>
              </w:rPr>
              <w:t>Immediate containment, revoke/rotate, Git scan evidence, TheHive case, Zammad incident if service impact.</w:t>
            </w:r>
          </w:p>
        </w:tc>
      </w:tr>
      <w:tr>
        <w:tc>
          <w:tcPr>
            <w:tcW w:type="dxa" w:w="3024"/>
            <w:vAlign w:val="top"/>
            <w:tcMar>
              <w:top w:w="80" w:type="dxa"/>
              <w:left w:w="80" w:type="dxa"/>
              <w:bottom w:w="80" w:type="dxa"/>
              <w:right w:w="80" w:type="dxa"/>
            </w:tcMar>
          </w:tcPr>
          <w:p>
            <w:pPr>
              <w:jc w:val="left"/>
            </w:pPr>
            <w:r>
              <w:rPr>
                <w:sz w:val="16"/>
              </w:rPr>
            </w:r>
            <w:r>
              <w:rPr>
                <w:b w:val="0"/>
                <w:sz w:val="16"/>
              </w:rPr>
              <w:t>Container/image finding</w:t>
            </w:r>
          </w:p>
        </w:tc>
        <w:tc>
          <w:tcPr>
            <w:tcW w:type="dxa" w:w="7488"/>
            <w:vAlign w:val="top"/>
            <w:tcMar>
              <w:top w:w="80" w:type="dxa"/>
              <w:left w:w="80" w:type="dxa"/>
              <w:bottom w:w="80" w:type="dxa"/>
              <w:right w:w="80" w:type="dxa"/>
            </w:tcMar>
          </w:tcPr>
          <w:p>
            <w:pPr>
              <w:jc w:val="left"/>
            </w:pPr>
            <w:r>
              <w:rPr>
                <w:sz w:val="16"/>
              </w:rPr>
            </w:r>
            <w:r>
              <w:rPr>
                <w:b w:val="0"/>
                <w:sz w:val="16"/>
              </w:rPr>
              <w:t>CI/CD or runtime alert -&gt; DevSecOps triage -&gt; change or vulnerability management record.</w:t>
            </w:r>
          </w:p>
        </w:tc>
      </w:tr>
      <w:tr>
        <w:tc>
          <w:tcPr>
            <w:tcW w:type="dxa" w:w="3024"/>
            <w:vAlign w:val="top"/>
            <w:tcMar>
              <w:top w:w="80" w:type="dxa"/>
              <w:left w:w="80" w:type="dxa"/>
              <w:bottom w:w="80" w:type="dxa"/>
              <w:right w:w="80" w:type="dxa"/>
            </w:tcMar>
          </w:tcPr>
          <w:p>
            <w:pPr>
              <w:jc w:val="left"/>
            </w:pPr>
            <w:r>
              <w:rPr>
                <w:sz w:val="16"/>
              </w:rPr>
            </w:r>
            <w:r>
              <w:rPr>
                <w:b w:val="0"/>
                <w:sz w:val="16"/>
              </w:rPr>
              <w:t>Policy violation</w:t>
            </w:r>
          </w:p>
        </w:tc>
        <w:tc>
          <w:tcPr>
            <w:tcW w:type="dxa" w:w="7488"/>
            <w:vAlign w:val="top"/>
            <w:tcMar>
              <w:top w:w="80" w:type="dxa"/>
              <w:left w:w="80" w:type="dxa"/>
              <w:bottom w:w="80" w:type="dxa"/>
              <w:right w:w="80" w:type="dxa"/>
            </w:tcMar>
          </w:tcPr>
          <w:p>
            <w:pPr>
              <w:jc w:val="left"/>
            </w:pPr>
            <w:r>
              <w:rPr>
                <w:sz w:val="16"/>
              </w:rPr>
            </w:r>
            <w:r>
              <w:rPr>
                <w:b w:val="0"/>
                <w:sz w:val="16"/>
              </w:rPr>
              <w:t>OPA/Gatekeeper/Conftest alert -&gt; block or incident depending on environment and impact.</w:t>
            </w:r>
          </w:p>
        </w:tc>
      </w:tr>
      <w:tr>
        <w:tc>
          <w:tcPr>
            <w:tcW w:type="dxa" w:w="3024"/>
            <w:vAlign w:val="top"/>
            <w:tcMar>
              <w:top w:w="80" w:type="dxa"/>
              <w:left w:w="80" w:type="dxa"/>
              <w:bottom w:w="80" w:type="dxa"/>
              <w:right w:w="80" w:type="dxa"/>
            </w:tcMar>
          </w:tcPr>
          <w:p>
            <w:pPr>
              <w:jc w:val="left"/>
            </w:pPr>
            <w:r>
              <w:rPr>
                <w:sz w:val="16"/>
              </w:rPr>
            </w:r>
            <w:r>
              <w:rPr>
                <w:b w:val="0"/>
                <w:sz w:val="16"/>
              </w:rPr>
              <w:t>AI governance violation</w:t>
            </w:r>
          </w:p>
        </w:tc>
        <w:tc>
          <w:tcPr>
            <w:tcW w:type="dxa" w:w="7488"/>
            <w:vAlign w:val="top"/>
            <w:tcMar>
              <w:top w:w="80" w:type="dxa"/>
              <w:left w:w="80" w:type="dxa"/>
              <w:bottom w:w="80" w:type="dxa"/>
              <w:right w:w="80" w:type="dxa"/>
            </w:tcMar>
          </w:tcPr>
          <w:p>
            <w:pPr>
              <w:jc w:val="left"/>
            </w:pPr>
            <w:r>
              <w:rPr>
                <w:sz w:val="16"/>
              </w:rPr>
            </w:r>
            <w:r>
              <w:rPr>
                <w:b w:val="0"/>
                <w:sz w:val="16"/>
              </w:rPr>
              <w:t>Prompt/model route/guardrail exception -&gt; AI governance review, incident/problem if repeated or high-risk.</w:t>
            </w:r>
          </w:p>
        </w:tc>
      </w:tr>
      <w:tr>
        <w:tc>
          <w:tcPr>
            <w:tcW w:type="dxa" w:w="3024"/>
            <w:vAlign w:val="top"/>
            <w:tcMar>
              <w:top w:w="80" w:type="dxa"/>
              <w:left w:w="80" w:type="dxa"/>
              <w:bottom w:w="80" w:type="dxa"/>
              <w:right w:w="80" w:type="dxa"/>
            </w:tcMar>
          </w:tcPr>
          <w:p>
            <w:pPr>
              <w:jc w:val="left"/>
            </w:pPr>
            <w:r>
              <w:rPr>
                <w:sz w:val="16"/>
              </w:rPr>
            </w:r>
            <w:r>
              <w:rPr>
                <w:b w:val="0"/>
                <w:sz w:val="16"/>
              </w:rPr>
              <w:t>Data leakage suspicion</w:t>
            </w:r>
          </w:p>
        </w:tc>
        <w:tc>
          <w:tcPr>
            <w:tcW w:type="dxa" w:w="7488"/>
            <w:vAlign w:val="top"/>
            <w:tcMar>
              <w:top w:w="80" w:type="dxa"/>
              <w:left w:w="80" w:type="dxa"/>
              <w:bottom w:w="80" w:type="dxa"/>
              <w:right w:w="80" w:type="dxa"/>
            </w:tcMar>
          </w:tcPr>
          <w:p>
            <w:pPr>
              <w:jc w:val="left"/>
            </w:pPr>
            <w:r>
              <w:rPr>
                <w:sz w:val="16"/>
              </w:rPr>
            </w:r>
            <w:r>
              <w:rPr>
                <w:b w:val="0"/>
                <w:sz w:val="16"/>
              </w:rPr>
              <w:t>Major incident/security case; legal/privacy/compliance consulted; evidence preserved.</w:t>
            </w:r>
          </w:p>
        </w:tc>
      </w:tr>
    </w:tbl>
    <w:p>
      <w:pPr>
        <w:pStyle w:val="Heading1"/>
        <w:spacing w:after="80" w:line="252" w:lineRule="auto"/>
      </w:pPr>
      <w:r>
        <w:t>13. Runbooks, Knowledge Management, and Evidence Retention</w:t>
      </w:r>
    </w:p>
    <w:p>
      <w:pPr>
        <w:spacing w:after="80" w:line="252" w:lineRule="auto"/>
      </w:pPr>
      <w:r>
        <w:t>Every operationally significant component must have runbooks that are current, tested, classified, and linked from Zammad, dashboards, and service catalog records. Runbooks must be human-readable and automation-ready where appropriate.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Runbook Type</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Minimum Contents</w:t>
            </w:r>
          </w:p>
        </w:tc>
      </w:tr>
      <w:tr>
        <w:tc>
          <w:tcPr>
            <w:tcW w:type="dxa" w:w="2592"/>
            <w:vAlign w:val="top"/>
            <w:tcMar>
              <w:top w:w="80" w:type="dxa"/>
              <w:left w:w="80" w:type="dxa"/>
              <w:bottom w:w="80" w:type="dxa"/>
              <w:right w:w="80" w:type="dxa"/>
            </w:tcMar>
          </w:tcPr>
          <w:p>
            <w:pPr>
              <w:jc w:val="left"/>
            </w:pPr>
            <w:r>
              <w:rPr>
                <w:sz w:val="16"/>
              </w:rPr>
            </w:r>
            <w:r>
              <w:rPr>
                <w:b w:val="0"/>
                <w:sz w:val="16"/>
              </w:rPr>
              <w:t>Service Triage Runbook</w:t>
            </w:r>
          </w:p>
        </w:tc>
        <w:tc>
          <w:tcPr>
            <w:tcW w:type="dxa" w:w="7920"/>
            <w:vAlign w:val="top"/>
            <w:tcMar>
              <w:top w:w="80" w:type="dxa"/>
              <w:left w:w="80" w:type="dxa"/>
              <w:bottom w:w="80" w:type="dxa"/>
              <w:right w:w="80" w:type="dxa"/>
            </w:tcMar>
          </w:tcPr>
          <w:p>
            <w:pPr>
              <w:jc w:val="left"/>
            </w:pPr>
            <w:r>
              <w:rPr>
                <w:sz w:val="16"/>
              </w:rPr>
            </w:r>
            <w:r>
              <w:rPr>
                <w:b w:val="0"/>
                <w:sz w:val="16"/>
              </w:rPr>
              <w:t>Symptoms, dashboards, log queries, traces, expected dependencies, common causes, owner, severity guide.</w:t>
            </w:r>
          </w:p>
        </w:tc>
      </w:tr>
      <w:tr>
        <w:tc>
          <w:tcPr>
            <w:tcW w:type="dxa" w:w="2592"/>
            <w:vAlign w:val="top"/>
            <w:tcMar>
              <w:top w:w="80" w:type="dxa"/>
              <w:left w:w="80" w:type="dxa"/>
              <w:bottom w:w="80" w:type="dxa"/>
              <w:right w:w="80" w:type="dxa"/>
            </w:tcMar>
          </w:tcPr>
          <w:p>
            <w:pPr>
              <w:jc w:val="left"/>
            </w:pPr>
            <w:r>
              <w:rPr>
                <w:sz w:val="16"/>
              </w:rPr>
            </w:r>
            <w:r>
              <w:rPr>
                <w:b w:val="0"/>
                <w:sz w:val="16"/>
              </w:rPr>
              <w:t>Recovery Runbook</w:t>
            </w:r>
          </w:p>
        </w:tc>
        <w:tc>
          <w:tcPr>
            <w:tcW w:type="dxa" w:w="7920"/>
            <w:vAlign w:val="top"/>
            <w:tcMar>
              <w:top w:w="80" w:type="dxa"/>
              <w:left w:w="80" w:type="dxa"/>
              <w:bottom w:w="80" w:type="dxa"/>
              <w:right w:w="80" w:type="dxa"/>
            </w:tcMar>
          </w:tcPr>
          <w:p>
            <w:pPr>
              <w:jc w:val="left"/>
            </w:pPr>
            <w:r>
              <w:rPr>
                <w:sz w:val="16"/>
              </w:rPr>
            </w:r>
            <w:r>
              <w:rPr>
                <w:b w:val="0"/>
                <w:sz w:val="16"/>
              </w:rPr>
              <w:t>Safe restart, rollback, replay, failover, queue drain, cache rebuild, validation checks, evidence capture.</w:t>
            </w:r>
          </w:p>
        </w:tc>
      </w:tr>
      <w:tr>
        <w:tc>
          <w:tcPr>
            <w:tcW w:type="dxa" w:w="2592"/>
            <w:vAlign w:val="top"/>
            <w:tcMar>
              <w:top w:w="80" w:type="dxa"/>
              <w:left w:w="80" w:type="dxa"/>
              <w:bottom w:w="80" w:type="dxa"/>
              <w:right w:w="80" w:type="dxa"/>
            </w:tcMar>
          </w:tcPr>
          <w:p>
            <w:pPr>
              <w:jc w:val="left"/>
            </w:pPr>
            <w:r>
              <w:rPr>
                <w:sz w:val="16"/>
              </w:rPr>
            </w:r>
            <w:r>
              <w:rPr>
                <w:b w:val="0"/>
                <w:sz w:val="16"/>
              </w:rPr>
              <w:t>Security Response Runbook</w:t>
            </w:r>
          </w:p>
        </w:tc>
        <w:tc>
          <w:tcPr>
            <w:tcW w:type="dxa" w:w="7920"/>
            <w:vAlign w:val="top"/>
            <w:tcMar>
              <w:top w:w="80" w:type="dxa"/>
              <w:left w:w="80" w:type="dxa"/>
              <w:bottom w:w="80" w:type="dxa"/>
              <w:right w:w="80" w:type="dxa"/>
            </w:tcMar>
          </w:tcPr>
          <w:p>
            <w:pPr>
              <w:jc w:val="left"/>
            </w:pPr>
            <w:r>
              <w:rPr>
                <w:sz w:val="16"/>
              </w:rPr>
            </w:r>
            <w:r>
              <w:rPr>
                <w:b w:val="0"/>
                <w:sz w:val="16"/>
              </w:rPr>
              <w:t>Alert source, severity, containment, TheHive/Cortex steps, evidence preservation, escalation.</w:t>
            </w:r>
          </w:p>
        </w:tc>
      </w:tr>
      <w:tr>
        <w:tc>
          <w:tcPr>
            <w:tcW w:type="dxa" w:w="2592"/>
            <w:vAlign w:val="top"/>
            <w:tcMar>
              <w:top w:w="80" w:type="dxa"/>
              <w:left w:w="80" w:type="dxa"/>
              <w:bottom w:w="80" w:type="dxa"/>
              <w:right w:w="80" w:type="dxa"/>
            </w:tcMar>
          </w:tcPr>
          <w:p>
            <w:pPr>
              <w:jc w:val="left"/>
            </w:pPr>
            <w:r>
              <w:rPr>
                <w:sz w:val="16"/>
              </w:rPr>
            </w:r>
            <w:r>
              <w:rPr>
                <w:b w:val="0"/>
                <w:sz w:val="16"/>
              </w:rPr>
              <w:t>Data/Database Runbook</w:t>
            </w:r>
          </w:p>
        </w:tc>
        <w:tc>
          <w:tcPr>
            <w:tcW w:type="dxa" w:w="7920"/>
            <w:vAlign w:val="top"/>
            <w:tcMar>
              <w:top w:w="80" w:type="dxa"/>
              <w:left w:w="80" w:type="dxa"/>
              <w:bottom w:w="80" w:type="dxa"/>
              <w:right w:w="80" w:type="dxa"/>
            </w:tcMar>
          </w:tcPr>
          <w:p>
            <w:pPr>
              <w:jc w:val="left"/>
            </w:pPr>
            <w:r>
              <w:rPr>
                <w:sz w:val="16"/>
              </w:rPr>
            </w:r>
            <w:r>
              <w:rPr>
                <w:b w:val="0"/>
                <w:sz w:val="16"/>
              </w:rPr>
              <w:t>Backup check, restore validation, migration issue, connection saturation, data reconciliation.</w:t>
            </w:r>
          </w:p>
        </w:tc>
      </w:tr>
      <w:tr>
        <w:tc>
          <w:tcPr>
            <w:tcW w:type="dxa" w:w="2592"/>
            <w:vAlign w:val="top"/>
            <w:tcMar>
              <w:top w:w="80" w:type="dxa"/>
              <w:left w:w="80" w:type="dxa"/>
              <w:bottom w:w="80" w:type="dxa"/>
              <w:right w:w="80" w:type="dxa"/>
            </w:tcMar>
          </w:tcPr>
          <w:p>
            <w:pPr>
              <w:jc w:val="left"/>
            </w:pPr>
            <w:r>
              <w:rPr>
                <w:sz w:val="16"/>
              </w:rPr>
            </w:r>
            <w:r>
              <w:rPr>
                <w:b w:val="0"/>
                <w:sz w:val="16"/>
              </w:rPr>
              <w:t>Workflow Runbook</w:t>
            </w:r>
          </w:p>
        </w:tc>
        <w:tc>
          <w:tcPr>
            <w:tcW w:type="dxa" w:w="7920"/>
            <w:vAlign w:val="top"/>
            <w:tcMar>
              <w:top w:w="80" w:type="dxa"/>
              <w:left w:w="80" w:type="dxa"/>
              <w:bottom w:w="80" w:type="dxa"/>
              <w:right w:w="80" w:type="dxa"/>
            </w:tcMar>
          </w:tcPr>
          <w:p>
            <w:pPr>
              <w:jc w:val="left"/>
            </w:pPr>
            <w:r>
              <w:rPr>
                <w:sz w:val="16"/>
              </w:rPr>
            </w:r>
            <w:r>
              <w:rPr>
                <w:b w:val="0"/>
                <w:sz w:val="16"/>
              </w:rPr>
              <w:t>Temporal workflow stuck/retry/terminate rules, Flowable task escalation, DLQ handling, compensation.</w:t>
            </w:r>
          </w:p>
        </w:tc>
      </w:tr>
      <w:tr>
        <w:tc>
          <w:tcPr>
            <w:tcW w:type="dxa" w:w="2592"/>
            <w:vAlign w:val="top"/>
            <w:tcMar>
              <w:top w:w="80" w:type="dxa"/>
              <w:left w:w="80" w:type="dxa"/>
              <w:bottom w:w="80" w:type="dxa"/>
              <w:right w:w="80" w:type="dxa"/>
            </w:tcMar>
          </w:tcPr>
          <w:p>
            <w:pPr>
              <w:jc w:val="left"/>
            </w:pPr>
            <w:r>
              <w:rPr>
                <w:sz w:val="16"/>
              </w:rPr>
            </w:r>
            <w:r>
              <w:rPr>
                <w:b w:val="0"/>
                <w:sz w:val="16"/>
              </w:rPr>
              <w:t>AI Governance Runbook</w:t>
            </w:r>
          </w:p>
        </w:tc>
        <w:tc>
          <w:tcPr>
            <w:tcW w:type="dxa" w:w="7920"/>
            <w:vAlign w:val="top"/>
            <w:tcMar>
              <w:top w:w="80" w:type="dxa"/>
              <w:left w:w="80" w:type="dxa"/>
              <w:bottom w:w="80" w:type="dxa"/>
              <w:right w:w="80" w:type="dxa"/>
            </w:tcMar>
          </w:tcPr>
          <w:p>
            <w:pPr>
              <w:jc w:val="left"/>
            </w:pPr>
            <w:r>
              <w:rPr>
                <w:sz w:val="16"/>
              </w:rPr>
            </w:r>
            <w:r>
              <w:rPr>
                <w:b w:val="0"/>
                <w:sz w:val="16"/>
              </w:rPr>
              <w:t>Guardrail failure, model route failure, prompt regression, unsafe output block, evaluation failure.</w:t>
            </w:r>
          </w:p>
        </w:tc>
      </w:tr>
    </w:tbl>
    <w:tbl>
      <w:tblPr>
        <w:tblW w:type="auto" w:w="0"/>
        <w:jc w:val="center"/>
        <w:tblLook w:firstColumn="1" w:firstRow="1" w:lastColumn="0" w:lastRow="0" w:noHBand="0" w:noVBand="1" w:val="04A0"/>
      </w:tblPr>
      <w:tblGrid>
        <w:gridCol w:w="10656"/>
      </w:tblGrid>
      <w:tr>
        <w:tc>
          <w:tcPr>
            <w:tcW w:type="dxa" w:w="10656"/>
            <w:shd w:fill="EAF2F8"/>
            <w:tcMar>
              <w:top w:w="80" w:type="dxa"/>
              <w:left w:w="80" w:type="dxa"/>
              <w:bottom w:w="80" w:type="dxa"/>
              <w:right w:w="80" w:type="dxa"/>
            </w:tcMar>
          </w:tcPr>
          <w:p>
            <w:pPr>
              <w:jc w:val="left"/>
            </w:pPr>
            <w:r>
              <w:rPr>
                <w:b/>
                <w:color w:val="1F3B60"/>
                <w:sz w:val="20"/>
              </w:rPr>
              <w:t>Knowledge Promotion Rule</w:t>
              <w:br/>
            </w:r>
            <w:r>
              <w:rPr>
                <w:color w:val="202020"/>
                <w:sz w:val="18"/>
              </w:rPr>
              <w:t>Incident notes, AI-generated explanations, chat summaries, and draft RCA notes are not authoritative knowledge. They become approved operational knowledge only after owner review, classification, evidence linking, and publication to OpenKM/Obsidian/LLM Wiki under AVCI controls.</w:t>
            </w:r>
          </w:p>
        </w:tc>
      </w:tr>
    </w:tbl>
    <w:p>
      <w:pPr>
        <w:pStyle w:val="Heading1"/>
        <w:spacing w:after="80" w:line="252" w:lineRule="auto"/>
      </w:pPr>
      <w:r>
        <w:t>14. Support Tiers, On-Call, Escalation, and Communications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6"/>
            <w:vAlign w:val="top"/>
            <w:shd w:fill="1F4E79"/>
            <w:tcMar>
              <w:top w:w="80" w:type="dxa"/>
              <w:left w:w="80" w:type="dxa"/>
              <w:bottom w:w="80" w:type="dxa"/>
              <w:right w:w="80" w:type="dxa"/>
            </w:tcMar>
          </w:tcPr>
          <w:p>
            <w:pPr>
              <w:jc w:val="left"/>
            </w:pPr>
            <w:r>
              <w:rPr>
                <w:b/>
                <w:color w:val="FFFFFF"/>
                <w:sz w:val="16"/>
              </w:rPr>
            </w:r>
            <w:r>
              <w:rPr>
                <w:b/>
                <w:color w:val="FFFFFF"/>
                <w:sz w:val="16"/>
              </w:rPr>
              <w:t>Tier</w:t>
            </w:r>
          </w:p>
        </w:tc>
        <w:tc>
          <w:tcPr>
            <w:tcW w:type="dxa" w:w="3888"/>
            <w:vAlign w:val="top"/>
            <w:shd w:fill="1F4E79"/>
            <w:tcMar>
              <w:top w:w="80" w:type="dxa"/>
              <w:left w:w="80" w:type="dxa"/>
              <w:bottom w:w="80" w:type="dxa"/>
              <w:right w:w="80" w:type="dxa"/>
            </w:tcMar>
          </w:tcPr>
          <w:p>
            <w:pPr>
              <w:jc w:val="left"/>
            </w:pPr>
            <w:r>
              <w:rPr>
                <w:b/>
                <w:color w:val="FFFFFF"/>
                <w:sz w:val="16"/>
              </w:rPr>
            </w:r>
            <w:r>
              <w:rPr>
                <w:b/>
                <w:color w:val="FFFFFF"/>
                <w:sz w:val="16"/>
              </w:rPr>
              <w:t>Primary Role</w:t>
            </w:r>
          </w:p>
        </w:tc>
        <w:tc>
          <w:tcPr>
            <w:tcW w:type="dxa" w:w="4608"/>
            <w:vAlign w:val="top"/>
            <w:shd w:fill="1F4E79"/>
            <w:tcMar>
              <w:top w:w="80" w:type="dxa"/>
              <w:left w:w="80" w:type="dxa"/>
              <w:bottom w:w="80" w:type="dxa"/>
              <w:right w:w="80" w:type="dxa"/>
            </w:tcMar>
          </w:tcPr>
          <w:p>
            <w:pPr>
              <w:jc w:val="left"/>
            </w:pPr>
            <w:r>
              <w:rPr>
                <w:b/>
                <w:color w:val="FFFFFF"/>
                <w:sz w:val="16"/>
              </w:rPr>
            </w:r>
            <w:r>
              <w:rPr>
                <w:b/>
                <w:color w:val="FFFFFF"/>
                <w:sz w:val="16"/>
              </w:rPr>
              <w:t>Examples</w:t>
            </w:r>
          </w:p>
        </w:tc>
      </w:tr>
      <w:tr>
        <w:tc>
          <w:tcPr>
            <w:tcW w:type="dxa" w:w="2016"/>
            <w:vAlign w:val="top"/>
            <w:tcMar>
              <w:top w:w="80" w:type="dxa"/>
              <w:left w:w="80" w:type="dxa"/>
              <w:bottom w:w="80" w:type="dxa"/>
              <w:right w:w="80" w:type="dxa"/>
            </w:tcMar>
          </w:tcPr>
          <w:p>
            <w:pPr>
              <w:jc w:val="left"/>
            </w:pPr>
            <w:r>
              <w:rPr>
                <w:sz w:val="16"/>
              </w:rPr>
            </w:r>
            <w:r>
              <w:rPr>
                <w:b w:val="0"/>
                <w:sz w:val="16"/>
              </w:rPr>
              <w:t>L0 Self-Service</w:t>
            </w:r>
          </w:p>
        </w:tc>
        <w:tc>
          <w:tcPr>
            <w:tcW w:type="dxa" w:w="3888"/>
            <w:vAlign w:val="top"/>
            <w:tcMar>
              <w:top w:w="80" w:type="dxa"/>
              <w:left w:w="80" w:type="dxa"/>
              <w:bottom w:w="80" w:type="dxa"/>
              <w:right w:w="80" w:type="dxa"/>
            </w:tcMar>
          </w:tcPr>
          <w:p>
            <w:pPr>
              <w:jc w:val="left"/>
            </w:pPr>
            <w:r>
              <w:rPr>
                <w:sz w:val="16"/>
              </w:rPr>
            </w:r>
            <w:r>
              <w:rPr>
                <w:b w:val="0"/>
                <w:sz w:val="16"/>
              </w:rPr>
              <w:t>Approved knowledge articles, FAQs, status pages, user guidance.</w:t>
            </w:r>
          </w:p>
        </w:tc>
        <w:tc>
          <w:tcPr>
            <w:tcW w:type="dxa" w:w="4608"/>
            <w:vAlign w:val="top"/>
            <w:tcMar>
              <w:top w:w="80" w:type="dxa"/>
              <w:left w:w="80" w:type="dxa"/>
              <w:bottom w:w="80" w:type="dxa"/>
              <w:right w:w="80" w:type="dxa"/>
            </w:tcMar>
          </w:tcPr>
          <w:p>
            <w:pPr>
              <w:jc w:val="left"/>
            </w:pPr>
            <w:r>
              <w:rPr>
                <w:sz w:val="16"/>
              </w:rPr>
            </w:r>
            <w:r>
              <w:rPr>
                <w:b w:val="0"/>
                <w:sz w:val="16"/>
              </w:rPr>
              <w:t>Known workaround, scheduled maintenance notice, user guide.</w:t>
            </w:r>
          </w:p>
        </w:tc>
      </w:tr>
      <w:tr>
        <w:tc>
          <w:tcPr>
            <w:tcW w:type="dxa" w:w="2016"/>
            <w:vAlign w:val="top"/>
            <w:tcMar>
              <w:top w:w="80" w:type="dxa"/>
              <w:left w:w="80" w:type="dxa"/>
              <w:bottom w:w="80" w:type="dxa"/>
              <w:right w:w="80" w:type="dxa"/>
            </w:tcMar>
          </w:tcPr>
          <w:p>
            <w:pPr>
              <w:jc w:val="left"/>
            </w:pPr>
            <w:r>
              <w:rPr>
                <w:sz w:val="16"/>
              </w:rPr>
            </w:r>
            <w:r>
              <w:rPr>
                <w:b w:val="0"/>
                <w:sz w:val="16"/>
              </w:rPr>
              <w:t>L1 Service Desk</w:t>
            </w:r>
          </w:p>
        </w:tc>
        <w:tc>
          <w:tcPr>
            <w:tcW w:type="dxa" w:w="3888"/>
            <w:vAlign w:val="top"/>
            <w:tcMar>
              <w:top w:w="80" w:type="dxa"/>
              <w:left w:w="80" w:type="dxa"/>
              <w:bottom w:w="80" w:type="dxa"/>
              <w:right w:w="80" w:type="dxa"/>
            </w:tcMar>
          </w:tcPr>
          <w:p>
            <w:pPr>
              <w:jc w:val="left"/>
            </w:pPr>
            <w:r>
              <w:rPr>
                <w:sz w:val="16"/>
              </w:rPr>
            </w:r>
            <w:r>
              <w:rPr>
                <w:b w:val="0"/>
                <w:sz w:val="16"/>
              </w:rPr>
              <w:t>Zammad intake, categorization, basic triage, communication, simple fulfillment.</w:t>
            </w:r>
          </w:p>
        </w:tc>
        <w:tc>
          <w:tcPr>
            <w:tcW w:type="dxa" w:w="4608"/>
            <w:vAlign w:val="top"/>
            <w:tcMar>
              <w:top w:w="80" w:type="dxa"/>
              <w:left w:w="80" w:type="dxa"/>
              <w:bottom w:w="80" w:type="dxa"/>
              <w:right w:w="80" w:type="dxa"/>
            </w:tcMar>
          </w:tcPr>
          <w:p>
            <w:pPr>
              <w:jc w:val="left"/>
            </w:pPr>
            <w:r>
              <w:rPr>
                <w:sz w:val="16"/>
              </w:rPr>
            </w:r>
            <w:r>
              <w:rPr>
                <w:b w:val="0"/>
                <w:sz w:val="16"/>
              </w:rPr>
              <w:t>Password/access request routing, basic incident intake, status updates.</w:t>
            </w:r>
          </w:p>
        </w:tc>
      </w:tr>
      <w:tr>
        <w:tc>
          <w:tcPr>
            <w:tcW w:type="dxa" w:w="2016"/>
            <w:vAlign w:val="top"/>
            <w:tcMar>
              <w:top w:w="80" w:type="dxa"/>
              <w:left w:w="80" w:type="dxa"/>
              <w:bottom w:w="80" w:type="dxa"/>
              <w:right w:w="80" w:type="dxa"/>
            </w:tcMar>
          </w:tcPr>
          <w:p>
            <w:pPr>
              <w:jc w:val="left"/>
            </w:pPr>
            <w:r>
              <w:rPr>
                <w:sz w:val="16"/>
              </w:rPr>
            </w:r>
            <w:r>
              <w:rPr>
                <w:b w:val="0"/>
                <w:sz w:val="16"/>
              </w:rPr>
              <w:t>L2 Application/Platform Support</w:t>
            </w:r>
          </w:p>
        </w:tc>
        <w:tc>
          <w:tcPr>
            <w:tcW w:type="dxa" w:w="3888"/>
            <w:vAlign w:val="top"/>
            <w:tcMar>
              <w:top w:w="80" w:type="dxa"/>
              <w:left w:w="80" w:type="dxa"/>
              <w:bottom w:w="80" w:type="dxa"/>
              <w:right w:w="80" w:type="dxa"/>
            </w:tcMar>
          </w:tcPr>
          <w:p>
            <w:pPr>
              <w:jc w:val="left"/>
            </w:pPr>
            <w:r>
              <w:rPr>
                <w:sz w:val="16"/>
              </w:rPr>
            </w:r>
            <w:r>
              <w:rPr>
                <w:b w:val="0"/>
                <w:sz w:val="16"/>
              </w:rPr>
              <w:t>Service-specific triage, logs/traces, runbooks, configuration, workflow recovery.</w:t>
            </w:r>
          </w:p>
        </w:tc>
        <w:tc>
          <w:tcPr>
            <w:tcW w:type="dxa" w:w="4608"/>
            <w:vAlign w:val="top"/>
            <w:tcMar>
              <w:top w:w="80" w:type="dxa"/>
              <w:left w:w="80" w:type="dxa"/>
              <w:bottom w:w="80" w:type="dxa"/>
              <w:right w:w="80" w:type="dxa"/>
            </w:tcMar>
          </w:tcPr>
          <w:p>
            <w:pPr>
              <w:jc w:val="left"/>
            </w:pPr>
            <w:r>
              <w:rPr>
                <w:sz w:val="16"/>
              </w:rPr>
            </w:r>
            <w:r>
              <w:rPr>
                <w:b w:val="0"/>
                <w:sz w:val="16"/>
              </w:rPr>
              <w:t>Application error, workflow stuck, queue backlog, failed job.</w:t>
            </w:r>
          </w:p>
        </w:tc>
      </w:tr>
      <w:tr>
        <w:tc>
          <w:tcPr>
            <w:tcW w:type="dxa" w:w="2016"/>
            <w:vAlign w:val="top"/>
            <w:tcMar>
              <w:top w:w="80" w:type="dxa"/>
              <w:left w:w="80" w:type="dxa"/>
              <w:bottom w:w="80" w:type="dxa"/>
              <w:right w:w="80" w:type="dxa"/>
            </w:tcMar>
          </w:tcPr>
          <w:p>
            <w:pPr>
              <w:jc w:val="left"/>
            </w:pPr>
            <w:r>
              <w:rPr>
                <w:sz w:val="16"/>
              </w:rPr>
            </w:r>
            <w:r>
              <w:rPr>
                <w:b w:val="0"/>
                <w:sz w:val="16"/>
              </w:rPr>
              <w:t>L3 Engineering/SRE/DBA/Security</w:t>
            </w:r>
          </w:p>
        </w:tc>
        <w:tc>
          <w:tcPr>
            <w:tcW w:type="dxa" w:w="3888"/>
            <w:vAlign w:val="top"/>
            <w:tcMar>
              <w:top w:w="80" w:type="dxa"/>
              <w:left w:w="80" w:type="dxa"/>
              <w:bottom w:w="80" w:type="dxa"/>
              <w:right w:w="80" w:type="dxa"/>
            </w:tcMar>
          </w:tcPr>
          <w:p>
            <w:pPr>
              <w:jc w:val="left"/>
            </w:pPr>
            <w:r>
              <w:rPr>
                <w:sz w:val="16"/>
              </w:rPr>
            </w:r>
            <w:r>
              <w:rPr>
                <w:b w:val="0"/>
                <w:sz w:val="16"/>
              </w:rPr>
              <w:t>Deep root cause, code/config fix, database/platform/security investigation.</w:t>
            </w:r>
          </w:p>
        </w:tc>
        <w:tc>
          <w:tcPr>
            <w:tcW w:type="dxa" w:w="4608"/>
            <w:vAlign w:val="top"/>
            <w:tcMar>
              <w:top w:w="80" w:type="dxa"/>
              <w:left w:w="80" w:type="dxa"/>
              <w:bottom w:w="80" w:type="dxa"/>
              <w:right w:w="80" w:type="dxa"/>
            </w:tcMar>
          </w:tcPr>
          <w:p>
            <w:pPr>
              <w:jc w:val="left"/>
            </w:pPr>
            <w:r>
              <w:rPr>
                <w:sz w:val="16"/>
              </w:rPr>
            </w:r>
            <w:r>
              <w:rPr>
                <w:b w:val="0"/>
                <w:sz w:val="16"/>
              </w:rPr>
              <w:t>Sev-1/Sev-2, RCA, hotfix, Wazuh/TheHive/Cortex investigation.</w:t>
            </w:r>
          </w:p>
        </w:tc>
      </w:tr>
      <w:tr>
        <w:tc>
          <w:tcPr>
            <w:tcW w:type="dxa" w:w="2016"/>
            <w:vAlign w:val="top"/>
            <w:tcMar>
              <w:top w:w="80" w:type="dxa"/>
              <w:left w:w="80" w:type="dxa"/>
              <w:bottom w:w="80" w:type="dxa"/>
              <w:right w:w="80" w:type="dxa"/>
            </w:tcMar>
          </w:tcPr>
          <w:p>
            <w:pPr>
              <w:jc w:val="left"/>
            </w:pPr>
            <w:r>
              <w:rPr>
                <w:sz w:val="16"/>
              </w:rPr>
            </w:r>
            <w:r>
              <w:rPr>
                <w:b w:val="0"/>
                <w:sz w:val="16"/>
              </w:rPr>
              <w:t>L4 Vendor/External</w:t>
            </w:r>
          </w:p>
        </w:tc>
        <w:tc>
          <w:tcPr>
            <w:tcW w:type="dxa" w:w="3888"/>
            <w:vAlign w:val="top"/>
            <w:tcMar>
              <w:top w:w="80" w:type="dxa"/>
              <w:left w:w="80" w:type="dxa"/>
              <w:bottom w:w="80" w:type="dxa"/>
              <w:right w:w="80" w:type="dxa"/>
            </w:tcMar>
          </w:tcPr>
          <w:p>
            <w:pPr>
              <w:jc w:val="left"/>
            </w:pPr>
            <w:r>
              <w:rPr>
                <w:sz w:val="16"/>
              </w:rPr>
            </w:r>
            <w:r>
              <w:rPr>
                <w:b w:val="0"/>
                <w:sz w:val="16"/>
              </w:rPr>
              <w:t>Vendor support or external system owner.</w:t>
            </w:r>
          </w:p>
        </w:tc>
        <w:tc>
          <w:tcPr>
            <w:tcW w:type="dxa" w:w="4608"/>
            <w:vAlign w:val="top"/>
            <w:tcMar>
              <w:top w:w="80" w:type="dxa"/>
              <w:left w:w="80" w:type="dxa"/>
              <w:bottom w:w="80" w:type="dxa"/>
              <w:right w:w="80" w:type="dxa"/>
            </w:tcMar>
          </w:tcPr>
          <w:p>
            <w:pPr>
              <w:jc w:val="left"/>
            </w:pPr>
            <w:r>
              <w:rPr>
                <w:sz w:val="16"/>
              </w:rPr>
            </w:r>
            <w:r>
              <w:rPr>
                <w:b w:val="0"/>
                <w:sz w:val="16"/>
              </w:rPr>
              <w:t>OpenKM vendor issue, telecom/payment/core banking integration issue, cloud/provider issue.</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Communication Type</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Requirement</w:t>
            </w:r>
          </w:p>
        </w:tc>
      </w:tr>
      <w:tr>
        <w:tc>
          <w:tcPr>
            <w:tcW w:type="dxa" w:w="2592"/>
            <w:vAlign w:val="top"/>
            <w:tcMar>
              <w:top w:w="80" w:type="dxa"/>
              <w:left w:w="80" w:type="dxa"/>
              <w:bottom w:w="80" w:type="dxa"/>
              <w:right w:w="80" w:type="dxa"/>
            </w:tcMar>
          </w:tcPr>
          <w:p>
            <w:pPr>
              <w:jc w:val="left"/>
            </w:pPr>
            <w:r>
              <w:rPr>
                <w:sz w:val="16"/>
              </w:rPr>
            </w:r>
            <w:r>
              <w:rPr>
                <w:b w:val="0"/>
                <w:sz w:val="16"/>
              </w:rPr>
              <w:t>Incident updates</w:t>
            </w:r>
          </w:p>
        </w:tc>
        <w:tc>
          <w:tcPr>
            <w:tcW w:type="dxa" w:w="7920"/>
            <w:vAlign w:val="top"/>
            <w:tcMar>
              <w:top w:w="80" w:type="dxa"/>
              <w:left w:w="80" w:type="dxa"/>
              <w:bottom w:w="80" w:type="dxa"/>
              <w:right w:w="80" w:type="dxa"/>
            </w:tcMar>
          </w:tcPr>
          <w:p>
            <w:pPr>
              <w:jc w:val="left"/>
            </w:pPr>
            <w:r>
              <w:rPr>
                <w:sz w:val="16"/>
              </w:rPr>
            </w:r>
            <w:r>
              <w:rPr>
                <w:b w:val="0"/>
                <w:sz w:val="16"/>
              </w:rPr>
              <w:t>Use factual status, impact, workaround, next update time, and owner. Avoid speculation.</w:t>
            </w:r>
          </w:p>
        </w:tc>
      </w:tr>
      <w:tr>
        <w:tc>
          <w:tcPr>
            <w:tcW w:type="dxa" w:w="2592"/>
            <w:vAlign w:val="top"/>
            <w:tcMar>
              <w:top w:w="80" w:type="dxa"/>
              <w:left w:w="80" w:type="dxa"/>
              <w:bottom w:w="80" w:type="dxa"/>
              <w:right w:w="80" w:type="dxa"/>
            </w:tcMar>
          </w:tcPr>
          <w:p>
            <w:pPr>
              <w:jc w:val="left"/>
            </w:pPr>
            <w:r>
              <w:rPr>
                <w:sz w:val="16"/>
              </w:rPr>
            </w:r>
            <w:r>
              <w:rPr>
                <w:b w:val="0"/>
                <w:sz w:val="16"/>
              </w:rPr>
              <w:t>Executive updates</w:t>
            </w:r>
          </w:p>
        </w:tc>
        <w:tc>
          <w:tcPr>
            <w:tcW w:type="dxa" w:w="7920"/>
            <w:vAlign w:val="top"/>
            <w:tcMar>
              <w:top w:w="80" w:type="dxa"/>
              <w:left w:w="80" w:type="dxa"/>
              <w:bottom w:w="80" w:type="dxa"/>
              <w:right w:w="80" w:type="dxa"/>
            </w:tcMar>
          </w:tcPr>
          <w:p>
            <w:pPr>
              <w:jc w:val="left"/>
            </w:pPr>
            <w:r>
              <w:rPr>
                <w:sz w:val="16"/>
              </w:rPr>
            </w:r>
            <w:r>
              <w:rPr>
                <w:b w:val="0"/>
                <w:sz w:val="16"/>
              </w:rPr>
              <w:t>Required for Sev-1 and selected Sev-2 incidents; concise impact, action, ETA, risk.</w:t>
            </w:r>
          </w:p>
        </w:tc>
      </w:tr>
      <w:tr>
        <w:tc>
          <w:tcPr>
            <w:tcW w:type="dxa" w:w="2592"/>
            <w:vAlign w:val="top"/>
            <w:tcMar>
              <w:top w:w="80" w:type="dxa"/>
              <w:left w:w="80" w:type="dxa"/>
              <w:bottom w:w="80" w:type="dxa"/>
              <w:right w:w="80" w:type="dxa"/>
            </w:tcMar>
          </w:tcPr>
          <w:p>
            <w:pPr>
              <w:jc w:val="left"/>
            </w:pPr>
            <w:r>
              <w:rPr>
                <w:sz w:val="16"/>
              </w:rPr>
            </w:r>
            <w:r>
              <w:rPr>
                <w:b w:val="0"/>
                <w:sz w:val="16"/>
              </w:rPr>
              <w:t>Business user updates</w:t>
            </w:r>
          </w:p>
        </w:tc>
        <w:tc>
          <w:tcPr>
            <w:tcW w:type="dxa" w:w="7920"/>
            <w:vAlign w:val="top"/>
            <w:tcMar>
              <w:top w:w="80" w:type="dxa"/>
              <w:left w:w="80" w:type="dxa"/>
              <w:bottom w:w="80" w:type="dxa"/>
              <w:right w:w="80" w:type="dxa"/>
            </w:tcMar>
          </w:tcPr>
          <w:p>
            <w:pPr>
              <w:jc w:val="left"/>
            </w:pPr>
            <w:r>
              <w:rPr>
                <w:sz w:val="16"/>
              </w:rPr>
            </w:r>
            <w:r>
              <w:rPr>
                <w:b w:val="0"/>
                <w:sz w:val="16"/>
              </w:rPr>
              <w:t>Use business language, known workaround, affected process, and expected resolution window.</w:t>
            </w:r>
          </w:p>
        </w:tc>
      </w:tr>
      <w:tr>
        <w:tc>
          <w:tcPr>
            <w:tcW w:type="dxa" w:w="2592"/>
            <w:vAlign w:val="top"/>
            <w:tcMar>
              <w:top w:w="80" w:type="dxa"/>
              <w:left w:w="80" w:type="dxa"/>
              <w:bottom w:w="80" w:type="dxa"/>
              <w:right w:w="80" w:type="dxa"/>
            </w:tcMar>
          </w:tcPr>
          <w:p>
            <w:pPr>
              <w:jc w:val="left"/>
            </w:pPr>
            <w:r>
              <w:rPr>
                <w:sz w:val="16"/>
              </w:rPr>
            </w:r>
            <w:r>
              <w:rPr>
                <w:b w:val="0"/>
                <w:sz w:val="16"/>
              </w:rPr>
              <w:t>Post-incident communication</w:t>
            </w:r>
          </w:p>
        </w:tc>
        <w:tc>
          <w:tcPr>
            <w:tcW w:type="dxa" w:w="7920"/>
            <w:vAlign w:val="top"/>
            <w:tcMar>
              <w:top w:w="80" w:type="dxa"/>
              <w:left w:w="80" w:type="dxa"/>
              <w:bottom w:w="80" w:type="dxa"/>
              <w:right w:w="80" w:type="dxa"/>
            </w:tcMar>
          </w:tcPr>
          <w:p>
            <w:pPr>
              <w:jc w:val="left"/>
            </w:pPr>
            <w:r>
              <w:rPr>
                <w:sz w:val="16"/>
              </w:rPr>
            </w:r>
            <w:r>
              <w:rPr>
                <w:b w:val="0"/>
                <w:sz w:val="16"/>
              </w:rPr>
              <w:t>Summarize cause, actions taken, prevention steps, and remaining risks after approval.</w:t>
            </w:r>
          </w:p>
        </w:tc>
      </w:tr>
    </w:tbl>
    <w:p>
      <w:pPr>
        <w:pStyle w:val="Heading1"/>
        <w:spacing w:after="80" w:line="252" w:lineRule="auto"/>
      </w:pPr>
      <w:r>
        <w:t>15. Capacity, Performance, Availability, and Reliability Engineering</w:t>
      </w:r>
    </w:p>
    <w:p>
      <w:pPr>
        <w:spacing w:after="80" w:line="252" w:lineRule="auto"/>
      </w:pPr>
      <w:r>
        <w:t>AIRA capacity and performance management combines SLO telemetry, platform utilization, database health, Kafka/workflow lag, AI gateway usage, and support-ticket trends. Capacity is treated as a reliability and cost-control function.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160"/>
            <w:vAlign w:val="top"/>
            <w:shd w:fill="1F4E79"/>
            <w:tcMar>
              <w:top w:w="80" w:type="dxa"/>
              <w:left w:w="80" w:type="dxa"/>
              <w:bottom w:w="80" w:type="dxa"/>
              <w:right w:w="80" w:type="dxa"/>
            </w:tcMar>
          </w:tcPr>
          <w:p>
            <w:pPr>
              <w:jc w:val="left"/>
            </w:pPr>
            <w:r>
              <w:rPr>
                <w:b/>
                <w:color w:val="FFFFFF"/>
                <w:sz w:val="16"/>
              </w:rPr>
            </w:r>
            <w:r>
              <w:rPr>
                <w:b/>
                <w:color w:val="FFFFFF"/>
                <w:sz w:val="16"/>
              </w:rPr>
              <w:t>Area</w:t>
            </w:r>
          </w:p>
        </w:tc>
        <w:tc>
          <w:tcPr>
            <w:tcW w:type="dxa" w:w="5040"/>
            <w:vAlign w:val="top"/>
            <w:shd w:fill="1F4E79"/>
            <w:tcMar>
              <w:top w:w="80" w:type="dxa"/>
              <w:left w:w="80" w:type="dxa"/>
              <w:bottom w:w="80" w:type="dxa"/>
              <w:right w:w="80" w:type="dxa"/>
            </w:tcMar>
          </w:tcPr>
          <w:p>
            <w:pPr>
              <w:jc w:val="left"/>
            </w:pPr>
            <w:r>
              <w:rPr>
                <w:b/>
                <w:color w:val="FFFFFF"/>
                <w:sz w:val="16"/>
              </w:rPr>
            </w:r>
            <w:r>
              <w:rPr>
                <w:b/>
                <w:color w:val="FFFFFF"/>
                <w:sz w:val="16"/>
              </w:rPr>
              <w:t>Signals to Monitor</w:t>
            </w:r>
          </w:p>
        </w:tc>
        <w:tc>
          <w:tcPr>
            <w:tcW w:type="dxa" w:w="3312"/>
            <w:vAlign w:val="top"/>
            <w:shd w:fill="1F4E79"/>
            <w:tcMar>
              <w:top w:w="80" w:type="dxa"/>
              <w:left w:w="80" w:type="dxa"/>
              <w:bottom w:w="80" w:type="dxa"/>
              <w:right w:w="80" w:type="dxa"/>
            </w:tcMar>
          </w:tcPr>
          <w:p>
            <w:pPr>
              <w:jc w:val="left"/>
            </w:pPr>
            <w:r>
              <w:rPr>
                <w:b/>
                <w:color w:val="FFFFFF"/>
                <w:sz w:val="16"/>
              </w:rPr>
            </w:r>
            <w:r>
              <w:rPr>
                <w:b/>
                <w:color w:val="FFFFFF"/>
                <w:sz w:val="16"/>
              </w:rPr>
              <w:t>Action Trigger</w:t>
            </w:r>
          </w:p>
        </w:tc>
      </w:tr>
      <w:tr>
        <w:tc>
          <w:tcPr>
            <w:tcW w:type="dxa" w:w="2160"/>
            <w:vAlign w:val="top"/>
            <w:tcMar>
              <w:top w:w="80" w:type="dxa"/>
              <w:left w:w="80" w:type="dxa"/>
              <w:bottom w:w="80" w:type="dxa"/>
              <w:right w:w="80" w:type="dxa"/>
            </w:tcMar>
          </w:tcPr>
          <w:p>
            <w:pPr>
              <w:jc w:val="left"/>
            </w:pPr>
            <w:r>
              <w:rPr>
                <w:sz w:val="16"/>
              </w:rPr>
            </w:r>
            <w:r>
              <w:rPr>
                <w:b w:val="0"/>
                <w:sz w:val="16"/>
              </w:rPr>
              <w:t>Compute / Kubernetes</w:t>
            </w:r>
          </w:p>
        </w:tc>
        <w:tc>
          <w:tcPr>
            <w:tcW w:type="dxa" w:w="5040"/>
            <w:vAlign w:val="top"/>
            <w:tcMar>
              <w:top w:w="80" w:type="dxa"/>
              <w:left w:w="80" w:type="dxa"/>
              <w:bottom w:w="80" w:type="dxa"/>
              <w:right w:w="80" w:type="dxa"/>
            </w:tcMar>
          </w:tcPr>
          <w:p>
            <w:pPr>
              <w:jc w:val="left"/>
            </w:pPr>
            <w:r>
              <w:rPr>
                <w:sz w:val="16"/>
              </w:rPr>
            </w:r>
            <w:r>
              <w:rPr>
                <w:b w:val="0"/>
                <w:sz w:val="16"/>
              </w:rPr>
              <w:t>CPU, memory, pod restarts, HPA events, scheduling failures, node pressure.</w:t>
            </w:r>
          </w:p>
        </w:tc>
        <w:tc>
          <w:tcPr>
            <w:tcW w:type="dxa" w:w="3312"/>
            <w:vAlign w:val="top"/>
            <w:tcMar>
              <w:top w:w="80" w:type="dxa"/>
              <w:left w:w="80" w:type="dxa"/>
              <w:bottom w:w="80" w:type="dxa"/>
              <w:right w:w="80" w:type="dxa"/>
            </w:tcMar>
          </w:tcPr>
          <w:p>
            <w:pPr>
              <w:jc w:val="left"/>
            </w:pPr>
            <w:r>
              <w:rPr>
                <w:sz w:val="16"/>
              </w:rPr>
            </w:r>
            <w:r>
              <w:rPr>
                <w:b w:val="0"/>
                <w:sz w:val="16"/>
              </w:rPr>
              <w:t>Sustained saturation, frequent restarts, scaling failures, SLO impact.</w:t>
            </w:r>
          </w:p>
        </w:tc>
      </w:tr>
      <w:tr>
        <w:tc>
          <w:tcPr>
            <w:tcW w:type="dxa" w:w="2160"/>
            <w:vAlign w:val="top"/>
            <w:tcMar>
              <w:top w:w="80" w:type="dxa"/>
              <w:left w:w="80" w:type="dxa"/>
              <w:bottom w:w="80" w:type="dxa"/>
              <w:right w:w="80" w:type="dxa"/>
            </w:tcMar>
          </w:tcPr>
          <w:p>
            <w:pPr>
              <w:jc w:val="left"/>
            </w:pPr>
            <w:r>
              <w:rPr>
                <w:sz w:val="16"/>
              </w:rPr>
            </w:r>
            <w:r>
              <w:rPr>
                <w:b w:val="0"/>
                <w:sz w:val="16"/>
              </w:rPr>
              <w:t>Database</w:t>
            </w:r>
          </w:p>
        </w:tc>
        <w:tc>
          <w:tcPr>
            <w:tcW w:type="dxa" w:w="5040"/>
            <w:vAlign w:val="top"/>
            <w:tcMar>
              <w:top w:w="80" w:type="dxa"/>
              <w:left w:w="80" w:type="dxa"/>
              <w:bottom w:w="80" w:type="dxa"/>
              <w:right w:w="80" w:type="dxa"/>
            </w:tcMar>
          </w:tcPr>
          <w:p>
            <w:pPr>
              <w:jc w:val="left"/>
            </w:pPr>
            <w:r>
              <w:rPr>
                <w:sz w:val="16"/>
              </w:rPr>
            </w:r>
            <w:r>
              <w:rPr>
                <w:b w:val="0"/>
                <w:sz w:val="16"/>
              </w:rPr>
              <w:t>connection pool, slow queries, locks, replication lag, storage growth, backup duration.</w:t>
            </w:r>
          </w:p>
        </w:tc>
        <w:tc>
          <w:tcPr>
            <w:tcW w:type="dxa" w:w="3312"/>
            <w:vAlign w:val="top"/>
            <w:tcMar>
              <w:top w:w="80" w:type="dxa"/>
              <w:left w:w="80" w:type="dxa"/>
              <w:bottom w:w="80" w:type="dxa"/>
              <w:right w:w="80" w:type="dxa"/>
            </w:tcMar>
          </w:tcPr>
          <w:p>
            <w:pPr>
              <w:jc w:val="left"/>
            </w:pPr>
            <w:r>
              <w:rPr>
                <w:sz w:val="16"/>
              </w:rPr>
            </w:r>
            <w:r>
              <w:rPr>
                <w:b w:val="0"/>
                <w:sz w:val="16"/>
              </w:rPr>
              <w:t>Pool saturation, slow query trend, backup breach, storage threshold.</w:t>
            </w:r>
          </w:p>
        </w:tc>
      </w:tr>
      <w:tr>
        <w:tc>
          <w:tcPr>
            <w:tcW w:type="dxa" w:w="2160"/>
            <w:vAlign w:val="top"/>
            <w:tcMar>
              <w:top w:w="80" w:type="dxa"/>
              <w:left w:w="80" w:type="dxa"/>
              <w:bottom w:w="80" w:type="dxa"/>
              <w:right w:w="80" w:type="dxa"/>
            </w:tcMar>
          </w:tcPr>
          <w:p>
            <w:pPr>
              <w:jc w:val="left"/>
            </w:pPr>
            <w:r>
              <w:rPr>
                <w:sz w:val="16"/>
              </w:rPr>
            </w:r>
            <w:r>
              <w:rPr>
                <w:b w:val="0"/>
                <w:sz w:val="16"/>
              </w:rPr>
              <w:t>Kafka / Events</w:t>
            </w:r>
          </w:p>
        </w:tc>
        <w:tc>
          <w:tcPr>
            <w:tcW w:type="dxa" w:w="5040"/>
            <w:vAlign w:val="top"/>
            <w:tcMar>
              <w:top w:w="80" w:type="dxa"/>
              <w:left w:w="80" w:type="dxa"/>
              <w:bottom w:w="80" w:type="dxa"/>
              <w:right w:w="80" w:type="dxa"/>
            </w:tcMar>
          </w:tcPr>
          <w:p>
            <w:pPr>
              <w:jc w:val="left"/>
            </w:pPr>
            <w:r>
              <w:rPr>
                <w:sz w:val="16"/>
              </w:rPr>
            </w:r>
            <w:r>
              <w:rPr>
                <w:b w:val="0"/>
                <w:sz w:val="16"/>
              </w:rPr>
              <w:t>consumer lag, DLQ count, failed publish, schema errors, outbox backlog.</w:t>
            </w:r>
          </w:p>
        </w:tc>
        <w:tc>
          <w:tcPr>
            <w:tcW w:type="dxa" w:w="3312"/>
            <w:vAlign w:val="top"/>
            <w:tcMar>
              <w:top w:w="80" w:type="dxa"/>
              <w:left w:w="80" w:type="dxa"/>
              <w:bottom w:w="80" w:type="dxa"/>
              <w:right w:w="80" w:type="dxa"/>
            </w:tcMar>
          </w:tcPr>
          <w:p>
            <w:pPr>
              <w:jc w:val="left"/>
            </w:pPr>
            <w:r>
              <w:rPr>
                <w:sz w:val="16"/>
              </w:rPr>
            </w:r>
            <w:r>
              <w:rPr>
                <w:b w:val="0"/>
                <w:sz w:val="16"/>
              </w:rPr>
              <w:t>Lag exceeds threshold, DLQ growth, repeated schema rejection.</w:t>
            </w:r>
          </w:p>
        </w:tc>
      </w:tr>
      <w:tr>
        <w:tc>
          <w:tcPr>
            <w:tcW w:type="dxa" w:w="2160"/>
            <w:vAlign w:val="top"/>
            <w:tcMar>
              <w:top w:w="80" w:type="dxa"/>
              <w:left w:w="80" w:type="dxa"/>
              <w:bottom w:w="80" w:type="dxa"/>
              <w:right w:w="80" w:type="dxa"/>
            </w:tcMar>
          </w:tcPr>
          <w:p>
            <w:pPr>
              <w:jc w:val="left"/>
            </w:pPr>
            <w:r>
              <w:rPr>
                <w:sz w:val="16"/>
              </w:rPr>
            </w:r>
            <w:r>
              <w:rPr>
                <w:b w:val="0"/>
                <w:sz w:val="16"/>
              </w:rPr>
              <w:t>Workflow</w:t>
            </w:r>
          </w:p>
        </w:tc>
        <w:tc>
          <w:tcPr>
            <w:tcW w:type="dxa" w:w="5040"/>
            <w:vAlign w:val="top"/>
            <w:tcMar>
              <w:top w:w="80" w:type="dxa"/>
              <w:left w:w="80" w:type="dxa"/>
              <w:bottom w:w="80" w:type="dxa"/>
              <w:right w:w="80" w:type="dxa"/>
            </w:tcMar>
          </w:tcPr>
          <w:p>
            <w:pPr>
              <w:jc w:val="left"/>
            </w:pPr>
            <w:r>
              <w:rPr>
                <w:sz w:val="16"/>
              </w:rPr>
            </w:r>
            <w:r>
              <w:rPr>
                <w:b w:val="0"/>
                <w:sz w:val="16"/>
              </w:rPr>
              <w:t>Temporal queue backlog, workflow failure, retry storm, Flowable task age, SLA breach.</w:t>
            </w:r>
          </w:p>
        </w:tc>
        <w:tc>
          <w:tcPr>
            <w:tcW w:type="dxa" w:w="3312"/>
            <w:vAlign w:val="top"/>
            <w:tcMar>
              <w:top w:w="80" w:type="dxa"/>
              <w:left w:w="80" w:type="dxa"/>
              <w:bottom w:w="80" w:type="dxa"/>
              <w:right w:w="80" w:type="dxa"/>
            </w:tcMar>
          </w:tcPr>
          <w:p>
            <w:pPr>
              <w:jc w:val="left"/>
            </w:pPr>
            <w:r>
              <w:rPr>
                <w:sz w:val="16"/>
              </w:rPr>
            </w:r>
            <w:r>
              <w:rPr>
                <w:b w:val="0"/>
                <w:sz w:val="16"/>
              </w:rPr>
              <w:t>Workflow aging, timer breach, failed compensation.</w:t>
            </w:r>
          </w:p>
        </w:tc>
      </w:tr>
      <w:tr>
        <w:tc>
          <w:tcPr>
            <w:tcW w:type="dxa" w:w="2160"/>
            <w:vAlign w:val="top"/>
            <w:tcMar>
              <w:top w:w="80" w:type="dxa"/>
              <w:left w:w="80" w:type="dxa"/>
              <w:bottom w:w="80" w:type="dxa"/>
              <w:right w:w="80" w:type="dxa"/>
            </w:tcMar>
          </w:tcPr>
          <w:p>
            <w:pPr>
              <w:jc w:val="left"/>
            </w:pPr>
            <w:r>
              <w:rPr>
                <w:sz w:val="16"/>
              </w:rPr>
            </w:r>
            <w:r>
              <w:rPr>
                <w:b w:val="0"/>
                <w:sz w:val="16"/>
              </w:rPr>
              <w:t>AI Gateway</w:t>
            </w:r>
          </w:p>
        </w:tc>
        <w:tc>
          <w:tcPr>
            <w:tcW w:type="dxa" w:w="5040"/>
            <w:vAlign w:val="top"/>
            <w:tcMar>
              <w:top w:w="80" w:type="dxa"/>
              <w:left w:w="80" w:type="dxa"/>
              <w:bottom w:w="80" w:type="dxa"/>
              <w:right w:w="80" w:type="dxa"/>
            </w:tcMar>
          </w:tcPr>
          <w:p>
            <w:pPr>
              <w:jc w:val="left"/>
            </w:pPr>
            <w:r>
              <w:rPr>
                <w:sz w:val="16"/>
              </w:rPr>
            </w:r>
            <w:r>
              <w:rPr>
                <w:b w:val="0"/>
                <w:sz w:val="16"/>
              </w:rPr>
              <w:t>model latency, token/cost burn, guardrail block rate, route errors, eval regression.</w:t>
            </w:r>
          </w:p>
        </w:tc>
        <w:tc>
          <w:tcPr>
            <w:tcW w:type="dxa" w:w="3312"/>
            <w:vAlign w:val="top"/>
            <w:tcMar>
              <w:top w:w="80" w:type="dxa"/>
              <w:left w:w="80" w:type="dxa"/>
              <w:bottom w:w="80" w:type="dxa"/>
              <w:right w:w="80" w:type="dxa"/>
            </w:tcMar>
          </w:tcPr>
          <w:p>
            <w:pPr>
              <w:jc w:val="left"/>
            </w:pPr>
            <w:r>
              <w:rPr>
                <w:sz w:val="16"/>
              </w:rPr>
            </w:r>
            <w:r>
              <w:rPr>
                <w:b w:val="0"/>
                <w:sz w:val="16"/>
              </w:rPr>
              <w:t>Budget anomaly, unsafe output block trend, route failure.</w:t>
            </w:r>
          </w:p>
        </w:tc>
      </w:tr>
      <w:tr>
        <w:tc>
          <w:tcPr>
            <w:tcW w:type="dxa" w:w="2160"/>
            <w:vAlign w:val="top"/>
            <w:tcMar>
              <w:top w:w="80" w:type="dxa"/>
              <w:left w:w="80" w:type="dxa"/>
              <w:bottom w:w="80" w:type="dxa"/>
              <w:right w:w="80" w:type="dxa"/>
            </w:tcMar>
          </w:tcPr>
          <w:p>
            <w:pPr>
              <w:jc w:val="left"/>
            </w:pPr>
            <w:r>
              <w:rPr>
                <w:sz w:val="16"/>
              </w:rPr>
            </w:r>
            <w:r>
              <w:rPr>
                <w:b w:val="0"/>
                <w:sz w:val="16"/>
              </w:rPr>
              <w:t>Service Desk</w:t>
            </w:r>
          </w:p>
        </w:tc>
        <w:tc>
          <w:tcPr>
            <w:tcW w:type="dxa" w:w="5040"/>
            <w:vAlign w:val="top"/>
            <w:tcMar>
              <w:top w:w="80" w:type="dxa"/>
              <w:left w:w="80" w:type="dxa"/>
              <w:bottom w:w="80" w:type="dxa"/>
              <w:right w:w="80" w:type="dxa"/>
            </w:tcMar>
          </w:tcPr>
          <w:p>
            <w:pPr>
              <w:jc w:val="left"/>
            </w:pPr>
            <w:r>
              <w:rPr>
                <w:sz w:val="16"/>
              </w:rPr>
            </w:r>
            <w:r>
              <w:rPr>
                <w:b w:val="0"/>
                <w:sz w:val="16"/>
              </w:rPr>
              <w:t>ticket volume, repeat category, SLA breach, reopened tickets, unresolved aging.</w:t>
            </w:r>
          </w:p>
        </w:tc>
        <w:tc>
          <w:tcPr>
            <w:tcW w:type="dxa" w:w="3312"/>
            <w:vAlign w:val="top"/>
            <w:tcMar>
              <w:top w:w="80" w:type="dxa"/>
              <w:left w:w="80" w:type="dxa"/>
              <w:bottom w:w="80" w:type="dxa"/>
              <w:right w:w="80" w:type="dxa"/>
            </w:tcMar>
          </w:tcPr>
          <w:p>
            <w:pPr>
              <w:jc w:val="left"/>
            </w:pPr>
            <w:r>
              <w:rPr>
                <w:sz w:val="16"/>
              </w:rPr>
            </w:r>
            <w:r>
              <w:rPr>
                <w:b w:val="0"/>
                <w:sz w:val="16"/>
              </w:rPr>
              <w:t>Support trend indicates service design, training, or reliability weakness.</w:t>
            </w:r>
          </w:p>
        </w:tc>
      </w:tr>
    </w:tbl>
    <w:p>
      <w:pPr>
        <w:pStyle w:val="Heading1"/>
        <w:spacing w:after="80" w:line="252" w:lineRule="auto"/>
      </w:pPr>
      <w:r>
        <w:t>16. Backup, Restore, DR, and Continuity Readiness Interface</w:t>
      </w:r>
    </w:p>
    <w:p>
      <w:pPr>
        <w:spacing w:after="80" w:line="252" w:lineRule="auto"/>
      </w:pPr>
      <w:r>
        <w:t>The formal DR/BCP standard governs complete recovery design. This operations standard requires every service to expose operational readiness evidence for backup, restore, failover, and continuity drills.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Readiness Area</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Operations Requirement</w:t>
            </w:r>
          </w:p>
        </w:tc>
      </w:tr>
      <w:tr>
        <w:tc>
          <w:tcPr>
            <w:tcW w:type="dxa" w:w="2592"/>
            <w:vAlign w:val="top"/>
            <w:tcMar>
              <w:top w:w="80" w:type="dxa"/>
              <w:left w:w="80" w:type="dxa"/>
              <w:bottom w:w="80" w:type="dxa"/>
              <w:right w:w="80" w:type="dxa"/>
            </w:tcMar>
          </w:tcPr>
          <w:p>
            <w:pPr>
              <w:jc w:val="left"/>
            </w:pPr>
            <w:r>
              <w:rPr>
                <w:sz w:val="16"/>
              </w:rPr>
            </w:r>
            <w:r>
              <w:rPr>
                <w:b w:val="0"/>
                <w:sz w:val="16"/>
              </w:rPr>
              <w:t>Backup Evidence</w:t>
            </w:r>
          </w:p>
        </w:tc>
        <w:tc>
          <w:tcPr>
            <w:tcW w:type="dxa" w:w="7920"/>
            <w:vAlign w:val="top"/>
            <w:tcMar>
              <w:top w:w="80" w:type="dxa"/>
              <w:left w:w="80" w:type="dxa"/>
              <w:bottom w:w="80" w:type="dxa"/>
              <w:right w:w="80" w:type="dxa"/>
            </w:tcMar>
          </w:tcPr>
          <w:p>
            <w:pPr>
              <w:jc w:val="left"/>
            </w:pPr>
            <w:r>
              <w:rPr>
                <w:sz w:val="16"/>
              </w:rPr>
            </w:r>
            <w:r>
              <w:rPr>
                <w:b w:val="0"/>
                <w:sz w:val="16"/>
              </w:rPr>
              <w:t>Critical stores have backup jobs, success monitoring, failure alerts, and retention classification.</w:t>
            </w:r>
          </w:p>
        </w:tc>
      </w:tr>
      <w:tr>
        <w:tc>
          <w:tcPr>
            <w:tcW w:type="dxa" w:w="2592"/>
            <w:vAlign w:val="top"/>
            <w:tcMar>
              <w:top w:w="80" w:type="dxa"/>
              <w:left w:w="80" w:type="dxa"/>
              <w:bottom w:w="80" w:type="dxa"/>
              <w:right w:w="80" w:type="dxa"/>
            </w:tcMar>
          </w:tcPr>
          <w:p>
            <w:pPr>
              <w:jc w:val="left"/>
            </w:pPr>
            <w:r>
              <w:rPr>
                <w:sz w:val="16"/>
              </w:rPr>
            </w:r>
            <w:r>
              <w:rPr>
                <w:b w:val="0"/>
                <w:sz w:val="16"/>
              </w:rPr>
              <w:t>Restore Validation</w:t>
            </w:r>
          </w:p>
        </w:tc>
        <w:tc>
          <w:tcPr>
            <w:tcW w:type="dxa" w:w="7920"/>
            <w:vAlign w:val="top"/>
            <w:tcMar>
              <w:top w:w="80" w:type="dxa"/>
              <w:left w:w="80" w:type="dxa"/>
              <w:bottom w:w="80" w:type="dxa"/>
              <w:right w:w="80" w:type="dxa"/>
            </w:tcMar>
          </w:tcPr>
          <w:p>
            <w:pPr>
              <w:jc w:val="left"/>
            </w:pPr>
            <w:r>
              <w:rPr>
                <w:sz w:val="16"/>
              </w:rPr>
            </w:r>
            <w:r>
              <w:rPr>
                <w:b w:val="0"/>
                <w:sz w:val="16"/>
              </w:rPr>
              <w:t>Restore tests are scheduled and evidence is stored; backup success without restore proof is insufficient.</w:t>
            </w:r>
          </w:p>
        </w:tc>
      </w:tr>
      <w:tr>
        <w:tc>
          <w:tcPr>
            <w:tcW w:type="dxa" w:w="2592"/>
            <w:vAlign w:val="top"/>
            <w:tcMar>
              <w:top w:w="80" w:type="dxa"/>
              <w:left w:w="80" w:type="dxa"/>
              <w:bottom w:w="80" w:type="dxa"/>
              <w:right w:w="80" w:type="dxa"/>
            </w:tcMar>
          </w:tcPr>
          <w:p>
            <w:pPr>
              <w:jc w:val="left"/>
            </w:pPr>
            <w:r>
              <w:rPr>
                <w:sz w:val="16"/>
              </w:rPr>
            </w:r>
            <w:r>
              <w:rPr>
                <w:b w:val="0"/>
                <w:sz w:val="16"/>
              </w:rPr>
              <w:t>RPO/RTO Mapping</w:t>
            </w:r>
          </w:p>
        </w:tc>
        <w:tc>
          <w:tcPr>
            <w:tcW w:type="dxa" w:w="7920"/>
            <w:vAlign w:val="top"/>
            <w:tcMar>
              <w:top w:w="80" w:type="dxa"/>
              <w:left w:w="80" w:type="dxa"/>
              <w:bottom w:w="80" w:type="dxa"/>
              <w:right w:w="80" w:type="dxa"/>
            </w:tcMar>
          </w:tcPr>
          <w:p>
            <w:pPr>
              <w:jc w:val="left"/>
            </w:pPr>
            <w:r>
              <w:rPr>
                <w:sz w:val="16"/>
              </w:rPr>
            </w:r>
            <w:r>
              <w:rPr>
                <w:b w:val="0"/>
                <w:sz w:val="16"/>
              </w:rPr>
              <w:t>Service catalog records show approved RPO/RTO or state that target is not yet approved.</w:t>
            </w:r>
          </w:p>
        </w:tc>
      </w:tr>
      <w:tr>
        <w:tc>
          <w:tcPr>
            <w:tcW w:type="dxa" w:w="2592"/>
            <w:vAlign w:val="top"/>
            <w:tcMar>
              <w:top w:w="80" w:type="dxa"/>
              <w:left w:w="80" w:type="dxa"/>
              <w:bottom w:w="80" w:type="dxa"/>
              <w:right w:w="80" w:type="dxa"/>
            </w:tcMar>
          </w:tcPr>
          <w:p>
            <w:pPr>
              <w:jc w:val="left"/>
            </w:pPr>
            <w:r>
              <w:rPr>
                <w:sz w:val="16"/>
              </w:rPr>
            </w:r>
            <w:r>
              <w:rPr>
                <w:b w:val="0"/>
                <w:sz w:val="16"/>
              </w:rPr>
              <w:t>DR Drill Evidence</w:t>
            </w:r>
          </w:p>
        </w:tc>
        <w:tc>
          <w:tcPr>
            <w:tcW w:type="dxa" w:w="7920"/>
            <w:vAlign w:val="top"/>
            <w:tcMar>
              <w:top w:w="80" w:type="dxa"/>
              <w:left w:w="80" w:type="dxa"/>
              <w:bottom w:w="80" w:type="dxa"/>
              <w:right w:w="80" w:type="dxa"/>
            </w:tcMar>
          </w:tcPr>
          <w:p>
            <w:pPr>
              <w:jc w:val="left"/>
            </w:pPr>
            <w:r>
              <w:rPr>
                <w:sz w:val="16"/>
              </w:rPr>
            </w:r>
            <w:r>
              <w:rPr>
                <w:b w:val="0"/>
                <w:sz w:val="16"/>
              </w:rPr>
              <w:t>Failover or recovery drill logs, validation checks, and lessons learned are retained.</w:t>
            </w:r>
          </w:p>
        </w:tc>
      </w:tr>
      <w:tr>
        <w:tc>
          <w:tcPr>
            <w:tcW w:type="dxa" w:w="2592"/>
            <w:vAlign w:val="top"/>
            <w:tcMar>
              <w:top w:w="80" w:type="dxa"/>
              <w:left w:w="80" w:type="dxa"/>
              <w:bottom w:w="80" w:type="dxa"/>
              <w:right w:w="80" w:type="dxa"/>
            </w:tcMar>
          </w:tcPr>
          <w:p>
            <w:pPr>
              <w:jc w:val="left"/>
            </w:pPr>
            <w:r>
              <w:rPr>
                <w:sz w:val="16"/>
              </w:rPr>
            </w:r>
            <w:r>
              <w:rPr>
                <w:b w:val="0"/>
                <w:sz w:val="16"/>
              </w:rPr>
              <w:t>Operational Dependencies</w:t>
            </w:r>
          </w:p>
        </w:tc>
        <w:tc>
          <w:tcPr>
            <w:tcW w:type="dxa" w:w="7920"/>
            <w:vAlign w:val="top"/>
            <w:tcMar>
              <w:top w:w="80" w:type="dxa"/>
              <w:left w:w="80" w:type="dxa"/>
              <w:bottom w:w="80" w:type="dxa"/>
              <w:right w:w="80" w:type="dxa"/>
            </w:tcMar>
          </w:tcPr>
          <w:p>
            <w:pPr>
              <w:jc w:val="left"/>
            </w:pPr>
            <w:r>
              <w:rPr>
                <w:sz w:val="16"/>
              </w:rPr>
            </w:r>
            <w:r>
              <w:rPr>
                <w:b w:val="0"/>
                <w:sz w:val="16"/>
              </w:rPr>
              <w:t>External systems, certificates, DNS, secrets, model routes, and network dependencies are documented.</w:t>
            </w:r>
          </w:p>
        </w:tc>
      </w:tr>
    </w:tbl>
    <w:p>
      <w:pPr>
        <w:pStyle w:val="Heading1"/>
        <w:spacing w:after="80" w:line="252" w:lineRule="auto"/>
      </w:pPr>
      <w:r>
        <w:t>17. Auto-Heal, Auto-Learn, Auto-Improve Operating Controls</w:t>
      </w:r>
    </w:p>
    <w:p>
      <w:pPr>
        <w:spacing w:after="80" w:line="252" w:lineRule="auto"/>
      </w:pPr>
      <w:r>
        <w:t>AIRA may use AI-assisted operations, but production autonomy is bounded. Auto-Heal can recommend, draft, open tickets, propose PRs, run safe diagnostics, and execute approved non-production checks. Production-impacting actions require policy, classification, approval, and evidence.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6"/>
            <w:vAlign w:val="top"/>
            <w:shd w:fill="1F4E79"/>
            <w:tcMar>
              <w:top w:w="80" w:type="dxa"/>
              <w:left w:w="80" w:type="dxa"/>
              <w:bottom w:w="80" w:type="dxa"/>
              <w:right w:w="80" w:type="dxa"/>
            </w:tcMar>
          </w:tcPr>
          <w:p>
            <w:pPr>
              <w:jc w:val="left"/>
            </w:pPr>
            <w:r>
              <w:rPr>
                <w:b/>
                <w:color w:val="FFFFFF"/>
                <w:sz w:val="16"/>
              </w:rPr>
            </w:r>
            <w:r>
              <w:rPr>
                <w:b/>
                <w:color w:val="FFFFFF"/>
                <w:sz w:val="16"/>
              </w:rPr>
              <w:t>Capability</w:t>
            </w:r>
          </w:p>
        </w:tc>
        <w:tc>
          <w:tcPr>
            <w:tcW w:type="dxa" w:w="4896"/>
            <w:vAlign w:val="top"/>
            <w:shd w:fill="1F4E79"/>
            <w:tcMar>
              <w:top w:w="80" w:type="dxa"/>
              <w:left w:w="80" w:type="dxa"/>
              <w:bottom w:w="80" w:type="dxa"/>
              <w:right w:w="80" w:type="dxa"/>
            </w:tcMar>
          </w:tcPr>
          <w:p>
            <w:pPr>
              <w:jc w:val="left"/>
            </w:pPr>
            <w:r>
              <w:rPr>
                <w:b/>
                <w:color w:val="FFFFFF"/>
                <w:sz w:val="16"/>
              </w:rPr>
            </w:r>
            <w:r>
              <w:rPr>
                <w:b/>
                <w:color w:val="FFFFFF"/>
                <w:sz w:val="16"/>
              </w:rPr>
              <w:t>Allowed in Operations</w:t>
            </w:r>
          </w:p>
        </w:tc>
        <w:tc>
          <w:tcPr>
            <w:tcW w:type="dxa" w:w="3600"/>
            <w:vAlign w:val="top"/>
            <w:shd w:fill="1F4E79"/>
            <w:tcMar>
              <w:top w:w="80" w:type="dxa"/>
              <w:left w:w="80" w:type="dxa"/>
              <w:bottom w:w="80" w:type="dxa"/>
              <w:right w:w="80" w:type="dxa"/>
            </w:tcMar>
          </w:tcPr>
          <w:p>
            <w:pPr>
              <w:jc w:val="left"/>
            </w:pPr>
            <w:r>
              <w:rPr>
                <w:b/>
                <w:color w:val="FFFFFF"/>
                <w:sz w:val="16"/>
              </w:rPr>
            </w:r>
            <w:r>
              <w:rPr>
                <w:b/>
                <w:color w:val="FFFFFF"/>
                <w:sz w:val="16"/>
              </w:rPr>
              <w:t>Not Allowed Without Approval</w:t>
            </w:r>
          </w:p>
        </w:tc>
      </w:tr>
      <w:tr>
        <w:tc>
          <w:tcPr>
            <w:tcW w:type="dxa" w:w="2016"/>
            <w:vAlign w:val="top"/>
            <w:tcMar>
              <w:top w:w="80" w:type="dxa"/>
              <w:left w:w="80" w:type="dxa"/>
              <w:bottom w:w="80" w:type="dxa"/>
              <w:right w:w="80" w:type="dxa"/>
            </w:tcMar>
          </w:tcPr>
          <w:p>
            <w:pPr>
              <w:jc w:val="left"/>
            </w:pPr>
            <w:r>
              <w:rPr>
                <w:sz w:val="16"/>
              </w:rPr>
            </w:r>
            <w:r>
              <w:rPr>
                <w:b w:val="0"/>
                <w:sz w:val="16"/>
              </w:rPr>
              <w:t>Auto-Heal</w:t>
            </w:r>
          </w:p>
        </w:tc>
        <w:tc>
          <w:tcPr>
            <w:tcW w:type="dxa" w:w="4896"/>
            <w:vAlign w:val="top"/>
            <w:tcMar>
              <w:top w:w="80" w:type="dxa"/>
              <w:left w:w="80" w:type="dxa"/>
              <w:bottom w:w="80" w:type="dxa"/>
              <w:right w:w="80" w:type="dxa"/>
            </w:tcMar>
          </w:tcPr>
          <w:p>
            <w:pPr>
              <w:jc w:val="left"/>
            </w:pPr>
            <w:r>
              <w:rPr>
                <w:sz w:val="16"/>
              </w:rPr>
            </w:r>
            <w:r>
              <w:rPr>
                <w:b w:val="0"/>
                <w:sz w:val="16"/>
              </w:rPr>
              <w:t>Detect signal, correlate evidence, suggest cause, draft runbook step, create Zammad ticket, draft PR, propose rollback/forward-fix.</w:t>
            </w:r>
          </w:p>
        </w:tc>
        <w:tc>
          <w:tcPr>
            <w:tcW w:type="dxa" w:w="3600"/>
            <w:vAlign w:val="top"/>
            <w:tcMar>
              <w:top w:w="80" w:type="dxa"/>
              <w:left w:w="80" w:type="dxa"/>
              <w:bottom w:w="80" w:type="dxa"/>
              <w:right w:w="80" w:type="dxa"/>
            </w:tcMar>
          </w:tcPr>
          <w:p>
            <w:pPr>
              <w:jc w:val="left"/>
            </w:pPr>
            <w:r>
              <w:rPr>
                <w:sz w:val="16"/>
              </w:rPr>
            </w:r>
            <w:r>
              <w:rPr>
                <w:b w:val="0"/>
                <w:sz w:val="16"/>
              </w:rPr>
              <w:t>Autonomous production write, direct database edit, direct kubectl change, guardrail bypass, unapproved service restart.</w:t>
            </w:r>
          </w:p>
        </w:tc>
      </w:tr>
      <w:tr>
        <w:tc>
          <w:tcPr>
            <w:tcW w:type="dxa" w:w="2016"/>
            <w:vAlign w:val="top"/>
            <w:tcMar>
              <w:top w:w="80" w:type="dxa"/>
              <w:left w:w="80" w:type="dxa"/>
              <w:bottom w:w="80" w:type="dxa"/>
              <w:right w:w="80" w:type="dxa"/>
            </w:tcMar>
          </w:tcPr>
          <w:p>
            <w:pPr>
              <w:jc w:val="left"/>
            </w:pPr>
            <w:r>
              <w:rPr>
                <w:sz w:val="16"/>
              </w:rPr>
            </w:r>
            <w:r>
              <w:rPr>
                <w:b w:val="0"/>
                <w:sz w:val="16"/>
              </w:rPr>
              <w:t>Auto-Learn</w:t>
            </w:r>
          </w:p>
        </w:tc>
        <w:tc>
          <w:tcPr>
            <w:tcW w:type="dxa" w:w="4896"/>
            <w:vAlign w:val="top"/>
            <w:tcMar>
              <w:top w:w="80" w:type="dxa"/>
              <w:left w:w="80" w:type="dxa"/>
              <w:bottom w:w="80" w:type="dxa"/>
              <w:right w:w="80" w:type="dxa"/>
            </w:tcMar>
          </w:tcPr>
          <w:p>
            <w:pPr>
              <w:jc w:val="left"/>
            </w:pPr>
            <w:r>
              <w:rPr>
                <w:sz w:val="16"/>
              </w:rPr>
            </w:r>
            <w:r>
              <w:rPr>
                <w:b w:val="0"/>
                <w:sz w:val="16"/>
              </w:rPr>
              <w:t>Convert reviewed incidents, RCA, runbook outcomes, and support patterns into candidate knowledge.</w:t>
            </w:r>
          </w:p>
        </w:tc>
        <w:tc>
          <w:tcPr>
            <w:tcW w:type="dxa" w:w="3600"/>
            <w:vAlign w:val="top"/>
            <w:tcMar>
              <w:top w:w="80" w:type="dxa"/>
              <w:left w:w="80" w:type="dxa"/>
              <w:bottom w:w="80" w:type="dxa"/>
              <w:right w:w="80" w:type="dxa"/>
            </w:tcMar>
          </w:tcPr>
          <w:p>
            <w:pPr>
              <w:jc w:val="left"/>
            </w:pPr>
            <w:r>
              <w:rPr>
                <w:sz w:val="16"/>
              </w:rPr>
            </w:r>
            <w:r>
              <w:rPr>
                <w:b w:val="0"/>
                <w:sz w:val="16"/>
              </w:rPr>
              <w:t>Promote unreviewed AI output as authoritative knowledge.</w:t>
            </w:r>
          </w:p>
        </w:tc>
      </w:tr>
      <w:tr>
        <w:tc>
          <w:tcPr>
            <w:tcW w:type="dxa" w:w="2016"/>
            <w:vAlign w:val="top"/>
            <w:tcMar>
              <w:top w:w="80" w:type="dxa"/>
              <w:left w:w="80" w:type="dxa"/>
              <w:bottom w:w="80" w:type="dxa"/>
              <w:right w:w="80" w:type="dxa"/>
            </w:tcMar>
          </w:tcPr>
          <w:p>
            <w:pPr>
              <w:jc w:val="left"/>
            </w:pPr>
            <w:r>
              <w:rPr>
                <w:sz w:val="16"/>
              </w:rPr>
            </w:r>
            <w:r>
              <w:rPr>
                <w:b w:val="0"/>
                <w:sz w:val="16"/>
              </w:rPr>
              <w:t>Auto-Improve</w:t>
            </w:r>
          </w:p>
        </w:tc>
        <w:tc>
          <w:tcPr>
            <w:tcW w:type="dxa" w:w="4896"/>
            <w:vAlign w:val="top"/>
            <w:tcMar>
              <w:top w:w="80" w:type="dxa"/>
              <w:left w:w="80" w:type="dxa"/>
              <w:bottom w:w="80" w:type="dxa"/>
              <w:right w:w="80" w:type="dxa"/>
            </w:tcMar>
          </w:tcPr>
          <w:p>
            <w:pPr>
              <w:jc w:val="left"/>
            </w:pPr>
            <w:r>
              <w:rPr>
                <w:sz w:val="16"/>
              </w:rPr>
            </w:r>
            <w:r>
              <w:rPr>
                <w:b w:val="0"/>
                <w:sz w:val="16"/>
              </w:rPr>
              <w:t>Propose SLO, alert, runbook, test, architecture fitness, CI gate, or training improvement.</w:t>
            </w:r>
          </w:p>
        </w:tc>
        <w:tc>
          <w:tcPr>
            <w:tcW w:type="dxa" w:w="3600"/>
            <w:vAlign w:val="top"/>
            <w:tcMar>
              <w:top w:w="80" w:type="dxa"/>
              <w:left w:w="80" w:type="dxa"/>
              <w:bottom w:w="80" w:type="dxa"/>
              <w:right w:w="80" w:type="dxa"/>
            </w:tcMar>
          </w:tcPr>
          <w:p>
            <w:pPr>
              <w:jc w:val="left"/>
            </w:pPr>
            <w:r>
              <w:rPr>
                <w:sz w:val="16"/>
              </w:rPr>
            </w:r>
            <w:r>
              <w:rPr>
                <w:b w:val="0"/>
                <w:sz w:val="16"/>
              </w:rPr>
              <w:t>Change policy, classification, retention, or production configuration without MR/CAB approval.</w:t>
            </w:r>
          </w:p>
        </w:tc>
      </w:tr>
    </w:tbl>
    <w:tbl>
      <w:tblPr>
        <w:tblW w:type="auto" w:w="0"/>
        <w:jc w:val="center"/>
        <w:tblLook w:firstColumn="1" w:firstRow="1" w:lastColumn="0" w:lastRow="0" w:noHBand="0" w:noVBand="1" w:val="04A0"/>
      </w:tblPr>
      <w:tblGrid>
        <w:gridCol w:w="10656"/>
      </w:tblGrid>
      <w:tr>
        <w:tc>
          <w:tcPr>
            <w:tcW w:type="dxa" w:w="10656"/>
            <w:shd w:fill="E2F0D9"/>
            <w:tcMar>
              <w:top w:w="80" w:type="dxa"/>
              <w:left w:w="80" w:type="dxa"/>
              <w:bottom w:w="80" w:type="dxa"/>
              <w:right w:w="80" w:type="dxa"/>
            </w:tcMar>
          </w:tcPr>
          <w:p>
            <w:pPr>
              <w:jc w:val="left"/>
            </w:pPr>
            <w:r>
              <w:rPr>
                <w:b/>
                <w:color w:val="1F3B60"/>
                <w:sz w:val="20"/>
              </w:rPr>
              <w:t>Enterprise Principle Preservation Rule</w:t>
              <w:br/>
            </w:r>
            <w:r>
              <w:rPr>
                <w:color w:val="202020"/>
                <w:sz w:val="18"/>
              </w:rPr>
              <w:t>Auto-Heal, Auto-Learn, and Auto-Improve must preserve or improve SOLID compliance, Clean Architecture boundaries, DDD ownership, ports-and-adapters discipline, testability, security posture, observability, reversibility, and AVCI evidence. A proposal that weakens any of these is rejected or escalated as a formal waiver.</w:t>
            </w:r>
          </w:p>
        </w:tc>
      </w:tr>
    </w:tbl>
    <w:p>
      <w:pPr>
        <w:pStyle w:val="Heading1"/>
        <w:spacing w:after="80" w:line="252" w:lineRule="auto"/>
      </w:pPr>
      <w:r>
        <w:t>18. Metrics, Reporting, and Management Review</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vAlign w:val="top"/>
            <w:shd w:fill="1F4E79"/>
            <w:tcMar>
              <w:top w:w="80" w:type="dxa"/>
              <w:left w:w="80" w:type="dxa"/>
              <w:bottom w:w="80" w:type="dxa"/>
              <w:right w:w="80" w:type="dxa"/>
            </w:tcMar>
          </w:tcPr>
          <w:p>
            <w:pPr>
              <w:jc w:val="left"/>
            </w:pPr>
            <w:r>
              <w:rPr>
                <w:b/>
                <w:color w:val="FFFFFF"/>
                <w:sz w:val="16"/>
              </w:rPr>
            </w:r>
            <w:r>
              <w:rPr>
                <w:b/>
                <w:color w:val="FFFFFF"/>
                <w:sz w:val="16"/>
              </w:rPr>
              <w:t>Metric Category</w:t>
            </w:r>
          </w:p>
        </w:tc>
        <w:tc>
          <w:tcPr>
            <w:tcW w:type="dxa" w:w="5472"/>
            <w:vAlign w:val="top"/>
            <w:shd w:fill="1F4E79"/>
            <w:tcMar>
              <w:top w:w="80" w:type="dxa"/>
              <w:left w:w="80" w:type="dxa"/>
              <w:bottom w:w="80" w:type="dxa"/>
              <w:right w:w="80" w:type="dxa"/>
            </w:tcMar>
          </w:tcPr>
          <w:p>
            <w:pPr>
              <w:jc w:val="left"/>
            </w:pPr>
            <w:r>
              <w:rPr>
                <w:b/>
                <w:color w:val="FFFFFF"/>
                <w:sz w:val="16"/>
              </w:rPr>
            </w:r>
            <w:r>
              <w:rPr>
                <w:b/>
                <w:color w:val="FFFFFF"/>
                <w:sz w:val="16"/>
              </w:rPr>
              <w:t>Examples</w:t>
            </w:r>
          </w:p>
        </w:tc>
        <w:tc>
          <w:tcPr>
            <w:tcW w:type="dxa" w:w="2736"/>
            <w:vAlign w:val="top"/>
            <w:shd w:fill="1F4E79"/>
            <w:tcMar>
              <w:top w:w="80" w:type="dxa"/>
              <w:left w:w="80" w:type="dxa"/>
              <w:bottom w:w="80" w:type="dxa"/>
              <w:right w:w="80" w:type="dxa"/>
            </w:tcMar>
          </w:tcPr>
          <w:p>
            <w:pPr>
              <w:jc w:val="left"/>
            </w:pPr>
            <w:r>
              <w:rPr>
                <w:b/>
                <w:color w:val="FFFFFF"/>
                <w:sz w:val="16"/>
              </w:rPr>
            </w:r>
            <w:r>
              <w:rPr>
                <w:b/>
                <w:color w:val="FFFFFF"/>
                <w:sz w:val="16"/>
              </w:rPr>
              <w:t>Review Cadence</w:t>
            </w:r>
          </w:p>
        </w:tc>
      </w:tr>
      <w:tr>
        <w:tc>
          <w:tcPr>
            <w:tcW w:type="dxa" w:w="2304"/>
            <w:vAlign w:val="top"/>
            <w:tcMar>
              <w:top w:w="80" w:type="dxa"/>
              <w:left w:w="80" w:type="dxa"/>
              <w:bottom w:w="80" w:type="dxa"/>
              <w:right w:w="80" w:type="dxa"/>
            </w:tcMar>
          </w:tcPr>
          <w:p>
            <w:pPr>
              <w:jc w:val="left"/>
            </w:pPr>
            <w:r>
              <w:rPr>
                <w:sz w:val="16"/>
              </w:rPr>
            </w:r>
            <w:r>
              <w:rPr>
                <w:b w:val="0"/>
                <w:sz w:val="16"/>
              </w:rPr>
              <w:t>Service Reliability</w:t>
            </w:r>
          </w:p>
        </w:tc>
        <w:tc>
          <w:tcPr>
            <w:tcW w:type="dxa" w:w="5472"/>
            <w:vAlign w:val="top"/>
            <w:tcMar>
              <w:top w:w="80" w:type="dxa"/>
              <w:left w:w="80" w:type="dxa"/>
              <w:bottom w:w="80" w:type="dxa"/>
              <w:right w:w="80" w:type="dxa"/>
            </w:tcMar>
          </w:tcPr>
          <w:p>
            <w:pPr>
              <w:jc w:val="left"/>
            </w:pPr>
            <w:r>
              <w:rPr>
                <w:sz w:val="16"/>
              </w:rPr>
            </w:r>
            <w:r>
              <w:rPr>
                <w:b w:val="0"/>
                <w:sz w:val="16"/>
              </w:rPr>
              <w:t>SLO attainment, availability, latency, error rate, error-budget burn.</w:t>
            </w:r>
          </w:p>
        </w:tc>
        <w:tc>
          <w:tcPr>
            <w:tcW w:type="dxa" w:w="2736"/>
            <w:vAlign w:val="top"/>
            <w:tcMar>
              <w:top w:w="80" w:type="dxa"/>
              <w:left w:w="80" w:type="dxa"/>
              <w:bottom w:w="80" w:type="dxa"/>
              <w:right w:w="80" w:type="dxa"/>
            </w:tcMar>
          </w:tcPr>
          <w:p>
            <w:pPr>
              <w:jc w:val="left"/>
            </w:pPr>
            <w:r>
              <w:rPr>
                <w:sz w:val="16"/>
              </w:rPr>
            </w:r>
            <w:r>
              <w:rPr>
                <w:b w:val="0"/>
                <w:sz w:val="16"/>
              </w:rPr>
              <w:t>Weekly during early operations; monthly steady state.</w:t>
            </w:r>
          </w:p>
        </w:tc>
      </w:tr>
      <w:tr>
        <w:tc>
          <w:tcPr>
            <w:tcW w:type="dxa" w:w="2304"/>
            <w:vAlign w:val="top"/>
            <w:tcMar>
              <w:top w:w="80" w:type="dxa"/>
              <w:left w:w="80" w:type="dxa"/>
              <w:bottom w:w="80" w:type="dxa"/>
              <w:right w:w="80" w:type="dxa"/>
            </w:tcMar>
          </w:tcPr>
          <w:p>
            <w:pPr>
              <w:jc w:val="left"/>
            </w:pPr>
            <w:r>
              <w:rPr>
                <w:sz w:val="16"/>
              </w:rPr>
            </w:r>
            <w:r>
              <w:rPr>
                <w:b w:val="0"/>
                <w:sz w:val="16"/>
              </w:rPr>
              <w:t>Incident Management</w:t>
            </w:r>
          </w:p>
        </w:tc>
        <w:tc>
          <w:tcPr>
            <w:tcW w:type="dxa" w:w="5472"/>
            <w:vAlign w:val="top"/>
            <w:tcMar>
              <w:top w:w="80" w:type="dxa"/>
              <w:left w:w="80" w:type="dxa"/>
              <w:bottom w:w="80" w:type="dxa"/>
              <w:right w:w="80" w:type="dxa"/>
            </w:tcMar>
          </w:tcPr>
          <w:p>
            <w:pPr>
              <w:jc w:val="left"/>
            </w:pPr>
            <w:r>
              <w:rPr>
                <w:sz w:val="16"/>
              </w:rPr>
            </w:r>
            <w:r>
              <w:rPr>
                <w:b w:val="0"/>
                <w:sz w:val="16"/>
              </w:rPr>
              <w:t>MTTA, MTTR, Sev distribution, reopen rate, major incident count, unresolved aging.</w:t>
            </w:r>
          </w:p>
        </w:tc>
        <w:tc>
          <w:tcPr>
            <w:tcW w:type="dxa" w:w="2736"/>
            <w:vAlign w:val="top"/>
            <w:tcMar>
              <w:top w:w="80" w:type="dxa"/>
              <w:left w:w="80" w:type="dxa"/>
              <w:bottom w:w="80" w:type="dxa"/>
              <w:right w:w="80" w:type="dxa"/>
            </w:tcMar>
          </w:tcPr>
          <w:p>
            <w:pPr>
              <w:jc w:val="left"/>
            </w:pPr>
            <w:r>
              <w:rPr>
                <w:sz w:val="16"/>
              </w:rPr>
            </w:r>
            <w:r>
              <w:rPr>
                <w:b w:val="0"/>
                <w:sz w:val="16"/>
              </w:rPr>
              <w:t>Weekly/monthly.</w:t>
            </w:r>
          </w:p>
        </w:tc>
      </w:tr>
      <w:tr>
        <w:tc>
          <w:tcPr>
            <w:tcW w:type="dxa" w:w="2304"/>
            <w:vAlign w:val="top"/>
            <w:tcMar>
              <w:top w:w="80" w:type="dxa"/>
              <w:left w:w="80" w:type="dxa"/>
              <w:bottom w:w="80" w:type="dxa"/>
              <w:right w:w="80" w:type="dxa"/>
            </w:tcMar>
          </w:tcPr>
          <w:p>
            <w:pPr>
              <w:jc w:val="left"/>
            </w:pPr>
            <w:r>
              <w:rPr>
                <w:sz w:val="16"/>
              </w:rPr>
            </w:r>
            <w:r>
              <w:rPr>
                <w:b w:val="0"/>
                <w:sz w:val="16"/>
              </w:rPr>
              <w:t>Problem Management</w:t>
            </w:r>
          </w:p>
        </w:tc>
        <w:tc>
          <w:tcPr>
            <w:tcW w:type="dxa" w:w="5472"/>
            <w:vAlign w:val="top"/>
            <w:tcMar>
              <w:top w:w="80" w:type="dxa"/>
              <w:left w:w="80" w:type="dxa"/>
              <w:bottom w:w="80" w:type="dxa"/>
              <w:right w:w="80" w:type="dxa"/>
            </w:tcMar>
          </w:tcPr>
          <w:p>
            <w:pPr>
              <w:jc w:val="left"/>
            </w:pPr>
            <w:r>
              <w:rPr>
                <w:sz w:val="16"/>
              </w:rPr>
            </w:r>
            <w:r>
              <w:rPr>
                <w:b w:val="0"/>
                <w:sz w:val="16"/>
              </w:rPr>
              <w:t>RCA completion, recurring incidents, known errors, preventive actions closed.</w:t>
            </w:r>
          </w:p>
        </w:tc>
        <w:tc>
          <w:tcPr>
            <w:tcW w:type="dxa" w:w="2736"/>
            <w:vAlign w:val="top"/>
            <w:tcMar>
              <w:top w:w="80" w:type="dxa"/>
              <w:left w:w="80" w:type="dxa"/>
              <w:bottom w:w="80" w:type="dxa"/>
              <w:right w:w="80" w:type="dxa"/>
            </w:tcMar>
          </w:tcPr>
          <w:p>
            <w:pPr>
              <w:jc w:val="left"/>
            </w:pPr>
            <w:r>
              <w:rPr>
                <w:sz w:val="16"/>
              </w:rPr>
            </w:r>
            <w:r>
              <w:rPr>
                <w:b w:val="0"/>
                <w:sz w:val="16"/>
              </w:rPr>
              <w:t>Monthly.</w:t>
            </w:r>
          </w:p>
        </w:tc>
      </w:tr>
      <w:tr>
        <w:tc>
          <w:tcPr>
            <w:tcW w:type="dxa" w:w="2304"/>
            <w:vAlign w:val="top"/>
            <w:tcMar>
              <w:top w:w="80" w:type="dxa"/>
              <w:left w:w="80" w:type="dxa"/>
              <w:bottom w:w="80" w:type="dxa"/>
              <w:right w:w="80" w:type="dxa"/>
            </w:tcMar>
          </w:tcPr>
          <w:p>
            <w:pPr>
              <w:jc w:val="left"/>
            </w:pPr>
            <w:r>
              <w:rPr>
                <w:sz w:val="16"/>
              </w:rPr>
            </w:r>
            <w:r>
              <w:rPr>
                <w:b w:val="0"/>
                <w:sz w:val="16"/>
              </w:rPr>
              <w:t>Change/Release</w:t>
            </w:r>
          </w:p>
        </w:tc>
        <w:tc>
          <w:tcPr>
            <w:tcW w:type="dxa" w:w="5472"/>
            <w:vAlign w:val="top"/>
            <w:tcMar>
              <w:top w:w="80" w:type="dxa"/>
              <w:left w:w="80" w:type="dxa"/>
              <w:bottom w:w="80" w:type="dxa"/>
              <w:right w:w="80" w:type="dxa"/>
            </w:tcMar>
          </w:tcPr>
          <w:p>
            <w:pPr>
              <w:jc w:val="left"/>
            </w:pPr>
            <w:r>
              <w:rPr>
                <w:sz w:val="16"/>
              </w:rPr>
            </w:r>
            <w:r>
              <w:rPr>
                <w:b w:val="0"/>
                <w:sz w:val="16"/>
              </w:rPr>
              <w:t>Change failure rate, rollback count, emergency change count, post-deployment incidents.</w:t>
            </w:r>
          </w:p>
        </w:tc>
        <w:tc>
          <w:tcPr>
            <w:tcW w:type="dxa" w:w="2736"/>
            <w:vAlign w:val="top"/>
            <w:tcMar>
              <w:top w:w="80" w:type="dxa"/>
              <w:left w:w="80" w:type="dxa"/>
              <w:bottom w:w="80" w:type="dxa"/>
              <w:right w:w="80" w:type="dxa"/>
            </w:tcMar>
          </w:tcPr>
          <w:p>
            <w:pPr>
              <w:jc w:val="left"/>
            </w:pPr>
            <w:r>
              <w:rPr>
                <w:sz w:val="16"/>
              </w:rPr>
            </w:r>
            <w:r>
              <w:rPr>
                <w:b w:val="0"/>
                <w:sz w:val="16"/>
              </w:rPr>
              <w:t>Each CAB/release review.</w:t>
            </w:r>
          </w:p>
        </w:tc>
      </w:tr>
      <w:tr>
        <w:tc>
          <w:tcPr>
            <w:tcW w:type="dxa" w:w="2304"/>
            <w:vAlign w:val="top"/>
            <w:tcMar>
              <w:top w:w="80" w:type="dxa"/>
              <w:left w:w="80" w:type="dxa"/>
              <w:bottom w:w="80" w:type="dxa"/>
              <w:right w:w="80" w:type="dxa"/>
            </w:tcMar>
          </w:tcPr>
          <w:p>
            <w:pPr>
              <w:jc w:val="left"/>
            </w:pPr>
            <w:r>
              <w:rPr>
                <w:sz w:val="16"/>
              </w:rPr>
            </w:r>
            <w:r>
              <w:rPr>
                <w:b w:val="0"/>
                <w:sz w:val="16"/>
              </w:rPr>
              <w:t>Security Operations</w:t>
            </w:r>
          </w:p>
        </w:tc>
        <w:tc>
          <w:tcPr>
            <w:tcW w:type="dxa" w:w="5472"/>
            <w:vAlign w:val="top"/>
            <w:tcMar>
              <w:top w:w="80" w:type="dxa"/>
              <w:left w:w="80" w:type="dxa"/>
              <w:bottom w:w="80" w:type="dxa"/>
              <w:right w:w="80" w:type="dxa"/>
            </w:tcMar>
          </w:tcPr>
          <w:p>
            <w:pPr>
              <w:jc w:val="left"/>
            </w:pPr>
            <w:r>
              <w:rPr>
                <w:sz w:val="16"/>
              </w:rPr>
            </w:r>
            <w:r>
              <w:rPr>
                <w:b w:val="0"/>
                <w:sz w:val="16"/>
              </w:rPr>
              <w:t>Wazuh alert volume, TheHive case aging, Cortex analyzer success, critical finding closure.</w:t>
            </w:r>
          </w:p>
        </w:tc>
        <w:tc>
          <w:tcPr>
            <w:tcW w:type="dxa" w:w="2736"/>
            <w:vAlign w:val="top"/>
            <w:tcMar>
              <w:top w:w="80" w:type="dxa"/>
              <w:left w:w="80" w:type="dxa"/>
              <w:bottom w:w="80" w:type="dxa"/>
              <w:right w:w="80" w:type="dxa"/>
            </w:tcMar>
          </w:tcPr>
          <w:p>
            <w:pPr>
              <w:jc w:val="left"/>
            </w:pPr>
            <w:r>
              <w:rPr>
                <w:sz w:val="16"/>
              </w:rPr>
            </w:r>
            <w:r>
              <w:rPr>
                <w:b w:val="0"/>
                <w:sz w:val="16"/>
              </w:rPr>
              <w:t>Security operations review.</w:t>
            </w:r>
          </w:p>
        </w:tc>
      </w:tr>
      <w:tr>
        <w:tc>
          <w:tcPr>
            <w:tcW w:type="dxa" w:w="2304"/>
            <w:vAlign w:val="top"/>
            <w:tcMar>
              <w:top w:w="80" w:type="dxa"/>
              <w:left w:w="80" w:type="dxa"/>
              <w:bottom w:w="80" w:type="dxa"/>
              <w:right w:w="80" w:type="dxa"/>
            </w:tcMar>
          </w:tcPr>
          <w:p>
            <w:pPr>
              <w:jc w:val="left"/>
            </w:pPr>
            <w:r>
              <w:rPr>
                <w:sz w:val="16"/>
              </w:rPr>
            </w:r>
            <w:r>
              <w:rPr>
                <w:b w:val="0"/>
                <w:sz w:val="16"/>
              </w:rPr>
              <w:t>Support Quality</w:t>
            </w:r>
          </w:p>
        </w:tc>
        <w:tc>
          <w:tcPr>
            <w:tcW w:type="dxa" w:w="5472"/>
            <w:vAlign w:val="top"/>
            <w:tcMar>
              <w:top w:w="80" w:type="dxa"/>
              <w:left w:w="80" w:type="dxa"/>
              <w:bottom w:w="80" w:type="dxa"/>
              <w:right w:w="80" w:type="dxa"/>
            </w:tcMar>
          </w:tcPr>
          <w:p>
            <w:pPr>
              <w:jc w:val="left"/>
            </w:pPr>
            <w:r>
              <w:rPr>
                <w:sz w:val="16"/>
              </w:rPr>
            </w:r>
            <w:r>
              <w:rPr>
                <w:b w:val="0"/>
                <w:sz w:val="16"/>
              </w:rPr>
              <w:t>Zammad SLA breach, backlog, ticket categories, customer/user satisfaction, first-contact resolution.</w:t>
            </w:r>
          </w:p>
        </w:tc>
        <w:tc>
          <w:tcPr>
            <w:tcW w:type="dxa" w:w="2736"/>
            <w:vAlign w:val="top"/>
            <w:tcMar>
              <w:top w:w="80" w:type="dxa"/>
              <w:left w:w="80" w:type="dxa"/>
              <w:bottom w:w="80" w:type="dxa"/>
              <w:right w:w="80" w:type="dxa"/>
            </w:tcMar>
          </w:tcPr>
          <w:p>
            <w:pPr>
              <w:jc w:val="left"/>
            </w:pPr>
            <w:r>
              <w:rPr>
                <w:sz w:val="16"/>
              </w:rPr>
            </w:r>
            <w:r>
              <w:rPr>
                <w:b w:val="0"/>
                <w:sz w:val="16"/>
              </w:rPr>
              <w:t>Monthly service review.</w:t>
            </w:r>
          </w:p>
        </w:tc>
      </w:tr>
      <w:tr>
        <w:tc>
          <w:tcPr>
            <w:tcW w:type="dxa" w:w="2304"/>
            <w:vAlign w:val="top"/>
            <w:tcMar>
              <w:top w:w="80" w:type="dxa"/>
              <w:left w:w="80" w:type="dxa"/>
              <w:bottom w:w="80" w:type="dxa"/>
              <w:right w:w="80" w:type="dxa"/>
            </w:tcMar>
          </w:tcPr>
          <w:p>
            <w:pPr>
              <w:jc w:val="left"/>
            </w:pPr>
            <w:r>
              <w:rPr>
                <w:sz w:val="16"/>
              </w:rPr>
            </w:r>
            <w:r>
              <w:rPr>
                <w:b w:val="0"/>
                <w:sz w:val="16"/>
              </w:rPr>
              <w:t>AI Operations</w:t>
            </w:r>
          </w:p>
        </w:tc>
        <w:tc>
          <w:tcPr>
            <w:tcW w:type="dxa" w:w="5472"/>
            <w:vAlign w:val="top"/>
            <w:tcMar>
              <w:top w:w="80" w:type="dxa"/>
              <w:left w:w="80" w:type="dxa"/>
              <w:bottom w:w="80" w:type="dxa"/>
              <w:right w:w="80" w:type="dxa"/>
            </w:tcMar>
          </w:tcPr>
          <w:p>
            <w:pPr>
              <w:jc w:val="left"/>
            </w:pPr>
            <w:r>
              <w:rPr>
                <w:sz w:val="16"/>
              </w:rPr>
            </w:r>
            <w:r>
              <w:rPr>
                <w:b w:val="0"/>
                <w:sz w:val="16"/>
              </w:rPr>
              <w:t>Guardrail block rate, model route failures, eval regressions, AI remediation attempts, human escalation rate.</w:t>
            </w:r>
          </w:p>
        </w:tc>
        <w:tc>
          <w:tcPr>
            <w:tcW w:type="dxa" w:w="2736"/>
            <w:vAlign w:val="top"/>
            <w:tcMar>
              <w:top w:w="80" w:type="dxa"/>
              <w:left w:w="80" w:type="dxa"/>
              <w:bottom w:w="80" w:type="dxa"/>
              <w:right w:w="80" w:type="dxa"/>
            </w:tcMar>
          </w:tcPr>
          <w:p>
            <w:pPr>
              <w:jc w:val="left"/>
            </w:pPr>
            <w:r>
              <w:rPr>
                <w:sz w:val="16"/>
              </w:rPr>
            </w:r>
            <w:r>
              <w:rPr>
                <w:b w:val="0"/>
                <w:sz w:val="16"/>
              </w:rPr>
              <w:t>Monthly AI governance review.</w:t>
            </w:r>
          </w:p>
        </w:tc>
      </w:tr>
    </w:tbl>
    <w:p>
      <w:pPr>
        <w:pStyle w:val="Heading1"/>
        <w:spacing w:after="80" w:line="252" w:lineRule="auto"/>
      </w:pPr>
      <w:r>
        <w:t>19. RACI and Operating Responsibilities</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Activity</w:t>
            </w:r>
          </w:p>
        </w:tc>
        <w:tc>
          <w:tcPr>
            <w:tcW w:type="dxa" w:w="1008"/>
            <w:vAlign w:val="top"/>
            <w:shd w:fill="1F4E79"/>
            <w:tcMar>
              <w:top w:w="80" w:type="dxa"/>
              <w:left w:w="80" w:type="dxa"/>
              <w:bottom w:w="80" w:type="dxa"/>
              <w:right w:w="80" w:type="dxa"/>
            </w:tcMar>
          </w:tcPr>
          <w:p>
            <w:pPr>
              <w:jc w:val="left"/>
            </w:pPr>
            <w:r>
              <w:rPr>
                <w:b/>
                <w:color w:val="FFFFFF"/>
                <w:sz w:val="16"/>
              </w:rPr>
            </w:r>
            <w:r>
              <w:rPr>
                <w:b/>
                <w:color w:val="FFFFFF"/>
                <w:sz w:val="16"/>
              </w:rPr>
              <w:t>IT Head / SA</w:t>
            </w:r>
          </w:p>
        </w:tc>
        <w:tc>
          <w:tcPr>
            <w:tcW w:type="dxa" w:w="864"/>
            <w:vAlign w:val="top"/>
            <w:shd w:fill="1F4E79"/>
            <w:tcMar>
              <w:top w:w="80" w:type="dxa"/>
              <w:left w:w="80" w:type="dxa"/>
              <w:bottom w:w="80" w:type="dxa"/>
              <w:right w:w="80" w:type="dxa"/>
            </w:tcMar>
          </w:tcPr>
          <w:p>
            <w:pPr>
              <w:jc w:val="left"/>
            </w:pPr>
            <w:r>
              <w:rPr>
                <w:b/>
                <w:color w:val="FFFFFF"/>
                <w:sz w:val="16"/>
              </w:rPr>
            </w:r>
            <w:r>
              <w:rPr>
                <w:b/>
                <w:color w:val="FFFFFF"/>
                <w:sz w:val="16"/>
              </w:rPr>
              <w:t>SRE</w:t>
            </w:r>
          </w:p>
        </w:tc>
        <w:tc>
          <w:tcPr>
            <w:tcW w:type="dxa" w:w="1008"/>
            <w:vAlign w:val="top"/>
            <w:shd w:fill="1F4E79"/>
            <w:tcMar>
              <w:top w:w="80" w:type="dxa"/>
              <w:left w:w="80" w:type="dxa"/>
              <w:bottom w:w="80" w:type="dxa"/>
              <w:right w:w="80" w:type="dxa"/>
            </w:tcMar>
          </w:tcPr>
          <w:p>
            <w:pPr>
              <w:jc w:val="left"/>
            </w:pPr>
            <w:r>
              <w:rPr>
                <w:b/>
                <w:color w:val="FFFFFF"/>
                <w:sz w:val="16"/>
              </w:rPr>
            </w:r>
            <w:r>
              <w:rPr>
                <w:b/>
                <w:color w:val="FFFFFF"/>
                <w:sz w:val="16"/>
              </w:rPr>
              <w:t>DevSecOps</w:t>
            </w:r>
          </w:p>
        </w:tc>
        <w:tc>
          <w:tcPr>
            <w:tcW w:type="dxa" w:w="1152"/>
            <w:vAlign w:val="top"/>
            <w:shd w:fill="1F4E79"/>
            <w:tcMar>
              <w:top w:w="80" w:type="dxa"/>
              <w:left w:w="80" w:type="dxa"/>
              <w:bottom w:w="80" w:type="dxa"/>
              <w:right w:w="80" w:type="dxa"/>
            </w:tcMar>
          </w:tcPr>
          <w:p>
            <w:pPr>
              <w:jc w:val="left"/>
            </w:pPr>
            <w:r>
              <w:rPr>
                <w:b/>
                <w:color w:val="FFFFFF"/>
                <w:sz w:val="16"/>
              </w:rPr>
            </w:r>
            <w:r>
              <w:rPr>
                <w:b/>
                <w:color w:val="FFFFFF"/>
                <w:sz w:val="16"/>
              </w:rPr>
              <w:t>Service Desk</w:t>
            </w:r>
          </w:p>
        </w:tc>
        <w:tc>
          <w:tcPr>
            <w:tcW w:type="dxa" w:w="1008"/>
            <w:vAlign w:val="top"/>
            <w:shd w:fill="1F4E79"/>
            <w:tcMar>
              <w:top w:w="80" w:type="dxa"/>
              <w:left w:w="80" w:type="dxa"/>
              <w:bottom w:w="80" w:type="dxa"/>
              <w:right w:w="80" w:type="dxa"/>
            </w:tcMar>
          </w:tcPr>
          <w:p>
            <w:pPr>
              <w:jc w:val="left"/>
            </w:pPr>
            <w:r>
              <w:rPr>
                <w:b/>
                <w:color w:val="FFFFFF"/>
                <w:sz w:val="16"/>
              </w:rPr>
            </w:r>
            <w:r>
              <w:rPr>
                <w:b/>
                <w:color w:val="FFFFFF"/>
                <w:sz w:val="16"/>
              </w:rPr>
              <w:t>Security</w:t>
            </w:r>
          </w:p>
        </w:tc>
        <w:tc>
          <w:tcPr>
            <w:tcW w:type="dxa" w:w="864"/>
            <w:vAlign w:val="top"/>
            <w:shd w:fill="1F4E79"/>
            <w:tcMar>
              <w:top w:w="80" w:type="dxa"/>
              <w:left w:w="80" w:type="dxa"/>
              <w:bottom w:w="80" w:type="dxa"/>
              <w:right w:w="80" w:type="dxa"/>
            </w:tcMar>
          </w:tcPr>
          <w:p>
            <w:pPr>
              <w:jc w:val="left"/>
            </w:pPr>
            <w:r>
              <w:rPr>
                <w:b/>
                <w:color w:val="FFFFFF"/>
                <w:sz w:val="16"/>
              </w:rPr>
            </w:r>
            <w:r>
              <w:rPr>
                <w:b/>
                <w:color w:val="FFFFFF"/>
                <w:sz w:val="16"/>
              </w:rPr>
              <w:t>DBA</w:t>
            </w:r>
          </w:p>
        </w:tc>
        <w:tc>
          <w:tcPr>
            <w:tcW w:type="dxa" w:w="1008"/>
            <w:vAlign w:val="top"/>
            <w:shd w:fill="1F4E79"/>
            <w:tcMar>
              <w:top w:w="80" w:type="dxa"/>
              <w:left w:w="80" w:type="dxa"/>
              <w:bottom w:w="80" w:type="dxa"/>
              <w:right w:w="80" w:type="dxa"/>
            </w:tcMar>
          </w:tcPr>
          <w:p>
            <w:pPr>
              <w:jc w:val="left"/>
            </w:pPr>
            <w:r>
              <w:rPr>
                <w:b/>
                <w:color w:val="FFFFFF"/>
                <w:sz w:val="16"/>
              </w:rPr>
            </w:r>
            <w:r>
              <w:rPr>
                <w:b/>
                <w:color w:val="FFFFFF"/>
                <w:sz w:val="16"/>
              </w:rPr>
              <w:t>App Owner</w:t>
            </w:r>
          </w:p>
        </w:tc>
        <w:tc>
          <w:tcPr>
            <w:tcW w:type="dxa" w:w="720"/>
            <w:vAlign w:val="top"/>
            <w:shd w:fill="1F4E79"/>
            <w:tcMar>
              <w:top w:w="80" w:type="dxa"/>
              <w:left w:w="80" w:type="dxa"/>
              <w:bottom w:w="80" w:type="dxa"/>
              <w:right w:w="80" w:type="dxa"/>
            </w:tcMar>
          </w:tcPr>
          <w:p>
            <w:pPr>
              <w:jc w:val="left"/>
            </w:pPr>
            <w:r>
              <w:rPr>
                <w:b/>
                <w:color w:val="FFFFFF"/>
                <w:sz w:val="16"/>
              </w:rPr>
            </w:r>
            <w:r>
              <w:rPr>
                <w:b/>
                <w:color w:val="FFFFFF"/>
                <w:sz w:val="16"/>
              </w:rPr>
              <w:t>QA</w:t>
            </w:r>
          </w:p>
        </w:tc>
        <w:tc>
          <w:tcPr>
            <w:tcW w:type="dxa" w:w="1152"/>
            <w:vAlign w:val="top"/>
            <w:shd w:fill="1F4E79"/>
            <w:tcMar>
              <w:top w:w="80" w:type="dxa"/>
              <w:left w:w="80" w:type="dxa"/>
              <w:bottom w:w="80" w:type="dxa"/>
              <w:right w:w="80" w:type="dxa"/>
            </w:tcMar>
          </w:tcPr>
          <w:p>
            <w:pPr>
              <w:jc w:val="left"/>
            </w:pPr>
            <w:r>
              <w:rPr>
                <w:b/>
                <w:color w:val="FFFFFF"/>
                <w:sz w:val="16"/>
              </w:rPr>
            </w:r>
            <w:r>
              <w:rPr>
                <w:b/>
                <w:color w:val="FFFFFF"/>
                <w:sz w:val="16"/>
              </w:rPr>
              <w:t>Business Owner</w:t>
            </w:r>
          </w:p>
        </w:tc>
      </w:tr>
      <w:tr>
        <w:tc>
          <w:tcPr>
            <w:tcW w:type="dxa" w:w="2592"/>
            <w:vAlign w:val="top"/>
            <w:tcMar>
              <w:top w:w="80" w:type="dxa"/>
              <w:left w:w="80" w:type="dxa"/>
              <w:bottom w:w="80" w:type="dxa"/>
              <w:right w:w="80" w:type="dxa"/>
            </w:tcMar>
          </w:tcPr>
          <w:p>
            <w:pPr>
              <w:jc w:val="left"/>
            </w:pPr>
            <w:r>
              <w:rPr>
                <w:sz w:val="16"/>
              </w:rPr>
            </w:r>
            <w:r>
              <w:rPr>
                <w:b w:val="0"/>
                <w:sz w:val="16"/>
              </w:rPr>
              <w:t>Approve operations standard</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I</w:t>
            </w:r>
          </w:p>
        </w:tc>
      </w:tr>
      <w:tr>
        <w:tc>
          <w:tcPr>
            <w:tcW w:type="dxa" w:w="2592"/>
            <w:vAlign w:val="top"/>
            <w:tcMar>
              <w:top w:w="80" w:type="dxa"/>
              <w:left w:w="80" w:type="dxa"/>
              <w:bottom w:w="80" w:type="dxa"/>
              <w:right w:w="80" w:type="dxa"/>
            </w:tcMar>
          </w:tcPr>
          <w:p>
            <w:pPr>
              <w:jc w:val="left"/>
            </w:pPr>
            <w:r>
              <w:rPr>
                <w:sz w:val="16"/>
              </w:rPr>
            </w:r>
            <w:r>
              <w:rPr>
                <w:b w:val="0"/>
                <w:sz w:val="16"/>
              </w:rPr>
              <w:t>Maintain service catalog</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1152"/>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I</w:t>
            </w:r>
          </w:p>
        </w:tc>
      </w:tr>
      <w:tr>
        <w:tc>
          <w:tcPr>
            <w:tcW w:type="dxa" w:w="2592"/>
            <w:vAlign w:val="top"/>
            <w:tcMar>
              <w:top w:w="80" w:type="dxa"/>
              <w:left w:w="80" w:type="dxa"/>
              <w:bottom w:w="80" w:type="dxa"/>
              <w:right w:w="80" w:type="dxa"/>
            </w:tcMar>
          </w:tcPr>
          <w:p>
            <w:pPr>
              <w:jc w:val="left"/>
            </w:pPr>
            <w:r>
              <w:rPr>
                <w:sz w:val="16"/>
              </w:rPr>
            </w:r>
            <w:r>
              <w:rPr>
                <w:b w:val="0"/>
                <w:sz w:val="16"/>
              </w:rPr>
              <w:t>Configure Zammad queues/templates</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I</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720"/>
            <w:vAlign w:val="top"/>
            <w:tcMar>
              <w:top w:w="80" w:type="dxa"/>
              <w:left w:w="80" w:type="dxa"/>
              <w:bottom w:w="80" w:type="dxa"/>
              <w:right w:w="80" w:type="dxa"/>
            </w:tcMar>
          </w:tcPr>
          <w:p>
            <w:pPr>
              <w:jc w:val="left"/>
            </w:pPr>
            <w:r>
              <w:rPr>
                <w:sz w:val="16"/>
              </w:rPr>
            </w:r>
            <w:r>
              <w:rPr>
                <w:b w:val="0"/>
                <w:sz w:val="16"/>
              </w:rPr>
              <w:t>I</w:t>
            </w:r>
          </w:p>
        </w:tc>
        <w:tc>
          <w:tcPr>
            <w:tcW w:type="dxa" w:w="1152"/>
            <w:vAlign w:val="top"/>
            <w:tcMar>
              <w:top w:w="80" w:type="dxa"/>
              <w:left w:w="80" w:type="dxa"/>
              <w:bottom w:w="80" w:type="dxa"/>
              <w:right w:w="80" w:type="dxa"/>
            </w:tcMar>
          </w:tcPr>
          <w:p>
            <w:pPr>
              <w:jc w:val="left"/>
            </w:pPr>
            <w:r>
              <w:rPr>
                <w:sz w:val="16"/>
              </w:rPr>
            </w:r>
            <w:r>
              <w:rPr>
                <w:b w:val="0"/>
                <w:sz w:val="16"/>
              </w:rPr>
              <w:t>I</w:t>
            </w:r>
          </w:p>
        </w:tc>
      </w:tr>
      <w:tr>
        <w:tc>
          <w:tcPr>
            <w:tcW w:type="dxa" w:w="2592"/>
            <w:vAlign w:val="top"/>
            <w:tcMar>
              <w:top w:w="80" w:type="dxa"/>
              <w:left w:w="80" w:type="dxa"/>
              <w:bottom w:w="80" w:type="dxa"/>
              <w:right w:w="80" w:type="dxa"/>
            </w:tcMar>
          </w:tcPr>
          <w:p>
            <w:pPr>
              <w:jc w:val="left"/>
            </w:pPr>
            <w:r>
              <w:rPr>
                <w:sz w:val="16"/>
              </w:rPr>
            </w:r>
            <w:r>
              <w:rPr>
                <w:b w:val="0"/>
                <w:sz w:val="16"/>
              </w:rPr>
              <w:t>Define SLO/SLI profile</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I</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C</w:t>
            </w:r>
          </w:p>
        </w:tc>
      </w:tr>
      <w:tr>
        <w:tc>
          <w:tcPr>
            <w:tcW w:type="dxa" w:w="2592"/>
            <w:vAlign w:val="top"/>
            <w:tcMar>
              <w:top w:w="80" w:type="dxa"/>
              <w:left w:w="80" w:type="dxa"/>
              <w:bottom w:w="80" w:type="dxa"/>
              <w:right w:w="80" w:type="dxa"/>
            </w:tcMar>
          </w:tcPr>
          <w:p>
            <w:pPr>
              <w:jc w:val="left"/>
            </w:pPr>
            <w:r>
              <w:rPr>
                <w:sz w:val="16"/>
              </w:rPr>
            </w:r>
            <w:r>
              <w:rPr>
                <w:b w:val="0"/>
                <w:sz w:val="16"/>
              </w:rPr>
              <w:t>Maintain dashboards/alerts</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A/R</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1152"/>
            <w:vAlign w:val="top"/>
            <w:tcMar>
              <w:top w:w="80" w:type="dxa"/>
              <w:left w:w="80" w:type="dxa"/>
              <w:bottom w:w="80" w:type="dxa"/>
              <w:right w:w="80" w:type="dxa"/>
            </w:tcMar>
          </w:tcPr>
          <w:p>
            <w:pPr>
              <w:jc w:val="left"/>
            </w:pPr>
            <w:r>
              <w:rPr>
                <w:sz w:val="16"/>
              </w:rPr>
            </w:r>
            <w:r>
              <w:rPr>
                <w:b w:val="0"/>
                <w:sz w:val="16"/>
              </w:rPr>
              <w:t>I</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I</w:t>
            </w:r>
          </w:p>
        </w:tc>
      </w:tr>
      <w:tr>
        <w:tc>
          <w:tcPr>
            <w:tcW w:type="dxa" w:w="2592"/>
            <w:vAlign w:val="top"/>
            <w:tcMar>
              <w:top w:w="80" w:type="dxa"/>
              <w:left w:w="80" w:type="dxa"/>
              <w:bottom w:w="80" w:type="dxa"/>
              <w:right w:w="80" w:type="dxa"/>
            </w:tcMar>
          </w:tcPr>
          <w:p>
            <w:pPr>
              <w:jc w:val="left"/>
            </w:pPr>
            <w:r>
              <w:rPr>
                <w:sz w:val="16"/>
              </w:rPr>
            </w:r>
            <w:r>
              <w:rPr>
                <w:b w:val="0"/>
                <w:sz w:val="16"/>
              </w:rPr>
              <w:t>Manage incidents</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1152"/>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I</w:t>
            </w:r>
          </w:p>
        </w:tc>
      </w:tr>
      <w:tr>
        <w:tc>
          <w:tcPr>
            <w:tcW w:type="dxa" w:w="2592"/>
            <w:vAlign w:val="top"/>
            <w:tcMar>
              <w:top w:w="80" w:type="dxa"/>
              <w:left w:w="80" w:type="dxa"/>
              <w:bottom w:w="80" w:type="dxa"/>
              <w:right w:w="80" w:type="dxa"/>
            </w:tcMar>
          </w:tcPr>
          <w:p>
            <w:pPr>
              <w:jc w:val="left"/>
            </w:pPr>
            <w:r>
              <w:rPr>
                <w:sz w:val="16"/>
              </w:rPr>
            </w:r>
            <w:r>
              <w:rPr>
                <w:b w:val="0"/>
                <w:sz w:val="16"/>
              </w:rPr>
              <w:t>Manage security cases</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I</w:t>
            </w:r>
          </w:p>
        </w:tc>
        <w:tc>
          <w:tcPr>
            <w:tcW w:type="dxa" w:w="1008"/>
            <w:vAlign w:val="top"/>
            <w:tcMar>
              <w:top w:w="80" w:type="dxa"/>
              <w:left w:w="80" w:type="dxa"/>
              <w:bottom w:w="80" w:type="dxa"/>
              <w:right w:w="80" w:type="dxa"/>
            </w:tcMar>
          </w:tcPr>
          <w:p>
            <w:pPr>
              <w:jc w:val="left"/>
            </w:pPr>
            <w:r>
              <w:rPr>
                <w:sz w:val="16"/>
              </w:rPr>
            </w:r>
            <w:r>
              <w:rPr>
                <w:b w:val="0"/>
                <w:sz w:val="16"/>
              </w:rPr>
              <w:t>A/R</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720"/>
            <w:vAlign w:val="top"/>
            <w:tcMar>
              <w:top w:w="80" w:type="dxa"/>
              <w:left w:w="80" w:type="dxa"/>
              <w:bottom w:w="80" w:type="dxa"/>
              <w:right w:w="80" w:type="dxa"/>
            </w:tcMar>
          </w:tcPr>
          <w:p>
            <w:pPr>
              <w:jc w:val="left"/>
            </w:pPr>
            <w:r>
              <w:rPr>
                <w:sz w:val="16"/>
              </w:rPr>
            </w:r>
            <w:r>
              <w:rPr>
                <w:b w:val="0"/>
                <w:sz w:val="16"/>
              </w:rPr>
              <w:t>I</w:t>
            </w:r>
          </w:p>
        </w:tc>
        <w:tc>
          <w:tcPr>
            <w:tcW w:type="dxa" w:w="1152"/>
            <w:vAlign w:val="top"/>
            <w:tcMar>
              <w:top w:w="80" w:type="dxa"/>
              <w:left w:w="80" w:type="dxa"/>
              <w:bottom w:w="80" w:type="dxa"/>
              <w:right w:w="80" w:type="dxa"/>
            </w:tcMar>
          </w:tcPr>
          <w:p>
            <w:pPr>
              <w:jc w:val="left"/>
            </w:pPr>
            <w:r>
              <w:rPr>
                <w:sz w:val="16"/>
              </w:rPr>
            </w:r>
            <w:r>
              <w:rPr>
                <w:b w:val="0"/>
                <w:sz w:val="16"/>
              </w:rPr>
              <w:t>I</w:t>
            </w:r>
          </w:p>
        </w:tc>
      </w:tr>
      <w:tr>
        <w:tc>
          <w:tcPr>
            <w:tcW w:type="dxa" w:w="2592"/>
            <w:vAlign w:val="top"/>
            <w:tcMar>
              <w:top w:w="80" w:type="dxa"/>
              <w:left w:w="80" w:type="dxa"/>
              <w:bottom w:w="80" w:type="dxa"/>
              <w:right w:w="80" w:type="dxa"/>
            </w:tcMar>
          </w:tcPr>
          <w:p>
            <w:pPr>
              <w:jc w:val="left"/>
            </w:pPr>
            <w:r>
              <w:rPr>
                <w:sz w:val="16"/>
              </w:rPr>
            </w:r>
            <w:r>
              <w:rPr>
                <w:b w:val="0"/>
                <w:sz w:val="16"/>
              </w:rPr>
              <w:t>Conduct RCA/problem review</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1152"/>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C</w:t>
            </w:r>
          </w:p>
        </w:tc>
      </w:tr>
      <w:tr>
        <w:tc>
          <w:tcPr>
            <w:tcW w:type="dxa" w:w="2592"/>
            <w:vAlign w:val="top"/>
            <w:tcMar>
              <w:top w:w="80" w:type="dxa"/>
              <w:left w:w="80" w:type="dxa"/>
              <w:bottom w:w="80" w:type="dxa"/>
              <w:right w:w="80" w:type="dxa"/>
            </w:tcMar>
          </w:tcPr>
          <w:p>
            <w:pPr>
              <w:jc w:val="left"/>
            </w:pPr>
            <w:r>
              <w:rPr>
                <w:sz w:val="16"/>
              </w:rPr>
            </w:r>
            <w:r>
              <w:rPr>
                <w:b w:val="0"/>
                <w:sz w:val="16"/>
              </w:rPr>
              <w:t>Approve runbooks</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I</w:t>
            </w:r>
          </w:p>
        </w:tc>
      </w:tr>
      <w:tr>
        <w:tc>
          <w:tcPr>
            <w:tcW w:type="dxa" w:w="2592"/>
            <w:vAlign w:val="top"/>
            <w:tcMar>
              <w:top w:w="80" w:type="dxa"/>
              <w:left w:w="80" w:type="dxa"/>
              <w:bottom w:w="80" w:type="dxa"/>
              <w:right w:w="80" w:type="dxa"/>
            </w:tcMar>
          </w:tcPr>
          <w:p>
            <w:pPr>
              <w:jc w:val="left"/>
            </w:pPr>
            <w:r>
              <w:rPr>
                <w:sz w:val="16"/>
              </w:rPr>
            </w:r>
            <w:r>
              <w:rPr>
                <w:b w:val="0"/>
                <w:sz w:val="16"/>
              </w:rPr>
              <w:t>Review service metrics</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C</w:t>
            </w:r>
          </w:p>
        </w:tc>
      </w:tr>
      <w:tr>
        <w:tc>
          <w:tcPr>
            <w:tcW w:type="dxa" w:w="2592"/>
            <w:vAlign w:val="top"/>
            <w:tcMar>
              <w:top w:w="80" w:type="dxa"/>
              <w:left w:w="80" w:type="dxa"/>
              <w:bottom w:w="80" w:type="dxa"/>
              <w:right w:w="80" w:type="dxa"/>
            </w:tcMar>
          </w:tcPr>
          <w:p>
            <w:pPr>
              <w:jc w:val="left"/>
            </w:pPr>
            <w:r>
              <w:rPr>
                <w:sz w:val="16"/>
              </w:rPr>
            </w:r>
            <w:r>
              <w:rPr>
                <w:b w:val="0"/>
                <w:sz w:val="16"/>
              </w:rPr>
              <w:t>Approve Auto-Heal production action</w:t>
            </w:r>
          </w:p>
        </w:tc>
        <w:tc>
          <w:tcPr>
            <w:tcW w:type="dxa" w:w="1008"/>
            <w:vAlign w:val="top"/>
            <w:tcMar>
              <w:top w:w="80" w:type="dxa"/>
              <w:left w:w="80" w:type="dxa"/>
              <w:bottom w:w="80" w:type="dxa"/>
              <w:right w:w="80" w:type="dxa"/>
            </w:tcMar>
          </w:tcPr>
          <w:p>
            <w:pPr>
              <w:jc w:val="left"/>
            </w:pPr>
            <w:r>
              <w:rPr>
                <w:sz w:val="16"/>
              </w:rPr>
            </w:r>
            <w:r>
              <w:rPr>
                <w:b w:val="0"/>
                <w:sz w:val="16"/>
              </w:rPr>
              <w:t>A</w:t>
            </w:r>
          </w:p>
        </w:tc>
        <w:tc>
          <w:tcPr>
            <w:tcW w:type="dxa" w:w="864"/>
            <w:vAlign w:val="top"/>
            <w:tcMar>
              <w:top w:w="80" w:type="dxa"/>
              <w:left w:w="80" w:type="dxa"/>
              <w:bottom w:w="80" w:type="dxa"/>
              <w:right w:w="80" w:type="dxa"/>
            </w:tcMar>
          </w:tcPr>
          <w:p>
            <w:pPr>
              <w:jc w:val="left"/>
            </w:pPr>
            <w:r>
              <w:rPr>
                <w:sz w:val="16"/>
              </w:rPr>
            </w:r>
            <w:r>
              <w:rPr>
                <w:b w:val="0"/>
                <w:sz w:val="16"/>
              </w:rPr>
              <w:t>R</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1152"/>
            <w:vAlign w:val="top"/>
            <w:tcMar>
              <w:top w:w="80" w:type="dxa"/>
              <w:left w:w="80" w:type="dxa"/>
              <w:bottom w:w="80" w:type="dxa"/>
              <w:right w:w="80" w:type="dxa"/>
            </w:tcMar>
          </w:tcPr>
          <w:p>
            <w:pPr>
              <w:jc w:val="left"/>
            </w:pPr>
            <w:r>
              <w:rPr>
                <w:sz w:val="16"/>
              </w:rPr>
            </w:r>
            <w:r>
              <w:rPr>
                <w:b w:val="0"/>
                <w:sz w:val="16"/>
              </w:rPr>
              <w:t>I</w:t>
            </w:r>
          </w:p>
        </w:tc>
        <w:tc>
          <w:tcPr>
            <w:tcW w:type="dxa" w:w="1008"/>
            <w:vAlign w:val="top"/>
            <w:tcMar>
              <w:top w:w="80" w:type="dxa"/>
              <w:left w:w="80" w:type="dxa"/>
              <w:bottom w:w="80" w:type="dxa"/>
              <w:right w:w="80" w:type="dxa"/>
            </w:tcMar>
          </w:tcPr>
          <w:p>
            <w:pPr>
              <w:jc w:val="left"/>
            </w:pPr>
            <w:r>
              <w:rPr>
                <w:sz w:val="16"/>
              </w:rPr>
            </w:r>
            <w:r>
              <w:rPr>
                <w:b w:val="0"/>
                <w:sz w:val="16"/>
              </w:rPr>
              <w:t>C</w:t>
            </w:r>
          </w:p>
        </w:tc>
        <w:tc>
          <w:tcPr>
            <w:tcW w:type="dxa" w:w="864"/>
            <w:vAlign w:val="top"/>
            <w:tcMar>
              <w:top w:w="80" w:type="dxa"/>
              <w:left w:w="80" w:type="dxa"/>
              <w:bottom w:w="80" w:type="dxa"/>
              <w:right w:w="80" w:type="dxa"/>
            </w:tcMar>
          </w:tcPr>
          <w:p>
            <w:pPr>
              <w:jc w:val="left"/>
            </w:pPr>
            <w:r>
              <w:rPr>
                <w:sz w:val="16"/>
              </w:rPr>
            </w:r>
            <w:r>
              <w:rPr>
                <w:b w:val="0"/>
                <w:sz w:val="16"/>
              </w:rPr>
              <w:t>C</w:t>
            </w:r>
          </w:p>
        </w:tc>
        <w:tc>
          <w:tcPr>
            <w:tcW w:type="dxa" w:w="1008"/>
            <w:vAlign w:val="top"/>
            <w:tcMar>
              <w:top w:w="80" w:type="dxa"/>
              <w:left w:w="80" w:type="dxa"/>
              <w:bottom w:w="80" w:type="dxa"/>
              <w:right w:w="80" w:type="dxa"/>
            </w:tcMar>
          </w:tcPr>
          <w:p>
            <w:pPr>
              <w:jc w:val="left"/>
            </w:pPr>
            <w:r>
              <w:rPr>
                <w:sz w:val="16"/>
              </w:rPr>
            </w:r>
            <w:r>
              <w:rPr>
                <w:b w:val="0"/>
                <w:sz w:val="16"/>
              </w:rPr>
              <w:t>R</w:t>
            </w:r>
          </w:p>
        </w:tc>
        <w:tc>
          <w:tcPr>
            <w:tcW w:type="dxa" w:w="720"/>
            <w:vAlign w:val="top"/>
            <w:tcMar>
              <w:top w:w="80" w:type="dxa"/>
              <w:left w:w="80" w:type="dxa"/>
              <w:bottom w:w="80" w:type="dxa"/>
              <w:right w:w="80" w:type="dxa"/>
            </w:tcMar>
          </w:tcPr>
          <w:p>
            <w:pPr>
              <w:jc w:val="left"/>
            </w:pPr>
            <w:r>
              <w:rPr>
                <w:sz w:val="16"/>
              </w:rPr>
            </w:r>
            <w:r>
              <w:rPr>
                <w:b w:val="0"/>
                <w:sz w:val="16"/>
              </w:rPr>
              <w:t>C</w:t>
            </w:r>
          </w:p>
        </w:tc>
        <w:tc>
          <w:tcPr>
            <w:tcW w:type="dxa" w:w="1152"/>
            <w:vAlign w:val="top"/>
            <w:tcMar>
              <w:top w:w="80" w:type="dxa"/>
              <w:left w:w="80" w:type="dxa"/>
              <w:bottom w:w="80" w:type="dxa"/>
              <w:right w:w="80" w:type="dxa"/>
            </w:tcMar>
          </w:tcPr>
          <w:p>
            <w:pPr>
              <w:jc w:val="left"/>
            </w:pPr>
            <w:r>
              <w:rPr>
                <w:sz w:val="16"/>
              </w:rPr>
            </w:r>
            <w:r>
              <w:rPr>
                <w:b w:val="0"/>
                <w:sz w:val="16"/>
              </w:rPr>
              <w:t>I</w:t>
            </w:r>
          </w:p>
        </w:tc>
      </w:tr>
    </w:tbl>
    <w:p>
      <w:pPr>
        <w:spacing w:after="80" w:line="252" w:lineRule="auto"/>
      </w:pPr>
      <w:r>
        <w:t>Legend: A = Accountable, R = Responsible, C = Consulted, I = Informed.</w:t>
      </w:r>
    </w:p>
    <w:p>
      <w:pPr>
        <w:pStyle w:val="Heading1"/>
        <w:spacing w:after="80" w:line="252" w:lineRule="auto"/>
      </w:pPr>
      <w:r>
        <w:t>20. Implementation Roadmap and Acceptance Criteria</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vAlign w:val="top"/>
            <w:shd w:fill="1F4E79"/>
            <w:tcMar>
              <w:top w:w="80" w:type="dxa"/>
              <w:left w:w="80" w:type="dxa"/>
              <w:bottom w:w="80" w:type="dxa"/>
              <w:right w:w="80" w:type="dxa"/>
            </w:tcMar>
          </w:tcPr>
          <w:p>
            <w:pPr>
              <w:jc w:val="left"/>
            </w:pPr>
            <w:r>
              <w:rPr>
                <w:b/>
                <w:color w:val="FFFFFF"/>
                <w:sz w:val="16"/>
              </w:rPr>
            </w:r>
            <w:r>
              <w:rPr>
                <w:b/>
                <w:color w:val="FFFFFF"/>
                <w:sz w:val="16"/>
              </w:rPr>
              <w:t>Phase</w:t>
            </w:r>
          </w:p>
        </w:tc>
        <w:tc>
          <w:tcPr>
            <w:tcW w:type="dxa" w:w="4752"/>
            <w:vAlign w:val="top"/>
            <w:shd w:fill="1F4E79"/>
            <w:tcMar>
              <w:top w:w="80" w:type="dxa"/>
              <w:left w:w="80" w:type="dxa"/>
              <w:bottom w:w="80" w:type="dxa"/>
              <w:right w:w="80" w:type="dxa"/>
            </w:tcMar>
          </w:tcPr>
          <w:p>
            <w:pPr>
              <w:jc w:val="left"/>
            </w:pPr>
            <w:r>
              <w:rPr>
                <w:b/>
                <w:color w:val="FFFFFF"/>
                <w:sz w:val="16"/>
              </w:rPr>
            </w:r>
            <w:r>
              <w:rPr>
                <w:b/>
                <w:color w:val="FFFFFF"/>
                <w:sz w:val="16"/>
              </w:rPr>
              <w:t>Activities</w:t>
            </w:r>
          </w:p>
        </w:tc>
        <w:tc>
          <w:tcPr>
            <w:tcW w:type="dxa" w:w="3456"/>
            <w:vAlign w:val="top"/>
            <w:shd w:fill="1F4E79"/>
            <w:tcMar>
              <w:top w:w="80" w:type="dxa"/>
              <w:left w:w="80" w:type="dxa"/>
              <w:bottom w:w="80" w:type="dxa"/>
              <w:right w:w="80" w:type="dxa"/>
            </w:tcMar>
          </w:tcPr>
          <w:p>
            <w:pPr>
              <w:jc w:val="left"/>
            </w:pPr>
            <w:r>
              <w:rPr>
                <w:b/>
                <w:color w:val="FFFFFF"/>
                <w:sz w:val="16"/>
              </w:rPr>
            </w:r>
            <w:r>
              <w:rPr>
                <w:b/>
                <w:color w:val="FFFFFF"/>
                <w:sz w:val="16"/>
              </w:rPr>
              <w:t>Exit Criteria</w:t>
            </w:r>
          </w:p>
        </w:tc>
      </w:tr>
      <w:tr>
        <w:tc>
          <w:tcPr>
            <w:tcW w:type="dxa" w:w="2304"/>
            <w:vAlign w:val="top"/>
            <w:tcMar>
              <w:top w:w="80" w:type="dxa"/>
              <w:left w:w="80" w:type="dxa"/>
              <w:bottom w:w="80" w:type="dxa"/>
              <w:right w:w="80" w:type="dxa"/>
            </w:tcMar>
          </w:tcPr>
          <w:p>
            <w:pPr>
              <w:jc w:val="left"/>
            </w:pPr>
            <w:r>
              <w:rPr>
                <w:sz w:val="16"/>
              </w:rPr>
            </w:r>
            <w:r>
              <w:rPr>
                <w:b w:val="0"/>
                <w:sz w:val="16"/>
              </w:rPr>
              <w:t>Phase 1 - Service Management Bootstrap</w:t>
            </w:r>
          </w:p>
        </w:tc>
        <w:tc>
          <w:tcPr>
            <w:tcW w:type="dxa" w:w="4752"/>
            <w:vAlign w:val="top"/>
            <w:tcMar>
              <w:top w:w="80" w:type="dxa"/>
              <w:left w:w="80" w:type="dxa"/>
              <w:bottom w:w="80" w:type="dxa"/>
              <w:right w:w="80" w:type="dxa"/>
            </w:tcMar>
          </w:tcPr>
          <w:p>
            <w:pPr>
              <w:jc w:val="left"/>
            </w:pPr>
            <w:r>
              <w:rPr>
                <w:sz w:val="16"/>
              </w:rPr>
            </w:r>
            <w:r>
              <w:rPr>
                <w:b w:val="0"/>
                <w:sz w:val="16"/>
              </w:rPr>
              <w:t>Configure Zammad groups, ticket types, categories, service catalog fields, SLA timers, templates, and evidence references.</w:t>
            </w:r>
          </w:p>
        </w:tc>
        <w:tc>
          <w:tcPr>
            <w:tcW w:type="dxa" w:w="3456"/>
            <w:vAlign w:val="top"/>
            <w:tcMar>
              <w:top w:w="80" w:type="dxa"/>
              <w:left w:w="80" w:type="dxa"/>
              <w:bottom w:w="80" w:type="dxa"/>
              <w:right w:w="80" w:type="dxa"/>
            </w:tcMar>
          </w:tcPr>
          <w:p>
            <w:pPr>
              <w:jc w:val="left"/>
            </w:pPr>
            <w:r>
              <w:rPr>
                <w:sz w:val="16"/>
              </w:rPr>
            </w:r>
            <w:r>
              <w:rPr>
                <w:b w:val="0"/>
                <w:sz w:val="16"/>
              </w:rPr>
              <w:t>Zammad can capture AIRA incidents, service requests, problems, changes, and evidence links.</w:t>
            </w:r>
          </w:p>
        </w:tc>
      </w:tr>
      <w:tr>
        <w:tc>
          <w:tcPr>
            <w:tcW w:type="dxa" w:w="2304"/>
            <w:vAlign w:val="top"/>
            <w:tcMar>
              <w:top w:w="80" w:type="dxa"/>
              <w:left w:w="80" w:type="dxa"/>
              <w:bottom w:w="80" w:type="dxa"/>
              <w:right w:w="80" w:type="dxa"/>
            </w:tcMar>
          </w:tcPr>
          <w:p>
            <w:pPr>
              <w:jc w:val="left"/>
            </w:pPr>
            <w:r>
              <w:rPr>
                <w:sz w:val="16"/>
              </w:rPr>
            </w:r>
            <w:r>
              <w:rPr>
                <w:b w:val="0"/>
                <w:sz w:val="16"/>
              </w:rPr>
              <w:t>Phase 2 - Observability Baseline</w:t>
            </w:r>
          </w:p>
        </w:tc>
        <w:tc>
          <w:tcPr>
            <w:tcW w:type="dxa" w:w="4752"/>
            <w:vAlign w:val="top"/>
            <w:tcMar>
              <w:top w:w="80" w:type="dxa"/>
              <w:left w:w="80" w:type="dxa"/>
              <w:bottom w:w="80" w:type="dxa"/>
              <w:right w:w="80" w:type="dxa"/>
            </w:tcMar>
          </w:tcPr>
          <w:p>
            <w:pPr>
              <w:jc w:val="left"/>
            </w:pPr>
            <w:r>
              <w:rPr>
                <w:sz w:val="16"/>
              </w:rPr>
            </w:r>
            <w:r>
              <w:rPr>
                <w:b w:val="0"/>
                <w:sz w:val="16"/>
              </w:rPr>
              <w:t>Implement OpenTelemetry, Grafana dashboards, Prometheus alerts, Loki/Tempo/Sentry/SigNoz views for core services.</w:t>
            </w:r>
          </w:p>
        </w:tc>
        <w:tc>
          <w:tcPr>
            <w:tcW w:type="dxa" w:w="3456"/>
            <w:vAlign w:val="top"/>
            <w:tcMar>
              <w:top w:w="80" w:type="dxa"/>
              <w:left w:w="80" w:type="dxa"/>
              <w:bottom w:w="80" w:type="dxa"/>
              <w:right w:w="80" w:type="dxa"/>
            </w:tcMar>
          </w:tcPr>
          <w:p>
            <w:pPr>
              <w:jc w:val="left"/>
            </w:pPr>
            <w:r>
              <w:rPr>
                <w:sz w:val="16"/>
              </w:rPr>
            </w:r>
            <w:r>
              <w:rPr>
                <w:b w:val="0"/>
                <w:sz w:val="16"/>
              </w:rPr>
              <w:t>Tier 0/Tier 1 services have dashboards and actionable alerts.</w:t>
            </w:r>
          </w:p>
        </w:tc>
      </w:tr>
      <w:tr>
        <w:tc>
          <w:tcPr>
            <w:tcW w:type="dxa" w:w="2304"/>
            <w:vAlign w:val="top"/>
            <w:tcMar>
              <w:top w:w="80" w:type="dxa"/>
              <w:left w:w="80" w:type="dxa"/>
              <w:bottom w:w="80" w:type="dxa"/>
              <w:right w:w="80" w:type="dxa"/>
            </w:tcMar>
          </w:tcPr>
          <w:p>
            <w:pPr>
              <w:jc w:val="left"/>
            </w:pPr>
            <w:r>
              <w:rPr>
                <w:sz w:val="16"/>
              </w:rPr>
            </w:r>
            <w:r>
              <w:rPr>
                <w:b w:val="0"/>
                <w:sz w:val="16"/>
              </w:rPr>
              <w:t>Phase 3 - Security Operations Integration</w:t>
            </w:r>
          </w:p>
        </w:tc>
        <w:tc>
          <w:tcPr>
            <w:tcW w:type="dxa" w:w="4752"/>
            <w:vAlign w:val="top"/>
            <w:tcMar>
              <w:top w:w="80" w:type="dxa"/>
              <w:left w:w="80" w:type="dxa"/>
              <w:bottom w:w="80" w:type="dxa"/>
              <w:right w:w="80" w:type="dxa"/>
            </w:tcMar>
          </w:tcPr>
          <w:p>
            <w:pPr>
              <w:jc w:val="left"/>
            </w:pPr>
            <w:r>
              <w:rPr>
                <w:sz w:val="16"/>
              </w:rPr>
            </w:r>
            <w:r>
              <w:rPr>
                <w:b w:val="0"/>
                <w:sz w:val="16"/>
              </w:rPr>
              <w:t>Integrate Wazuh alerts with TheHive/Cortex workflow and Zammad links for service-impacting cases.</w:t>
            </w:r>
          </w:p>
        </w:tc>
        <w:tc>
          <w:tcPr>
            <w:tcW w:type="dxa" w:w="3456"/>
            <w:vAlign w:val="top"/>
            <w:tcMar>
              <w:top w:w="80" w:type="dxa"/>
              <w:left w:w="80" w:type="dxa"/>
              <w:bottom w:w="80" w:type="dxa"/>
              <w:right w:w="80" w:type="dxa"/>
            </w:tcMar>
          </w:tcPr>
          <w:p>
            <w:pPr>
              <w:jc w:val="left"/>
            </w:pPr>
            <w:r>
              <w:rPr>
                <w:sz w:val="16"/>
              </w:rPr>
            </w:r>
            <w:r>
              <w:rPr>
                <w:b w:val="0"/>
                <w:sz w:val="16"/>
              </w:rPr>
              <w:t>Security case workflow tested in non-production with evidence.</w:t>
            </w:r>
          </w:p>
        </w:tc>
      </w:tr>
      <w:tr>
        <w:tc>
          <w:tcPr>
            <w:tcW w:type="dxa" w:w="2304"/>
            <w:vAlign w:val="top"/>
            <w:tcMar>
              <w:top w:w="80" w:type="dxa"/>
              <w:left w:w="80" w:type="dxa"/>
              <w:bottom w:w="80" w:type="dxa"/>
              <w:right w:w="80" w:type="dxa"/>
            </w:tcMar>
          </w:tcPr>
          <w:p>
            <w:pPr>
              <w:jc w:val="left"/>
            </w:pPr>
            <w:r>
              <w:rPr>
                <w:sz w:val="16"/>
              </w:rPr>
            </w:r>
            <w:r>
              <w:rPr>
                <w:b w:val="0"/>
                <w:sz w:val="16"/>
              </w:rPr>
              <w:t>Phase 4 - Runbook and Evidence Alignment</w:t>
            </w:r>
          </w:p>
        </w:tc>
        <w:tc>
          <w:tcPr>
            <w:tcW w:type="dxa" w:w="4752"/>
            <w:vAlign w:val="top"/>
            <w:tcMar>
              <w:top w:w="80" w:type="dxa"/>
              <w:left w:w="80" w:type="dxa"/>
              <w:bottom w:w="80" w:type="dxa"/>
              <w:right w:w="80" w:type="dxa"/>
            </w:tcMar>
          </w:tcPr>
          <w:p>
            <w:pPr>
              <w:jc w:val="left"/>
            </w:pPr>
            <w:r>
              <w:rPr>
                <w:sz w:val="16"/>
              </w:rPr>
            </w:r>
            <w:r>
              <w:rPr>
                <w:b w:val="0"/>
                <w:sz w:val="16"/>
              </w:rPr>
              <w:t>Publish runbooks, OpenKM evidence paths, Obsidian/LLM Wiki references, and service review templates.</w:t>
            </w:r>
          </w:p>
        </w:tc>
        <w:tc>
          <w:tcPr>
            <w:tcW w:type="dxa" w:w="3456"/>
            <w:vAlign w:val="top"/>
            <w:tcMar>
              <w:top w:w="80" w:type="dxa"/>
              <w:left w:w="80" w:type="dxa"/>
              <w:bottom w:w="80" w:type="dxa"/>
              <w:right w:w="80" w:type="dxa"/>
            </w:tcMar>
          </w:tcPr>
          <w:p>
            <w:pPr>
              <w:jc w:val="left"/>
            </w:pPr>
            <w:r>
              <w:rPr>
                <w:sz w:val="16"/>
              </w:rPr>
            </w:r>
            <w:r>
              <w:rPr>
                <w:b w:val="0"/>
                <w:sz w:val="16"/>
              </w:rPr>
              <w:t>Service owner can execute and evidence runbook steps.</w:t>
            </w:r>
          </w:p>
        </w:tc>
      </w:tr>
      <w:tr>
        <w:tc>
          <w:tcPr>
            <w:tcW w:type="dxa" w:w="2304"/>
            <w:vAlign w:val="top"/>
            <w:tcMar>
              <w:top w:w="80" w:type="dxa"/>
              <w:left w:w="80" w:type="dxa"/>
              <w:bottom w:w="80" w:type="dxa"/>
              <w:right w:w="80" w:type="dxa"/>
            </w:tcMar>
          </w:tcPr>
          <w:p>
            <w:pPr>
              <w:jc w:val="left"/>
            </w:pPr>
            <w:r>
              <w:rPr>
                <w:sz w:val="16"/>
              </w:rPr>
            </w:r>
            <w:r>
              <w:rPr>
                <w:b w:val="0"/>
                <w:sz w:val="16"/>
              </w:rPr>
              <w:t>Phase 5 - SLO and Service Review Activation</w:t>
            </w:r>
          </w:p>
        </w:tc>
        <w:tc>
          <w:tcPr>
            <w:tcW w:type="dxa" w:w="4752"/>
            <w:vAlign w:val="top"/>
            <w:tcMar>
              <w:top w:w="80" w:type="dxa"/>
              <w:left w:w="80" w:type="dxa"/>
              <w:bottom w:w="80" w:type="dxa"/>
              <w:right w:w="80" w:type="dxa"/>
            </w:tcMar>
          </w:tcPr>
          <w:p>
            <w:pPr>
              <w:jc w:val="left"/>
            </w:pPr>
            <w:r>
              <w:rPr>
                <w:sz w:val="16"/>
              </w:rPr>
            </w:r>
            <w:r>
              <w:rPr>
                <w:b w:val="0"/>
                <w:sz w:val="16"/>
              </w:rPr>
              <w:t>Define initial SLO/SLI profiles, service review schedule, error-budget handling.</w:t>
            </w:r>
          </w:p>
        </w:tc>
        <w:tc>
          <w:tcPr>
            <w:tcW w:type="dxa" w:w="3456"/>
            <w:vAlign w:val="top"/>
            <w:tcMar>
              <w:top w:w="80" w:type="dxa"/>
              <w:left w:w="80" w:type="dxa"/>
              <w:bottom w:w="80" w:type="dxa"/>
              <w:right w:w="80" w:type="dxa"/>
            </w:tcMar>
          </w:tcPr>
          <w:p>
            <w:pPr>
              <w:jc w:val="left"/>
            </w:pPr>
            <w:r>
              <w:rPr>
                <w:sz w:val="16"/>
              </w:rPr>
            </w:r>
            <w:r>
              <w:rPr>
                <w:b w:val="0"/>
                <w:sz w:val="16"/>
              </w:rPr>
              <w:t>Monthly service review pack can be generated.</w:t>
            </w:r>
          </w:p>
        </w:tc>
      </w:tr>
      <w:tr>
        <w:tc>
          <w:tcPr>
            <w:tcW w:type="dxa" w:w="2304"/>
            <w:vAlign w:val="top"/>
            <w:tcMar>
              <w:top w:w="80" w:type="dxa"/>
              <w:left w:w="80" w:type="dxa"/>
              <w:bottom w:w="80" w:type="dxa"/>
              <w:right w:w="80" w:type="dxa"/>
            </w:tcMar>
          </w:tcPr>
          <w:p>
            <w:pPr>
              <w:jc w:val="left"/>
            </w:pPr>
            <w:r>
              <w:rPr>
                <w:sz w:val="16"/>
              </w:rPr>
            </w:r>
            <w:r>
              <w:rPr>
                <w:b w:val="0"/>
                <w:sz w:val="16"/>
              </w:rPr>
              <w:t>Phase 6 - Auto-Heal Governance</w:t>
            </w:r>
          </w:p>
        </w:tc>
        <w:tc>
          <w:tcPr>
            <w:tcW w:type="dxa" w:w="4752"/>
            <w:vAlign w:val="top"/>
            <w:tcMar>
              <w:top w:w="80" w:type="dxa"/>
              <w:left w:w="80" w:type="dxa"/>
              <w:bottom w:w="80" w:type="dxa"/>
              <w:right w:w="80" w:type="dxa"/>
            </w:tcMar>
          </w:tcPr>
          <w:p>
            <w:pPr>
              <w:jc w:val="left"/>
            </w:pPr>
            <w:r>
              <w:rPr>
                <w:sz w:val="16"/>
              </w:rPr>
            </w:r>
            <w:r>
              <w:rPr>
                <w:b w:val="0"/>
                <w:sz w:val="16"/>
              </w:rPr>
              <w:t>Connect signals to candidate automation with human approval and CAB controls.</w:t>
            </w:r>
          </w:p>
        </w:tc>
        <w:tc>
          <w:tcPr>
            <w:tcW w:type="dxa" w:w="3456"/>
            <w:vAlign w:val="top"/>
            <w:tcMar>
              <w:top w:w="80" w:type="dxa"/>
              <w:left w:w="80" w:type="dxa"/>
              <w:bottom w:w="80" w:type="dxa"/>
              <w:right w:w="80" w:type="dxa"/>
            </w:tcMar>
          </w:tcPr>
          <w:p>
            <w:pPr>
              <w:jc w:val="left"/>
            </w:pPr>
            <w:r>
              <w:rPr>
                <w:sz w:val="16"/>
              </w:rPr>
            </w:r>
            <w:r>
              <w:rPr>
                <w:b w:val="0"/>
                <w:sz w:val="16"/>
              </w:rPr>
              <w:t>Auto-Heal candidate workflow tested without production bypass.</w:t>
            </w:r>
          </w:p>
        </w:tc>
      </w:tr>
    </w:tbl>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9"/>
            <w:tcMar>
              <w:top w:w="80" w:type="dxa"/>
              <w:left w:w="80" w:type="dxa"/>
              <w:bottom w:w="80" w:type="dxa"/>
              <w:right w:w="80" w:type="dxa"/>
            </w:tcMar>
          </w:tcPr>
          <w:p>
            <w:pPr>
              <w:jc w:val="left"/>
            </w:pPr>
            <w:r>
              <w:rPr>
                <w:b/>
                <w:color w:val="FFFFFF"/>
                <w:sz w:val="16"/>
              </w:rPr>
            </w:r>
            <w:r>
              <w:rPr>
                <w:b/>
                <w:color w:val="FFFFFF"/>
                <w:sz w:val="16"/>
              </w:rPr>
              <w:t>Acceptance Criterion</w:t>
            </w:r>
          </w:p>
        </w:tc>
        <w:tc>
          <w:tcPr>
            <w:tcW w:type="dxa" w:w="7920"/>
            <w:vAlign w:val="top"/>
            <w:shd w:fill="1F4E79"/>
            <w:tcMar>
              <w:top w:w="80" w:type="dxa"/>
              <w:left w:w="80" w:type="dxa"/>
              <w:bottom w:w="80" w:type="dxa"/>
              <w:right w:w="80" w:type="dxa"/>
            </w:tcMar>
          </w:tcPr>
          <w:p>
            <w:pPr>
              <w:jc w:val="left"/>
            </w:pPr>
            <w:r>
              <w:rPr>
                <w:b/>
                <w:color w:val="FFFFFF"/>
                <w:sz w:val="16"/>
              </w:rPr>
            </w:r>
            <w:r>
              <w:rPr>
                <w:b/>
                <w:color w:val="FFFFFF"/>
                <w:sz w:val="16"/>
              </w:rPr>
              <w:t>Ready When</w:t>
            </w:r>
          </w:p>
        </w:tc>
      </w:tr>
      <w:tr>
        <w:tc>
          <w:tcPr>
            <w:tcW w:type="dxa" w:w="2592"/>
            <w:vAlign w:val="top"/>
            <w:tcMar>
              <w:top w:w="80" w:type="dxa"/>
              <w:left w:w="80" w:type="dxa"/>
              <w:bottom w:w="80" w:type="dxa"/>
              <w:right w:w="80" w:type="dxa"/>
            </w:tcMar>
          </w:tcPr>
          <w:p>
            <w:pPr>
              <w:jc w:val="left"/>
            </w:pPr>
            <w:r>
              <w:rPr>
                <w:sz w:val="16"/>
              </w:rPr>
            </w:r>
            <w:r>
              <w:rPr>
                <w:b w:val="0"/>
                <w:sz w:val="16"/>
              </w:rPr>
              <w:t>Service catalog exists</w:t>
            </w:r>
          </w:p>
        </w:tc>
        <w:tc>
          <w:tcPr>
            <w:tcW w:type="dxa" w:w="7920"/>
            <w:vAlign w:val="top"/>
            <w:tcMar>
              <w:top w:w="80" w:type="dxa"/>
              <w:left w:w="80" w:type="dxa"/>
              <w:bottom w:w="80" w:type="dxa"/>
              <w:right w:w="80" w:type="dxa"/>
            </w:tcMar>
          </w:tcPr>
          <w:p>
            <w:pPr>
              <w:jc w:val="left"/>
            </w:pPr>
            <w:r>
              <w:rPr>
                <w:sz w:val="16"/>
              </w:rPr>
            </w:r>
            <w:r>
              <w:rPr>
                <w:b w:val="0"/>
                <w:sz w:val="16"/>
              </w:rPr>
              <w:t>All MVP/Tier 0/Tier 1 services have owner, tier, support group, runbook, evidence path, and monitoring link.</w:t>
            </w:r>
          </w:p>
        </w:tc>
      </w:tr>
      <w:tr>
        <w:tc>
          <w:tcPr>
            <w:tcW w:type="dxa" w:w="2592"/>
            <w:vAlign w:val="top"/>
            <w:tcMar>
              <w:top w:w="80" w:type="dxa"/>
              <w:left w:w="80" w:type="dxa"/>
              <w:bottom w:w="80" w:type="dxa"/>
              <w:right w:w="80" w:type="dxa"/>
            </w:tcMar>
          </w:tcPr>
          <w:p>
            <w:pPr>
              <w:jc w:val="left"/>
            </w:pPr>
            <w:r>
              <w:rPr>
                <w:sz w:val="16"/>
              </w:rPr>
            </w:r>
            <w:r>
              <w:rPr>
                <w:b w:val="0"/>
                <w:sz w:val="16"/>
              </w:rPr>
              <w:t>Zammad workflow ready</w:t>
            </w:r>
          </w:p>
        </w:tc>
        <w:tc>
          <w:tcPr>
            <w:tcW w:type="dxa" w:w="7920"/>
            <w:vAlign w:val="top"/>
            <w:tcMar>
              <w:top w:w="80" w:type="dxa"/>
              <w:left w:w="80" w:type="dxa"/>
              <w:bottom w:w="80" w:type="dxa"/>
              <w:right w:w="80" w:type="dxa"/>
            </w:tcMar>
          </w:tcPr>
          <w:p>
            <w:pPr>
              <w:jc w:val="left"/>
            </w:pPr>
            <w:r>
              <w:rPr>
                <w:sz w:val="16"/>
              </w:rPr>
            </w:r>
            <w:r>
              <w:rPr>
                <w:b w:val="0"/>
                <w:sz w:val="16"/>
              </w:rPr>
              <w:t>Ticket templates, queues, severity, SLA timers, escalation, and closure evidence are configured.</w:t>
            </w:r>
          </w:p>
        </w:tc>
      </w:tr>
      <w:tr>
        <w:tc>
          <w:tcPr>
            <w:tcW w:type="dxa" w:w="2592"/>
            <w:vAlign w:val="top"/>
            <w:tcMar>
              <w:top w:w="80" w:type="dxa"/>
              <w:left w:w="80" w:type="dxa"/>
              <w:bottom w:w="80" w:type="dxa"/>
              <w:right w:w="80" w:type="dxa"/>
            </w:tcMar>
          </w:tcPr>
          <w:p>
            <w:pPr>
              <w:jc w:val="left"/>
            </w:pPr>
            <w:r>
              <w:rPr>
                <w:sz w:val="16"/>
              </w:rPr>
            </w:r>
            <w:r>
              <w:rPr>
                <w:b w:val="0"/>
                <w:sz w:val="16"/>
              </w:rPr>
              <w:t>Observability ready</w:t>
            </w:r>
          </w:p>
        </w:tc>
        <w:tc>
          <w:tcPr>
            <w:tcW w:type="dxa" w:w="7920"/>
            <w:vAlign w:val="top"/>
            <w:tcMar>
              <w:top w:w="80" w:type="dxa"/>
              <w:left w:w="80" w:type="dxa"/>
              <w:bottom w:w="80" w:type="dxa"/>
              <w:right w:w="80" w:type="dxa"/>
            </w:tcMar>
          </w:tcPr>
          <w:p>
            <w:pPr>
              <w:jc w:val="left"/>
            </w:pPr>
            <w:r>
              <w:rPr>
                <w:sz w:val="16"/>
              </w:rPr>
            </w:r>
            <w:r>
              <w:rPr>
                <w:b w:val="0"/>
                <w:sz w:val="16"/>
              </w:rPr>
              <w:t>Metrics, logs, traces, errors, APM, dashboards, and alerts are functioning for critical paths.</w:t>
            </w:r>
          </w:p>
        </w:tc>
      </w:tr>
      <w:tr>
        <w:tc>
          <w:tcPr>
            <w:tcW w:type="dxa" w:w="2592"/>
            <w:vAlign w:val="top"/>
            <w:tcMar>
              <w:top w:w="80" w:type="dxa"/>
              <w:left w:w="80" w:type="dxa"/>
              <w:bottom w:w="80" w:type="dxa"/>
              <w:right w:w="80" w:type="dxa"/>
            </w:tcMar>
          </w:tcPr>
          <w:p>
            <w:pPr>
              <w:jc w:val="left"/>
            </w:pPr>
            <w:r>
              <w:rPr>
                <w:sz w:val="16"/>
              </w:rPr>
            </w:r>
            <w:r>
              <w:rPr>
                <w:b w:val="0"/>
                <w:sz w:val="16"/>
              </w:rPr>
              <w:t>Security operations ready</w:t>
            </w:r>
          </w:p>
        </w:tc>
        <w:tc>
          <w:tcPr>
            <w:tcW w:type="dxa" w:w="7920"/>
            <w:vAlign w:val="top"/>
            <w:tcMar>
              <w:top w:w="80" w:type="dxa"/>
              <w:left w:w="80" w:type="dxa"/>
              <w:bottom w:w="80" w:type="dxa"/>
              <w:right w:w="80" w:type="dxa"/>
            </w:tcMar>
          </w:tcPr>
          <w:p>
            <w:pPr>
              <w:jc w:val="left"/>
            </w:pPr>
            <w:r>
              <w:rPr>
                <w:sz w:val="16"/>
              </w:rPr>
            </w:r>
            <w:r>
              <w:rPr>
                <w:b w:val="0"/>
                <w:sz w:val="16"/>
              </w:rPr>
              <w:t>Wazuh/TheHive/Cortex workflow is tested and linked to service-impacting incident process.</w:t>
            </w:r>
          </w:p>
        </w:tc>
      </w:tr>
      <w:tr>
        <w:tc>
          <w:tcPr>
            <w:tcW w:type="dxa" w:w="2592"/>
            <w:vAlign w:val="top"/>
            <w:tcMar>
              <w:top w:w="80" w:type="dxa"/>
              <w:left w:w="80" w:type="dxa"/>
              <w:bottom w:w="80" w:type="dxa"/>
              <w:right w:w="80" w:type="dxa"/>
            </w:tcMar>
          </w:tcPr>
          <w:p>
            <w:pPr>
              <w:jc w:val="left"/>
            </w:pPr>
            <w:r>
              <w:rPr>
                <w:sz w:val="16"/>
              </w:rPr>
            </w:r>
            <w:r>
              <w:rPr>
                <w:b w:val="0"/>
                <w:sz w:val="16"/>
              </w:rPr>
              <w:t>Runbooks ready</w:t>
            </w:r>
          </w:p>
        </w:tc>
        <w:tc>
          <w:tcPr>
            <w:tcW w:type="dxa" w:w="7920"/>
            <w:vAlign w:val="top"/>
            <w:tcMar>
              <w:top w:w="80" w:type="dxa"/>
              <w:left w:w="80" w:type="dxa"/>
              <w:bottom w:w="80" w:type="dxa"/>
              <w:right w:w="80" w:type="dxa"/>
            </w:tcMar>
          </w:tcPr>
          <w:p>
            <w:pPr>
              <w:jc w:val="left"/>
            </w:pPr>
            <w:r>
              <w:rPr>
                <w:sz w:val="16"/>
              </w:rPr>
            </w:r>
            <w:r>
              <w:rPr>
                <w:b w:val="0"/>
                <w:sz w:val="16"/>
              </w:rPr>
              <w:t>Triage, recovery, rollback, DLQ, database, AI, and security runbooks exist for critical services.</w:t>
            </w:r>
          </w:p>
        </w:tc>
      </w:tr>
      <w:tr>
        <w:tc>
          <w:tcPr>
            <w:tcW w:type="dxa" w:w="2592"/>
            <w:vAlign w:val="top"/>
            <w:tcMar>
              <w:top w:w="80" w:type="dxa"/>
              <w:left w:w="80" w:type="dxa"/>
              <w:bottom w:w="80" w:type="dxa"/>
              <w:right w:w="80" w:type="dxa"/>
            </w:tcMar>
          </w:tcPr>
          <w:p>
            <w:pPr>
              <w:jc w:val="left"/>
            </w:pPr>
            <w:r>
              <w:rPr>
                <w:sz w:val="16"/>
              </w:rPr>
            </w:r>
            <w:r>
              <w:rPr>
                <w:b w:val="0"/>
                <w:sz w:val="16"/>
              </w:rPr>
              <w:t>SLO review ready</w:t>
            </w:r>
          </w:p>
        </w:tc>
        <w:tc>
          <w:tcPr>
            <w:tcW w:type="dxa" w:w="7920"/>
            <w:vAlign w:val="top"/>
            <w:tcMar>
              <w:top w:w="80" w:type="dxa"/>
              <w:left w:w="80" w:type="dxa"/>
              <w:bottom w:w="80" w:type="dxa"/>
              <w:right w:w="80" w:type="dxa"/>
            </w:tcMar>
          </w:tcPr>
          <w:p>
            <w:pPr>
              <w:jc w:val="left"/>
            </w:pPr>
            <w:r>
              <w:rPr>
                <w:sz w:val="16"/>
              </w:rPr>
            </w:r>
            <w:r>
              <w:rPr>
                <w:b w:val="0"/>
                <w:sz w:val="16"/>
              </w:rPr>
              <w:t>SLO/SLI baseline and service review cadence are approved.</w:t>
            </w:r>
          </w:p>
        </w:tc>
      </w:tr>
      <w:tr>
        <w:tc>
          <w:tcPr>
            <w:tcW w:type="dxa" w:w="2592"/>
            <w:vAlign w:val="top"/>
            <w:tcMar>
              <w:top w:w="80" w:type="dxa"/>
              <w:left w:w="80" w:type="dxa"/>
              <w:bottom w:w="80" w:type="dxa"/>
              <w:right w:w="80" w:type="dxa"/>
            </w:tcMar>
          </w:tcPr>
          <w:p>
            <w:pPr>
              <w:jc w:val="left"/>
            </w:pPr>
            <w:r>
              <w:rPr>
                <w:sz w:val="16"/>
              </w:rPr>
            </w:r>
            <w:r>
              <w:rPr>
                <w:b w:val="0"/>
                <w:sz w:val="16"/>
              </w:rPr>
              <w:t>Evidence ready</w:t>
            </w:r>
          </w:p>
        </w:tc>
        <w:tc>
          <w:tcPr>
            <w:tcW w:type="dxa" w:w="7920"/>
            <w:vAlign w:val="top"/>
            <w:tcMar>
              <w:top w:w="80" w:type="dxa"/>
              <w:left w:w="80" w:type="dxa"/>
              <w:bottom w:w="80" w:type="dxa"/>
              <w:right w:w="80" w:type="dxa"/>
            </w:tcMar>
          </w:tcPr>
          <w:p>
            <w:pPr>
              <w:jc w:val="left"/>
            </w:pPr>
            <w:r>
              <w:rPr>
                <w:sz w:val="16"/>
              </w:rPr>
            </w:r>
            <w:r>
              <w:rPr>
                <w:b w:val="0"/>
                <w:sz w:val="16"/>
              </w:rPr>
              <w:t>Operational evidence paths are defined and used in tickets, incidents, changes, and reviews.</w:t>
            </w:r>
          </w:p>
        </w:tc>
      </w:tr>
      <w:tr>
        <w:tc>
          <w:tcPr>
            <w:tcW w:type="dxa" w:w="2592"/>
            <w:vAlign w:val="top"/>
            <w:tcMar>
              <w:top w:w="80" w:type="dxa"/>
              <w:left w:w="80" w:type="dxa"/>
              <w:bottom w:w="80" w:type="dxa"/>
              <w:right w:w="80" w:type="dxa"/>
            </w:tcMar>
          </w:tcPr>
          <w:p>
            <w:pPr>
              <w:jc w:val="left"/>
            </w:pPr>
            <w:r>
              <w:rPr>
                <w:sz w:val="16"/>
              </w:rPr>
            </w:r>
            <w:r>
              <w:rPr>
                <w:b w:val="0"/>
                <w:sz w:val="16"/>
              </w:rPr>
              <w:t>AVCI ready</w:t>
            </w:r>
          </w:p>
        </w:tc>
        <w:tc>
          <w:tcPr>
            <w:tcW w:type="dxa" w:w="7920"/>
            <w:vAlign w:val="top"/>
            <w:tcMar>
              <w:top w:w="80" w:type="dxa"/>
              <w:left w:w="80" w:type="dxa"/>
              <w:bottom w:w="80" w:type="dxa"/>
              <w:right w:w="80" w:type="dxa"/>
            </w:tcMar>
          </w:tcPr>
          <w:p>
            <w:pPr>
              <w:jc w:val="left"/>
            </w:pPr>
            <w:r>
              <w:rPr>
                <w:sz w:val="16"/>
              </w:rPr>
            </w:r>
            <w:r>
              <w:rPr>
                <w:b w:val="0"/>
                <w:sz w:val="16"/>
              </w:rPr>
              <w:t>Operations artifacts carry owner, evidence, classification, and improvement path.</w:t>
            </w:r>
          </w:p>
        </w:tc>
      </w:tr>
    </w:tbl>
    <w:p>
      <w:pPr>
        <w:pStyle w:val="Heading1"/>
        <w:spacing w:after="80" w:line="252" w:lineRule="auto"/>
      </w:pPr>
      <w:r>
        <w:t>Appendix A. Service Catalog Record Template</w:t>
      </w:r>
    </w:p>
    <w:p>
      <w:pPr>
        <w:pStyle w:val="CodeBlock"/>
        <w:spacing w:after="80" w:line="252" w:lineRule="auto"/>
      </w:pPr>
      <w:r>
        <w:t>service_id: AIRA-SVC-EXAMPLE</w:t>
      </w:r>
    </w:p>
    <w:p>
      <w:pPr>
        <w:pStyle w:val="CodeBlock"/>
        <w:spacing w:after="80" w:line="252" w:lineRule="auto"/>
      </w:pPr>
      <w:r>
        <w:t>service_name: Example Service</w:t>
      </w:r>
    </w:p>
    <w:p>
      <w:pPr>
        <w:pStyle w:val="CodeBlock"/>
        <w:spacing w:after="80" w:line="252" w:lineRule="auto"/>
      </w:pPr>
      <w:r>
        <w:t>criticality_tier: Tier 1 - Business Critical</w:t>
      </w:r>
    </w:p>
    <w:p>
      <w:pPr>
        <w:pStyle w:val="CodeBlock"/>
        <w:spacing w:after="80" w:line="252" w:lineRule="auto"/>
      </w:pPr>
      <w:r>
        <w:t>business_capability: &lt;capability&gt;</w:t>
      </w:r>
    </w:p>
    <w:p>
      <w:pPr>
        <w:pStyle w:val="CodeBlock"/>
        <w:spacing w:after="80" w:line="252" w:lineRule="auto"/>
      </w:pPr>
      <w:r>
        <w:t>owner: &lt;named owner&gt;</w:t>
      </w:r>
    </w:p>
    <w:p>
      <w:pPr>
        <w:pStyle w:val="CodeBlock"/>
        <w:spacing w:after="80" w:line="252" w:lineRule="auto"/>
      </w:pPr>
      <w:r>
        <w:t>backup_owner: &lt;named backup&gt;</w:t>
      </w:r>
    </w:p>
    <w:p>
      <w:pPr>
        <w:pStyle w:val="CodeBlock"/>
        <w:spacing w:after="80" w:line="252" w:lineRule="auto"/>
      </w:pPr>
      <w:r>
        <w:t>support_group: Zammad / AIRA / &lt;group&gt;</w:t>
      </w:r>
    </w:p>
    <w:p>
      <w:pPr>
        <w:pStyle w:val="CodeBlock"/>
        <w:spacing w:after="80" w:line="252" w:lineRule="auto"/>
      </w:pPr>
      <w:r>
        <w:t>environment_scope: [DEV, INT, UAT, STG, PROD]</w:t>
      </w:r>
    </w:p>
    <w:p>
      <w:pPr>
        <w:pStyle w:val="CodeBlock"/>
        <w:spacing w:after="80" w:line="252" w:lineRule="auto"/>
      </w:pPr>
      <w:r>
        <w:t>dependencies: [PostgreSQL, Kafka, Vault, Keycloak]</w:t>
      </w:r>
    </w:p>
    <w:p>
      <w:pPr>
        <w:pStyle w:val="CodeBlock"/>
        <w:spacing w:after="80" w:line="252" w:lineRule="auto"/>
      </w:pPr>
      <w:r>
        <w:t>slo_profile: &lt;SLO-ID&gt;</w:t>
      </w:r>
    </w:p>
    <w:p>
      <w:pPr>
        <w:pStyle w:val="CodeBlock"/>
        <w:spacing w:after="80" w:line="252" w:lineRule="auto"/>
      </w:pPr>
      <w:r>
        <w:t>monitoring_dashboard: &lt;Grafana/SigNoz/Sentry/Wazuh path&gt;</w:t>
      </w:r>
    </w:p>
    <w:p>
      <w:pPr>
        <w:pStyle w:val="CodeBlock"/>
        <w:spacing w:after="80" w:line="252" w:lineRule="auto"/>
      </w:pPr>
      <w:r>
        <w:t>runbook_path: OpenKM Tier-0 / AIRA / Runbooks / &lt;service&gt;</w:t>
      </w:r>
    </w:p>
    <w:p>
      <w:pPr>
        <w:pStyle w:val="CodeBlock"/>
        <w:spacing w:after="80" w:line="252" w:lineRule="auto"/>
      </w:pPr>
      <w:r>
        <w:t>evidence_path: OpenKM Tier-0 / AIRA / Evidence / Operations / &lt;service&gt;</w:t>
      </w:r>
    </w:p>
    <w:p>
      <w:pPr>
        <w:pStyle w:val="CodeBlock"/>
        <w:spacing w:after="80" w:line="252" w:lineRule="auto"/>
      </w:pPr>
      <w:r>
        <w:t>classification: Internal | Confidential | Restricted</w:t>
      </w:r>
    </w:p>
    <w:p>
      <w:pPr>
        <w:pStyle w:val="CodeBlock"/>
        <w:spacing w:after="80" w:line="252" w:lineRule="auto"/>
      </w:pPr>
      <w:r>
        <w:t>last_reviewed_at: YYYY-MM-DD</w:t>
      </w:r>
    </w:p>
    <w:p>
      <w:pPr>
        <w:pStyle w:val="CodeBlock"/>
        <w:spacing w:after="80" w:line="252" w:lineRule="auto"/>
      </w:pPr>
      <w:r>
        <w:t>next_review_due: YYYY-MM-DD</w:t>
      </w:r>
    </w:p>
    <w:p>
      <w:pPr>
        <w:pStyle w:val="Heading1"/>
        <w:spacing w:after="80" w:line="252" w:lineRule="auto"/>
      </w:pPr>
      <w:r>
        <w:t>Appendix B. Incident Record Minimum Fields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448"/>
            <w:vAlign w:val="top"/>
            <w:shd w:fill="1F4E79"/>
            <w:tcMar>
              <w:top w:w="80" w:type="dxa"/>
              <w:left w:w="80" w:type="dxa"/>
              <w:bottom w:w="80" w:type="dxa"/>
              <w:right w:w="80" w:type="dxa"/>
            </w:tcMar>
          </w:tcPr>
          <w:p>
            <w:pPr>
              <w:jc w:val="left"/>
            </w:pPr>
            <w:r>
              <w:rPr>
                <w:b/>
                <w:color w:val="FFFFFF"/>
                <w:sz w:val="16"/>
              </w:rPr>
            </w:r>
            <w:r>
              <w:rPr>
                <w:b/>
                <w:color w:val="FFFFFF"/>
                <w:sz w:val="16"/>
              </w:rPr>
              <w:t>Field</w:t>
            </w:r>
          </w:p>
        </w:tc>
        <w:tc>
          <w:tcPr>
            <w:tcW w:type="dxa" w:w="8064"/>
            <w:vAlign w:val="top"/>
            <w:shd w:fill="1F4E79"/>
            <w:tcMar>
              <w:top w:w="80" w:type="dxa"/>
              <w:left w:w="80" w:type="dxa"/>
              <w:bottom w:w="80" w:type="dxa"/>
              <w:right w:w="80" w:type="dxa"/>
            </w:tcMar>
          </w:tcPr>
          <w:p>
            <w:pPr>
              <w:jc w:val="left"/>
            </w:pPr>
            <w:r>
              <w:rPr>
                <w:b/>
                <w:color w:val="FFFFFF"/>
                <w:sz w:val="16"/>
              </w:rPr>
            </w:r>
            <w:r>
              <w:rPr>
                <w:b/>
                <w:color w:val="FFFFFF"/>
                <w:sz w:val="16"/>
              </w:rPr>
              <w:t>Requirement</w:t>
            </w:r>
          </w:p>
        </w:tc>
      </w:tr>
      <w:tr>
        <w:tc>
          <w:tcPr>
            <w:tcW w:type="dxa" w:w="2448"/>
            <w:vAlign w:val="top"/>
            <w:tcMar>
              <w:top w:w="80" w:type="dxa"/>
              <w:left w:w="80" w:type="dxa"/>
              <w:bottom w:w="80" w:type="dxa"/>
              <w:right w:w="80" w:type="dxa"/>
            </w:tcMar>
          </w:tcPr>
          <w:p>
            <w:pPr>
              <w:jc w:val="left"/>
            </w:pPr>
            <w:r>
              <w:rPr>
                <w:sz w:val="16"/>
              </w:rPr>
            </w:r>
            <w:r>
              <w:rPr>
                <w:b w:val="0"/>
                <w:sz w:val="16"/>
              </w:rPr>
              <w:t>ticket_id</w:t>
            </w:r>
          </w:p>
        </w:tc>
        <w:tc>
          <w:tcPr>
            <w:tcW w:type="dxa" w:w="8064"/>
            <w:vAlign w:val="top"/>
            <w:tcMar>
              <w:top w:w="80" w:type="dxa"/>
              <w:left w:w="80" w:type="dxa"/>
              <w:bottom w:w="80" w:type="dxa"/>
              <w:right w:w="80" w:type="dxa"/>
            </w:tcMar>
          </w:tcPr>
          <w:p>
            <w:pPr>
              <w:jc w:val="left"/>
            </w:pPr>
            <w:r>
              <w:rPr>
                <w:sz w:val="16"/>
              </w:rPr>
            </w:r>
            <w:r>
              <w:rPr>
                <w:b w:val="0"/>
                <w:sz w:val="16"/>
              </w:rPr>
              <w:t>Zammad ticket ID.</w:t>
            </w:r>
          </w:p>
        </w:tc>
      </w:tr>
      <w:tr>
        <w:tc>
          <w:tcPr>
            <w:tcW w:type="dxa" w:w="2448"/>
            <w:vAlign w:val="top"/>
            <w:tcMar>
              <w:top w:w="80" w:type="dxa"/>
              <w:left w:w="80" w:type="dxa"/>
              <w:bottom w:w="80" w:type="dxa"/>
              <w:right w:w="80" w:type="dxa"/>
            </w:tcMar>
          </w:tcPr>
          <w:p>
            <w:pPr>
              <w:jc w:val="left"/>
            </w:pPr>
            <w:r>
              <w:rPr>
                <w:sz w:val="16"/>
              </w:rPr>
            </w:r>
            <w:r>
              <w:rPr>
                <w:b w:val="0"/>
                <w:sz w:val="16"/>
              </w:rPr>
              <w:t>incident_type</w:t>
            </w:r>
          </w:p>
        </w:tc>
        <w:tc>
          <w:tcPr>
            <w:tcW w:type="dxa" w:w="8064"/>
            <w:vAlign w:val="top"/>
            <w:tcMar>
              <w:top w:w="80" w:type="dxa"/>
              <w:left w:w="80" w:type="dxa"/>
              <w:bottom w:w="80" w:type="dxa"/>
              <w:right w:w="80" w:type="dxa"/>
            </w:tcMar>
          </w:tcPr>
          <w:p>
            <w:pPr>
              <w:jc w:val="left"/>
            </w:pPr>
            <w:r>
              <w:rPr>
                <w:sz w:val="16"/>
              </w:rPr>
            </w:r>
            <w:r>
              <w:rPr>
                <w:b w:val="0"/>
                <w:sz w:val="16"/>
              </w:rPr>
              <w:t>Incident, major incident, security-linked incident, service request misroute, etc.</w:t>
            </w:r>
          </w:p>
        </w:tc>
      </w:tr>
      <w:tr>
        <w:tc>
          <w:tcPr>
            <w:tcW w:type="dxa" w:w="2448"/>
            <w:vAlign w:val="top"/>
            <w:tcMar>
              <w:top w:w="80" w:type="dxa"/>
              <w:left w:w="80" w:type="dxa"/>
              <w:bottom w:w="80" w:type="dxa"/>
              <w:right w:w="80" w:type="dxa"/>
            </w:tcMar>
          </w:tcPr>
          <w:p>
            <w:pPr>
              <w:jc w:val="left"/>
            </w:pPr>
            <w:r>
              <w:rPr>
                <w:sz w:val="16"/>
              </w:rPr>
            </w:r>
            <w:r>
              <w:rPr>
                <w:b w:val="0"/>
                <w:sz w:val="16"/>
              </w:rPr>
              <w:t>severity</w:t>
            </w:r>
          </w:p>
        </w:tc>
        <w:tc>
          <w:tcPr>
            <w:tcW w:type="dxa" w:w="8064"/>
            <w:vAlign w:val="top"/>
            <w:tcMar>
              <w:top w:w="80" w:type="dxa"/>
              <w:left w:w="80" w:type="dxa"/>
              <w:bottom w:w="80" w:type="dxa"/>
              <w:right w:w="80" w:type="dxa"/>
            </w:tcMar>
          </w:tcPr>
          <w:p>
            <w:pPr>
              <w:jc w:val="left"/>
            </w:pPr>
            <w:r>
              <w:rPr>
                <w:sz w:val="16"/>
              </w:rPr>
            </w:r>
            <w:r>
              <w:rPr>
                <w:b w:val="0"/>
                <w:sz w:val="16"/>
              </w:rPr>
              <w:t>Sev-1 to Sev-4 with impact/urgency basis.</w:t>
            </w:r>
          </w:p>
        </w:tc>
      </w:tr>
      <w:tr>
        <w:tc>
          <w:tcPr>
            <w:tcW w:type="dxa" w:w="2448"/>
            <w:vAlign w:val="top"/>
            <w:tcMar>
              <w:top w:w="80" w:type="dxa"/>
              <w:left w:w="80" w:type="dxa"/>
              <w:bottom w:w="80" w:type="dxa"/>
              <w:right w:w="80" w:type="dxa"/>
            </w:tcMar>
          </w:tcPr>
          <w:p>
            <w:pPr>
              <w:jc w:val="left"/>
            </w:pPr>
            <w:r>
              <w:rPr>
                <w:sz w:val="16"/>
              </w:rPr>
            </w:r>
            <w:r>
              <w:rPr>
                <w:b w:val="0"/>
                <w:sz w:val="16"/>
              </w:rPr>
              <w:t>service_id</w:t>
            </w:r>
          </w:p>
        </w:tc>
        <w:tc>
          <w:tcPr>
            <w:tcW w:type="dxa" w:w="8064"/>
            <w:vAlign w:val="top"/>
            <w:tcMar>
              <w:top w:w="80" w:type="dxa"/>
              <w:left w:w="80" w:type="dxa"/>
              <w:bottom w:w="80" w:type="dxa"/>
              <w:right w:w="80" w:type="dxa"/>
            </w:tcMar>
          </w:tcPr>
          <w:p>
            <w:pPr>
              <w:jc w:val="left"/>
            </w:pPr>
            <w:r>
              <w:rPr>
                <w:sz w:val="16"/>
              </w:rPr>
            </w:r>
            <w:r>
              <w:rPr>
                <w:b w:val="0"/>
                <w:sz w:val="16"/>
              </w:rPr>
              <w:t>Affected service catalog entry.</w:t>
            </w:r>
          </w:p>
        </w:tc>
      </w:tr>
      <w:tr>
        <w:tc>
          <w:tcPr>
            <w:tcW w:type="dxa" w:w="2448"/>
            <w:vAlign w:val="top"/>
            <w:tcMar>
              <w:top w:w="80" w:type="dxa"/>
              <w:left w:w="80" w:type="dxa"/>
              <w:bottom w:w="80" w:type="dxa"/>
              <w:right w:w="80" w:type="dxa"/>
            </w:tcMar>
          </w:tcPr>
          <w:p>
            <w:pPr>
              <w:jc w:val="left"/>
            </w:pPr>
            <w:r>
              <w:rPr>
                <w:sz w:val="16"/>
              </w:rPr>
            </w:r>
            <w:r>
              <w:rPr>
                <w:b w:val="0"/>
                <w:sz w:val="16"/>
              </w:rPr>
              <w:t>environment</w:t>
            </w:r>
          </w:p>
        </w:tc>
        <w:tc>
          <w:tcPr>
            <w:tcW w:type="dxa" w:w="8064"/>
            <w:vAlign w:val="top"/>
            <w:tcMar>
              <w:top w:w="80" w:type="dxa"/>
              <w:left w:w="80" w:type="dxa"/>
              <w:bottom w:w="80" w:type="dxa"/>
              <w:right w:w="80" w:type="dxa"/>
            </w:tcMar>
          </w:tcPr>
          <w:p>
            <w:pPr>
              <w:jc w:val="left"/>
            </w:pPr>
            <w:r>
              <w:rPr>
                <w:sz w:val="16"/>
              </w:rPr>
            </w:r>
            <w:r>
              <w:rPr>
                <w:b w:val="0"/>
                <w:sz w:val="16"/>
              </w:rPr>
              <w:t>DEV/INT/UAT/STG/PROD/DR.</w:t>
            </w:r>
          </w:p>
        </w:tc>
      </w:tr>
      <w:tr>
        <w:tc>
          <w:tcPr>
            <w:tcW w:type="dxa" w:w="2448"/>
            <w:vAlign w:val="top"/>
            <w:tcMar>
              <w:top w:w="80" w:type="dxa"/>
              <w:left w:w="80" w:type="dxa"/>
              <w:bottom w:w="80" w:type="dxa"/>
              <w:right w:w="80" w:type="dxa"/>
            </w:tcMar>
          </w:tcPr>
          <w:p>
            <w:pPr>
              <w:jc w:val="left"/>
            </w:pPr>
            <w:r>
              <w:rPr>
                <w:sz w:val="16"/>
              </w:rPr>
            </w:r>
            <w:r>
              <w:rPr>
                <w:b w:val="0"/>
                <w:sz w:val="16"/>
              </w:rPr>
              <w:t>classification</w:t>
            </w:r>
          </w:p>
        </w:tc>
        <w:tc>
          <w:tcPr>
            <w:tcW w:type="dxa" w:w="8064"/>
            <w:vAlign w:val="top"/>
            <w:tcMar>
              <w:top w:w="80" w:type="dxa"/>
              <w:left w:w="80" w:type="dxa"/>
              <w:bottom w:w="80" w:type="dxa"/>
              <w:right w:w="80" w:type="dxa"/>
            </w:tcMar>
          </w:tcPr>
          <w:p>
            <w:pPr>
              <w:jc w:val="left"/>
            </w:pPr>
            <w:r>
              <w:rPr>
                <w:sz w:val="16"/>
              </w:rPr>
            </w:r>
            <w:r>
              <w:rPr>
                <w:b w:val="0"/>
                <w:sz w:val="16"/>
              </w:rPr>
              <w:t>Data and evidence handling classification.</w:t>
            </w:r>
          </w:p>
        </w:tc>
      </w:tr>
      <w:tr>
        <w:tc>
          <w:tcPr>
            <w:tcW w:type="dxa" w:w="2448"/>
            <w:vAlign w:val="top"/>
            <w:tcMar>
              <w:top w:w="80" w:type="dxa"/>
              <w:left w:w="80" w:type="dxa"/>
              <w:bottom w:w="80" w:type="dxa"/>
              <w:right w:w="80" w:type="dxa"/>
            </w:tcMar>
          </w:tcPr>
          <w:p>
            <w:pPr>
              <w:jc w:val="left"/>
            </w:pPr>
            <w:r>
              <w:rPr>
                <w:sz w:val="16"/>
              </w:rPr>
            </w:r>
            <w:r>
              <w:rPr>
                <w:b w:val="0"/>
                <w:sz w:val="16"/>
              </w:rPr>
              <w:t>timeline</w:t>
            </w:r>
          </w:p>
        </w:tc>
        <w:tc>
          <w:tcPr>
            <w:tcW w:type="dxa" w:w="8064"/>
            <w:vAlign w:val="top"/>
            <w:tcMar>
              <w:top w:w="80" w:type="dxa"/>
              <w:left w:w="80" w:type="dxa"/>
              <w:bottom w:w="80" w:type="dxa"/>
              <w:right w:w="80" w:type="dxa"/>
            </w:tcMar>
          </w:tcPr>
          <w:p>
            <w:pPr>
              <w:jc w:val="left"/>
            </w:pPr>
            <w:r>
              <w:rPr>
                <w:sz w:val="16"/>
              </w:rPr>
            </w:r>
            <w:r>
              <w:rPr>
                <w:b w:val="0"/>
                <w:sz w:val="16"/>
              </w:rPr>
              <w:t>Detection, assignment, mitigation, recovery, validation, closure.</w:t>
            </w:r>
          </w:p>
        </w:tc>
      </w:tr>
      <w:tr>
        <w:tc>
          <w:tcPr>
            <w:tcW w:type="dxa" w:w="2448"/>
            <w:vAlign w:val="top"/>
            <w:tcMar>
              <w:top w:w="80" w:type="dxa"/>
              <w:left w:w="80" w:type="dxa"/>
              <w:bottom w:w="80" w:type="dxa"/>
              <w:right w:w="80" w:type="dxa"/>
            </w:tcMar>
          </w:tcPr>
          <w:p>
            <w:pPr>
              <w:jc w:val="left"/>
            </w:pPr>
            <w:r>
              <w:rPr>
                <w:sz w:val="16"/>
              </w:rPr>
            </w:r>
            <w:r>
              <w:rPr>
                <w:b w:val="0"/>
                <w:sz w:val="16"/>
              </w:rPr>
              <w:t>evidence_refs</w:t>
            </w:r>
          </w:p>
        </w:tc>
        <w:tc>
          <w:tcPr>
            <w:tcW w:type="dxa" w:w="8064"/>
            <w:vAlign w:val="top"/>
            <w:tcMar>
              <w:top w:w="80" w:type="dxa"/>
              <w:left w:w="80" w:type="dxa"/>
              <w:bottom w:w="80" w:type="dxa"/>
              <w:right w:w="80" w:type="dxa"/>
            </w:tcMar>
          </w:tcPr>
          <w:p>
            <w:pPr>
              <w:jc w:val="left"/>
            </w:pPr>
            <w:r>
              <w:rPr>
                <w:sz w:val="16"/>
              </w:rPr>
            </w:r>
            <w:r>
              <w:rPr>
                <w:b w:val="0"/>
                <w:sz w:val="16"/>
              </w:rPr>
              <w:t>Trace IDs, dashboards, logs, Wazuh/TheHive/Cortex, CI/CD, change, runbook, screenshots.</w:t>
            </w:r>
          </w:p>
        </w:tc>
      </w:tr>
      <w:tr>
        <w:tc>
          <w:tcPr>
            <w:tcW w:type="dxa" w:w="2448"/>
            <w:vAlign w:val="top"/>
            <w:tcMar>
              <w:top w:w="80" w:type="dxa"/>
              <w:left w:w="80" w:type="dxa"/>
              <w:bottom w:w="80" w:type="dxa"/>
              <w:right w:w="80" w:type="dxa"/>
            </w:tcMar>
          </w:tcPr>
          <w:p>
            <w:pPr>
              <w:jc w:val="left"/>
            </w:pPr>
            <w:r>
              <w:rPr>
                <w:sz w:val="16"/>
              </w:rPr>
            </w:r>
            <w:r>
              <w:rPr>
                <w:b w:val="0"/>
                <w:sz w:val="16"/>
              </w:rPr>
              <w:t>closure_validation</w:t>
            </w:r>
          </w:p>
        </w:tc>
        <w:tc>
          <w:tcPr>
            <w:tcW w:type="dxa" w:w="8064"/>
            <w:vAlign w:val="top"/>
            <w:tcMar>
              <w:top w:w="80" w:type="dxa"/>
              <w:left w:w="80" w:type="dxa"/>
              <w:bottom w:w="80" w:type="dxa"/>
              <w:right w:w="80" w:type="dxa"/>
            </w:tcMar>
          </w:tcPr>
          <w:p>
            <w:pPr>
              <w:jc w:val="left"/>
            </w:pPr>
            <w:r>
              <w:rPr>
                <w:sz w:val="16"/>
              </w:rPr>
            </w:r>
            <w:r>
              <w:rPr>
                <w:b w:val="0"/>
                <w:sz w:val="16"/>
              </w:rPr>
              <w:t>Technical validation, business validation if required, and owner sign-off.</w:t>
            </w:r>
          </w:p>
        </w:tc>
      </w:tr>
    </w:tbl>
    <w:p>
      <w:pPr>
        <w:pStyle w:val="Heading1"/>
        <w:spacing w:after="80" w:line="252" w:lineRule="auto"/>
      </w:pPr>
      <w:r>
        <w:t>Appendix C. SLO Profile Template</w:t>
      </w:r>
    </w:p>
    <w:p>
      <w:pPr>
        <w:pStyle w:val="CodeBlock"/>
        <w:spacing w:after="80" w:line="252" w:lineRule="auto"/>
      </w:pPr>
      <w:r>
        <w:t>slo_id: SLO-AIRA-EXAMPLE-001</w:t>
      </w:r>
    </w:p>
    <w:p>
      <w:pPr>
        <w:pStyle w:val="CodeBlock"/>
        <w:spacing w:after="80" w:line="252" w:lineRule="auto"/>
      </w:pPr>
      <w:r>
        <w:t>service_id: AIRA-SVC-EXAMPLE</w:t>
      </w:r>
    </w:p>
    <w:p>
      <w:pPr>
        <w:pStyle w:val="CodeBlock"/>
        <w:spacing w:after="80" w:line="252" w:lineRule="auto"/>
      </w:pPr>
      <w:r>
        <w:t>slo_name: Example API Availability</w:t>
      </w:r>
    </w:p>
    <w:p>
      <w:pPr>
        <w:pStyle w:val="CodeBlock"/>
        <w:spacing w:after="80" w:line="252" w:lineRule="auto"/>
      </w:pPr>
      <w:r>
        <w:t>criticality_tier: Tier 1</w:t>
      </w:r>
    </w:p>
    <w:p>
      <w:pPr>
        <w:pStyle w:val="CodeBlock"/>
        <w:spacing w:after="80" w:line="252" w:lineRule="auto"/>
      </w:pPr>
      <w:r>
        <w:t>sli_definition: successful_requests / total_requests excluding approved maintenance</w:t>
      </w:r>
    </w:p>
    <w:p>
      <w:pPr>
        <w:pStyle w:val="CodeBlock"/>
        <w:spacing w:after="80" w:line="252" w:lineRule="auto"/>
      </w:pPr>
      <w:r>
        <w:t>objective: 99.5% monthly</w:t>
      </w:r>
    </w:p>
    <w:p>
      <w:pPr>
        <w:pStyle w:val="CodeBlock"/>
        <w:spacing w:after="80" w:line="252" w:lineRule="auto"/>
      </w:pPr>
      <w:r>
        <w:t>measurement_source: Prometheus / Grafana dashboard &lt;link&gt;</w:t>
      </w:r>
    </w:p>
    <w:p>
      <w:pPr>
        <w:pStyle w:val="CodeBlock"/>
        <w:spacing w:after="80" w:line="252" w:lineRule="auto"/>
      </w:pPr>
      <w:r>
        <w:t>alert_thresholds:</w:t>
      </w:r>
    </w:p>
    <w:p>
      <w:pPr>
        <w:pStyle w:val="CodeBlock"/>
        <w:spacing w:after="80" w:line="252" w:lineRule="auto"/>
      </w:pPr>
      <w:r>
        <w:t xml:space="preserve">  warning: error_budget_burn_rate &gt; 2x</w:t>
      </w:r>
    </w:p>
    <w:p>
      <w:pPr>
        <w:pStyle w:val="CodeBlock"/>
        <w:spacing w:after="80" w:line="252" w:lineRule="auto"/>
      </w:pPr>
      <w:r>
        <w:t xml:space="preserve">  critical: error_budget_burn_rate &gt; 5x</w:t>
      </w:r>
    </w:p>
    <w:p>
      <w:pPr>
        <w:pStyle w:val="CodeBlock"/>
        <w:spacing w:after="80" w:line="252" w:lineRule="auto"/>
      </w:pPr>
      <w:r>
        <w:t>owner: SRE Lead</w:t>
      </w:r>
    </w:p>
    <w:p>
      <w:pPr>
        <w:pStyle w:val="CodeBlock"/>
        <w:spacing w:after="80" w:line="252" w:lineRule="auto"/>
      </w:pPr>
      <w:r>
        <w:t>business_owner: &lt;owner&gt;</w:t>
      </w:r>
    </w:p>
    <w:p>
      <w:pPr>
        <w:pStyle w:val="CodeBlock"/>
        <w:spacing w:after="80" w:line="252" w:lineRule="auto"/>
      </w:pPr>
      <w:r>
        <w:t>review_cadence: monthly</w:t>
      </w:r>
    </w:p>
    <w:p>
      <w:pPr>
        <w:pStyle w:val="CodeBlock"/>
        <w:spacing w:after="80" w:line="252" w:lineRule="auto"/>
      </w:pPr>
      <w:r>
        <w:t>linked_runbooks: [RB-AIRA-EXAMPLE-001]</w:t>
      </w:r>
    </w:p>
    <w:p>
      <w:pPr>
        <w:pStyle w:val="CodeBlock"/>
        <w:spacing w:after="80" w:line="252" w:lineRule="auto"/>
      </w:pPr>
      <w:r>
        <w:t>status: draft | active | retired</w:t>
      </w:r>
    </w:p>
    <w:p>
      <w:pPr>
        <w:pStyle w:val="Heading1"/>
        <w:spacing w:after="80" w:line="252" w:lineRule="auto"/>
      </w:pPr>
      <w:r>
        <w:t>Appendix D. Copy-Ready Mermaid References</w:t>
      </w:r>
    </w:p>
    <w:p>
      <w:pPr>
        <w:pStyle w:val="Heading2"/>
        <w:spacing w:after="80" w:line="252" w:lineRule="auto"/>
      </w:pPr>
      <w:r>
        <w:t>D.1 Production Operations Lifecycle</w:t>
      </w:r>
    </w:p>
    <w:p>
      <w:pPr>
        <w:pStyle w:val="CodeBlock"/>
        <w:spacing w:after="80" w:line="252" w:lineRule="auto"/>
      </w:pPr>
      <w:r>
        <w:t>flowchart LR</w:t>
      </w:r>
    </w:p>
    <w:p>
      <w:pPr>
        <w:pStyle w:val="CodeBlock"/>
        <w:spacing w:after="80" w:line="252" w:lineRule="auto"/>
      </w:pPr>
      <w:r>
        <w:t xml:space="preserve">    A[Detect Signal] --&gt; B[Create or Update Zammad Ticket]</w:t>
      </w:r>
    </w:p>
    <w:p>
      <w:pPr>
        <w:pStyle w:val="CodeBlock"/>
        <w:spacing w:after="80" w:line="252" w:lineRule="auto"/>
      </w:pPr>
      <w:r>
        <w:t xml:space="preserve">    B --&gt; C[Triage Severity, Service, Owner]</w:t>
      </w:r>
    </w:p>
    <w:p>
      <w:pPr>
        <w:pStyle w:val="CodeBlock"/>
        <w:spacing w:after="80" w:line="252" w:lineRule="auto"/>
      </w:pPr>
      <w:r>
        <w:t xml:space="preserve">    C --&gt; D[Runbook-Guided Response]</w:t>
      </w:r>
    </w:p>
    <w:p>
      <w:pPr>
        <w:pStyle w:val="CodeBlock"/>
        <w:spacing w:after="80" w:line="252" w:lineRule="auto"/>
      </w:pPr>
      <w:r>
        <w:t xml:space="preserve">    D --&gt; E[Recover and Validate]</w:t>
      </w:r>
    </w:p>
    <w:p>
      <w:pPr>
        <w:pStyle w:val="CodeBlock"/>
        <w:spacing w:after="80" w:line="252" w:lineRule="auto"/>
      </w:pPr>
      <w:r>
        <w:t xml:space="preserve">    E --&gt; F[Close Incident with Evidence]</w:t>
      </w:r>
    </w:p>
    <w:p>
      <w:pPr>
        <w:pStyle w:val="CodeBlock"/>
        <w:spacing w:after="80" w:line="252" w:lineRule="auto"/>
      </w:pPr>
      <w:r>
        <w:t xml:space="preserve">    F --&gt; G[Problem / RCA / Improvement Backlog]</w:t>
      </w:r>
    </w:p>
    <w:p>
      <w:pPr>
        <w:pStyle w:val="Heading2"/>
        <w:spacing w:after="80" w:line="252" w:lineRule="auto"/>
      </w:pPr>
      <w:r>
        <w:t>D.2 Security Operations Flow</w:t>
      </w:r>
    </w:p>
    <w:p>
      <w:pPr>
        <w:pStyle w:val="CodeBlock"/>
        <w:spacing w:after="80" w:line="252" w:lineRule="auto"/>
      </w:pPr>
      <w:r>
        <w:t>flowchart LR</w:t>
      </w:r>
    </w:p>
    <w:p>
      <w:pPr>
        <w:pStyle w:val="CodeBlock"/>
        <w:spacing w:after="80" w:line="252" w:lineRule="auto"/>
      </w:pPr>
      <w:r>
        <w:t xml:space="preserve">    A[Wazuh Alert] --&gt; B[Security Triage]</w:t>
      </w:r>
    </w:p>
    <w:p>
      <w:pPr>
        <w:pStyle w:val="CodeBlock"/>
        <w:spacing w:after="80" w:line="252" w:lineRule="auto"/>
      </w:pPr>
      <w:r>
        <w:t xml:space="preserve">    B --&gt; C{Service Impact?}</w:t>
      </w:r>
    </w:p>
    <w:p>
      <w:pPr>
        <w:pStyle w:val="CodeBlock"/>
        <w:spacing w:after="80" w:line="252" w:lineRule="auto"/>
      </w:pPr>
      <w:r>
        <w:t xml:space="preserve">    C --&gt;|Yes| D[Zammad Incident]</w:t>
      </w:r>
    </w:p>
    <w:p>
      <w:pPr>
        <w:pStyle w:val="CodeBlock"/>
        <w:spacing w:after="80" w:line="252" w:lineRule="auto"/>
      </w:pPr>
      <w:r>
        <w:t xml:space="preserve">    C --&gt;|Security Case| E[TheHive Case]</w:t>
      </w:r>
    </w:p>
    <w:p>
      <w:pPr>
        <w:pStyle w:val="CodeBlock"/>
        <w:spacing w:after="80" w:line="252" w:lineRule="auto"/>
      </w:pPr>
      <w:r>
        <w:t xml:space="preserve">    E --&gt; F[Cortex Analyzer / Responder]</w:t>
      </w:r>
    </w:p>
    <w:p>
      <w:pPr>
        <w:pStyle w:val="CodeBlock"/>
        <w:spacing w:after="80" w:line="252" w:lineRule="auto"/>
      </w:pPr>
      <w:r>
        <w:t xml:space="preserve">    D --&gt; G[Evidence Pack]</w:t>
      </w:r>
    </w:p>
    <w:p>
      <w:pPr>
        <w:pStyle w:val="CodeBlock"/>
        <w:spacing w:after="80" w:line="252" w:lineRule="auto"/>
      </w:pPr>
      <w:r>
        <w:t xml:space="preserve">    F --&gt; G</w:t>
      </w:r>
    </w:p>
    <w:p>
      <w:pPr>
        <w:pStyle w:val="CodeBlock"/>
        <w:spacing w:after="80" w:line="252" w:lineRule="auto"/>
      </w:pPr>
      <w:r>
        <w:t xml:space="preserve">    G --&gt; H[RCA / Improvement]</w:t>
      </w:r>
    </w:p>
    <w:p>
      <w:pPr>
        <w:pStyle w:val="Heading2"/>
        <w:spacing w:after="80" w:line="252" w:lineRule="auto"/>
      </w:pPr>
      <w:r>
        <w:t>D.3 SLO Review Flow</w:t>
      </w:r>
    </w:p>
    <w:p>
      <w:pPr>
        <w:pStyle w:val="CodeBlock"/>
        <w:spacing w:after="80" w:line="252" w:lineRule="auto"/>
      </w:pPr>
      <w:r>
        <w:t>flowchart LR</w:t>
      </w:r>
    </w:p>
    <w:p>
      <w:pPr>
        <w:pStyle w:val="CodeBlock"/>
        <w:spacing w:after="80" w:line="252" w:lineRule="auto"/>
      </w:pPr>
      <w:r>
        <w:t xml:space="preserve">    A[Telemetry Signals] --&gt; B[SLI Calculation]</w:t>
      </w:r>
    </w:p>
    <w:p>
      <w:pPr>
        <w:pStyle w:val="CodeBlock"/>
        <w:spacing w:after="80" w:line="252" w:lineRule="auto"/>
      </w:pPr>
      <w:r>
        <w:t xml:space="preserve">    B --&gt; C{SLO Met?}</w:t>
      </w:r>
    </w:p>
    <w:p>
      <w:pPr>
        <w:pStyle w:val="CodeBlock"/>
        <w:spacing w:after="80" w:line="252" w:lineRule="auto"/>
      </w:pPr>
      <w:r>
        <w:t xml:space="preserve">    C --&gt;|Yes| D[Monthly Service Review]</w:t>
      </w:r>
    </w:p>
    <w:p>
      <w:pPr>
        <w:pStyle w:val="CodeBlock"/>
        <w:spacing w:after="80" w:line="252" w:lineRule="auto"/>
      </w:pPr>
      <w:r>
        <w:t xml:space="preserve">    C --&gt;|No| E[Error Budget Action]</w:t>
      </w:r>
    </w:p>
    <w:p>
      <w:pPr>
        <w:pStyle w:val="CodeBlock"/>
        <w:spacing w:after="80" w:line="252" w:lineRule="auto"/>
      </w:pPr>
      <w:r>
        <w:t xml:space="preserve">    E --&gt; F[Problem Record / Reliability Backlog]</w:t>
      </w:r>
    </w:p>
    <w:p>
      <w:pPr>
        <w:pStyle w:val="CodeBlock"/>
        <w:spacing w:after="80" w:line="252" w:lineRule="auto"/>
      </w:pPr>
      <w:r>
        <w:t xml:space="preserve">    F --&gt; G[CAB or Sprint Planning]</w:t>
      </w:r>
    </w:p>
    <w:p>
      <w:pPr>
        <w:pStyle w:val="Heading1"/>
        <w:spacing w:after="80" w:line="252" w:lineRule="auto"/>
      </w:pPr>
      <w:r>
        <w:t>Appendix E. AVCI Compliance Summary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304"/>
            <w:vAlign w:val="top"/>
            <w:shd w:fill="1F4E79"/>
            <w:tcMar>
              <w:top w:w="80" w:type="dxa"/>
              <w:left w:w="80" w:type="dxa"/>
              <w:bottom w:w="80" w:type="dxa"/>
              <w:right w:w="80" w:type="dxa"/>
            </w:tcMar>
          </w:tcPr>
          <w:p>
            <w:pPr>
              <w:jc w:val="left"/>
            </w:pPr>
            <w:r>
              <w:rPr>
                <w:b/>
                <w:color w:val="FFFFFF"/>
                <w:sz w:val="16"/>
              </w:rPr>
            </w:r>
            <w:r>
              <w:rPr>
                <w:b/>
                <w:color w:val="FFFFFF"/>
                <w:sz w:val="16"/>
              </w:rPr>
              <w:t>AVCI Property</w:t>
            </w:r>
          </w:p>
        </w:tc>
        <w:tc>
          <w:tcPr>
            <w:tcW w:type="dxa" w:w="8208"/>
            <w:vAlign w:val="top"/>
            <w:shd w:fill="1F4E79"/>
            <w:tcMar>
              <w:top w:w="80" w:type="dxa"/>
              <w:left w:w="80" w:type="dxa"/>
              <w:bottom w:w="80" w:type="dxa"/>
              <w:right w:w="80" w:type="dxa"/>
            </w:tcMar>
          </w:tcPr>
          <w:p>
            <w:pPr>
              <w:jc w:val="left"/>
            </w:pPr>
            <w:r>
              <w:rPr>
                <w:b/>
                <w:color w:val="FFFFFF"/>
                <w:sz w:val="16"/>
              </w:rPr>
            </w:r>
            <w:r>
              <w:rPr>
                <w:b/>
                <w:color w:val="FFFFFF"/>
                <w:sz w:val="16"/>
              </w:rPr>
              <w:t>Compliance Statement</w:t>
            </w:r>
          </w:p>
        </w:tc>
      </w:tr>
      <w:tr>
        <w:tc>
          <w:tcPr>
            <w:tcW w:type="dxa" w:w="2304"/>
            <w:vAlign w:val="top"/>
            <w:tcMar>
              <w:top w:w="80" w:type="dxa"/>
              <w:left w:w="80" w:type="dxa"/>
              <w:bottom w:w="80" w:type="dxa"/>
              <w:right w:w="80" w:type="dxa"/>
            </w:tcMar>
          </w:tcPr>
          <w:p>
            <w:pPr>
              <w:jc w:val="left"/>
            </w:pPr>
            <w:r>
              <w:rPr>
                <w:sz w:val="16"/>
              </w:rPr>
            </w:r>
            <w:r>
              <w:rPr>
                <w:b w:val="0"/>
                <w:sz w:val="16"/>
              </w:rPr>
              <w:t>Attributable</w:t>
            </w:r>
          </w:p>
        </w:tc>
        <w:tc>
          <w:tcPr>
            <w:tcW w:type="dxa" w:w="8208"/>
            <w:vAlign w:val="top"/>
            <w:tcMar>
              <w:top w:w="80" w:type="dxa"/>
              <w:left w:w="80" w:type="dxa"/>
              <w:bottom w:w="80" w:type="dxa"/>
              <w:right w:w="80" w:type="dxa"/>
            </w:tcMar>
          </w:tcPr>
          <w:p>
            <w:pPr>
              <w:jc w:val="left"/>
            </w:pPr>
            <w:r>
              <w:rPr>
                <w:sz w:val="16"/>
              </w:rPr>
            </w:r>
            <w:r>
              <w:rPr>
                <w:b w:val="0"/>
                <w:sz w:val="16"/>
              </w:rPr>
              <w:t>Every service, incident, runbook, dashboard, Zammad ticket, security case, SLO, and operational action has a named owner and evidence reference.</w:t>
            </w:r>
          </w:p>
        </w:tc>
      </w:tr>
      <w:tr>
        <w:tc>
          <w:tcPr>
            <w:tcW w:type="dxa" w:w="2304"/>
            <w:vAlign w:val="top"/>
            <w:tcMar>
              <w:top w:w="80" w:type="dxa"/>
              <w:left w:w="80" w:type="dxa"/>
              <w:bottom w:w="80" w:type="dxa"/>
              <w:right w:w="80" w:type="dxa"/>
            </w:tcMar>
          </w:tcPr>
          <w:p>
            <w:pPr>
              <w:jc w:val="left"/>
            </w:pPr>
            <w:r>
              <w:rPr>
                <w:sz w:val="16"/>
              </w:rPr>
            </w:r>
            <w:r>
              <w:rPr>
                <w:b w:val="0"/>
                <w:sz w:val="16"/>
              </w:rPr>
              <w:t>Verifiable</w:t>
            </w:r>
          </w:p>
        </w:tc>
        <w:tc>
          <w:tcPr>
            <w:tcW w:type="dxa" w:w="8208"/>
            <w:vAlign w:val="top"/>
            <w:tcMar>
              <w:top w:w="80" w:type="dxa"/>
              <w:left w:w="80" w:type="dxa"/>
              <w:bottom w:w="80" w:type="dxa"/>
              <w:right w:w="80" w:type="dxa"/>
            </w:tcMar>
          </w:tcPr>
          <w:p>
            <w:pPr>
              <w:jc w:val="left"/>
            </w:pPr>
            <w:r>
              <w:rPr>
                <w:sz w:val="16"/>
              </w:rPr>
            </w:r>
            <w:r>
              <w:rPr>
                <w:b w:val="0"/>
                <w:sz w:val="16"/>
              </w:rPr>
              <w:t>Operations readiness is proven through dashboards, traces, logs, ticket records, runbook tests, CI/CD evidence, security cases, and service review records.</w:t>
            </w:r>
          </w:p>
        </w:tc>
      </w:tr>
      <w:tr>
        <w:tc>
          <w:tcPr>
            <w:tcW w:type="dxa" w:w="2304"/>
            <w:vAlign w:val="top"/>
            <w:tcMar>
              <w:top w:w="80" w:type="dxa"/>
              <w:left w:w="80" w:type="dxa"/>
              <w:bottom w:w="80" w:type="dxa"/>
              <w:right w:w="80" w:type="dxa"/>
            </w:tcMar>
          </w:tcPr>
          <w:p>
            <w:pPr>
              <w:jc w:val="left"/>
            </w:pPr>
            <w:r>
              <w:rPr>
                <w:sz w:val="16"/>
              </w:rPr>
            </w:r>
            <w:r>
              <w:rPr>
                <w:b w:val="0"/>
                <w:sz w:val="16"/>
              </w:rPr>
              <w:t>Classifiable</w:t>
            </w:r>
          </w:p>
        </w:tc>
        <w:tc>
          <w:tcPr>
            <w:tcW w:type="dxa" w:w="8208"/>
            <w:vAlign w:val="top"/>
            <w:tcMar>
              <w:top w:w="80" w:type="dxa"/>
              <w:left w:w="80" w:type="dxa"/>
              <w:bottom w:w="80" w:type="dxa"/>
              <w:right w:w="80" w:type="dxa"/>
            </w:tcMar>
          </w:tcPr>
          <w:p>
            <w:pPr>
              <w:jc w:val="left"/>
            </w:pPr>
            <w:r>
              <w:rPr>
                <w:sz w:val="16"/>
              </w:rPr>
            </w:r>
            <w:r>
              <w:rPr>
                <w:b w:val="0"/>
                <w:sz w:val="16"/>
              </w:rPr>
              <w:t>Operational records carry classification labels that control access, logging, prompt eligibility, retention, and evidence handling.</w:t>
            </w:r>
          </w:p>
        </w:tc>
      </w:tr>
      <w:tr>
        <w:tc>
          <w:tcPr>
            <w:tcW w:type="dxa" w:w="2304"/>
            <w:vAlign w:val="top"/>
            <w:tcMar>
              <w:top w:w="80" w:type="dxa"/>
              <w:left w:w="80" w:type="dxa"/>
              <w:bottom w:w="80" w:type="dxa"/>
              <w:right w:w="80" w:type="dxa"/>
            </w:tcMar>
          </w:tcPr>
          <w:p>
            <w:pPr>
              <w:jc w:val="left"/>
            </w:pPr>
            <w:r>
              <w:rPr>
                <w:sz w:val="16"/>
              </w:rPr>
            </w:r>
            <w:r>
              <w:rPr>
                <w:b w:val="0"/>
                <w:sz w:val="16"/>
              </w:rPr>
              <w:t>Improvable</w:t>
            </w:r>
          </w:p>
        </w:tc>
        <w:tc>
          <w:tcPr>
            <w:tcW w:type="dxa" w:w="8208"/>
            <w:vAlign w:val="top"/>
            <w:tcMar>
              <w:top w:w="80" w:type="dxa"/>
              <w:left w:w="80" w:type="dxa"/>
              <w:bottom w:w="80" w:type="dxa"/>
              <w:right w:w="80" w:type="dxa"/>
            </w:tcMar>
          </w:tcPr>
          <w:p>
            <w:pPr>
              <w:jc w:val="left"/>
            </w:pPr>
            <w:r>
              <w:rPr>
                <w:sz w:val="16"/>
              </w:rPr>
            </w:r>
            <w:r>
              <w:rPr>
                <w:b w:val="0"/>
                <w:sz w:val="16"/>
              </w:rPr>
              <w:t>Incidents, problems, SLO breaches, support trends, security findings, and Auto-Heal outcomes become governed improvement records, backlog items, tests, runbook updates, or architecture fitness functions.</w:t>
            </w:r>
          </w:p>
        </w:tc>
      </w:tr>
    </w:tbl>
    <w:tbl>
      <w:tblPr>
        <w:tblW w:type="auto" w:w="0"/>
        <w:jc w:val="center"/>
        <w:tblLook w:firstColumn="1" w:firstRow="1" w:lastColumn="0" w:lastRow="0" w:noHBand="0" w:noVBand="1" w:val="04A0"/>
      </w:tblPr>
      <w:tblGrid>
        <w:gridCol w:w="10656"/>
      </w:tblGrid>
      <w:tr>
        <w:tc>
          <w:tcPr>
            <w:tcW w:type="dxa" w:w="10656"/>
            <w:shd w:fill="EAF2F8"/>
            <w:tcMar>
              <w:top w:w="80" w:type="dxa"/>
              <w:left w:w="80" w:type="dxa"/>
              <w:bottom w:w="80" w:type="dxa"/>
              <w:right w:w="80" w:type="dxa"/>
            </w:tcMar>
          </w:tcPr>
          <w:p>
            <w:pPr>
              <w:jc w:val="left"/>
            </w:pPr>
            <w:r>
              <w:rPr>
                <w:b/>
                <w:color w:val="1F3B60"/>
                <w:sz w:val="20"/>
              </w:rPr>
              <w:t>Final Control Statement</w:t>
              <w:br/>
            </w:r>
            <w:r>
              <w:rPr>
                <w:color w:val="202020"/>
                <w:sz w:val="18"/>
              </w:rPr>
              <w:t>AIRA production operations are approved only when service ownership, SLOs, Zammad workflow, observability, SIEM/SOAR workflow, runbooks, support escalation, recovery evidence, and AVCI compliance are complete. The service may be technically deployed, but it is not service-ready until it can be operated safely, supported reliably, secured continuously, and improved with evidence.</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AIRA Production Operations, SRE, SLA/SLO, and Service Management Standard | v1.0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AIRA-DOC-031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B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E78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B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