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26"/>
          <w:szCs w:val="26"/>
        </w:rPr>
        <w:t xml:space="preserve">AIX-MARSEILLE UNIVERSITÉ</w:t>
      </w:r>
    </w:p>
    <w:p>
      <w:pPr>
        <w:spacing w:after="100"/>
        <w:jc w:val="center"/>
      </w:pPr>
      <w:r>
        <w:rPr>
          <w:sz w:val="22"/>
          <w:szCs w:val="22"/>
        </w:rPr>
        <w:t xml:space="preserve">Faculté des Arts, Lettres, Langues et Sciences Humaines (ALLSH)</w:t>
      </w:r>
    </w:p>
    <w:p>
      <w:pPr>
        <w:spacing w:after="1200"/>
        <w:jc w:val="center"/>
      </w:pPr>
      <w:r>
        <w:rPr>
          <w:sz w:val="22"/>
          <w:szCs w:val="22"/>
        </w:rPr>
        <w:t xml:space="preserve">Master 1 — Géomatique et Modélisation Spatiale</w:t>
      </w:r>
    </w:p>
    <w:p>
      <w:pPr>
        <w:spacing w:before="800"/>
        <w:jc w:val="center"/>
      </w:pPr>
      <w:r>
        <w:rPr>
          <w:b/>
          <w:bCs/>
          <w:sz w:val="32"/>
          <w:szCs w:val="32"/>
        </w:rPr>
        <w:t xml:space="preserve">Cartographie des îlots de chaleur urbains à Aix-en-Provence</w:t>
      </w:r>
    </w:p>
    <w:p>
      <w:pPr>
        <w:spacing w:after="800" w:before="200"/>
        <w:jc w:val="center"/>
      </w:pPr>
      <w:r>
        <w:rPr>
          <w:b/>
          <w:bCs/>
          <w:sz w:val="28"/>
          <w:szCs w:val="28"/>
        </w:rPr>
        <w:t xml:space="preserve">par télédétection et zones climatiques locales (LCZ)</w:t>
      </w:r>
    </w:p>
    <w:p>
      <w:pPr>
        <w:spacing w:after="100"/>
        <w:jc w:val="center"/>
      </w:pPr>
      <w:r>
        <w:rPr>
          <w:i/>
          <w:iCs/>
          <w:sz w:val="22"/>
          <w:szCs w:val="22"/>
        </w:rPr>
        <w:t xml:space="preserve">Mémoire de Master 1</w:t>
      </w:r>
    </w:p>
    <w:p>
      <w:pPr>
        <w:spacing w:after="100" w:before="400"/>
        <w:jc w:val="center"/>
      </w:pPr>
      <w:r>
        <w:rPr>
          <w:sz w:val="20"/>
          <w:szCs w:val="20"/>
        </w:rPr>
        <w:t xml:space="preserve">présenté par</w:t>
      </w:r>
    </w:p>
    <w:p>
      <w:pPr>
        <w:spacing w:after="600"/>
        <w:jc w:val="center"/>
      </w:pPr>
      <w:r>
        <w:rPr>
          <w:b/>
          <w:bCs/>
          <w:sz w:val="24"/>
          <w:szCs w:val="24"/>
        </w:rPr>
        <w:t xml:space="preserve">SOUKOU A. Ezechiel</w:t>
      </w:r>
    </w:p>
    <w:p>
      <w:pPr>
        <w:spacing w:after="100"/>
        <w:jc w:val="center"/>
      </w:pPr>
      <w:r>
        <w:rPr>
          <w:sz w:val="20"/>
          <w:szCs w:val="20"/>
        </w:rPr>
        <w:t xml:space="preserve">Sous la direction de :</w:t>
      </w:r>
    </w:p>
    <w:p>
      <w:pPr>
        <w:spacing w:after="1200"/>
        <w:jc w:val="center"/>
      </w:pPr>
      <w:r>
        <w:rPr>
          <w:b/>
          <w:bCs/>
          <w:sz w:val="24"/>
          <w:szCs w:val="24"/>
        </w:rPr>
        <w:t xml:space="preserve">Sébastien BRIDIER</w:t>
      </w:r>
    </w:p>
    <w:p>
      <w:pPr>
        <w:spacing w:before="800"/>
        <w:jc w:val="center"/>
      </w:pPr>
      <w:r>
        <w:rPr>
          <w:sz w:val="22"/>
          <w:szCs w:val="22"/>
        </w:rPr>
        <w:t xml:space="preserve">Année universitaire 2025–2026</w:t>
      </w:r>
    </w:p>
    <w:p>
      <w:r>
        <w:br w:type="page"/>
      </w:r>
    </w:p>
    <w:p>
      <w:pPr>
        <w:pStyle w:val="Heading1"/>
        <w:spacing w:after="200" w:before="400"/>
      </w:pPr>
      <w:r>
        <w:t xml:space="preserve">Sommaire</w:t>
      </w:r>
    </w:p>
    <w:p>
      <w:pPr>
        <w:spacing w:after="150"/>
      </w:pPr>
      <w:r>
        <w:rPr>
          <w:sz w:val="24"/>
          <w:szCs w:val="24"/>
        </w:rPr>
        <w:t xml:space="preserve">Résumé</w:t>
      </w:r>
    </w:p>
    <w:p>
      <w:pPr>
        <w:spacing w:after="150"/>
      </w:pPr>
      <w:r>
        <w:rPr>
          <w:sz w:val="24"/>
          <w:szCs w:val="24"/>
        </w:rPr>
        <w:t xml:space="preserve">1. Introduction</w:t>
      </w:r>
    </w:p>
    <w:p>
      <w:pPr>
        <w:spacing w:after="150"/>
      </w:pPr>
      <w:r>
        <w:rPr>
          <w:sz w:val="24"/>
          <w:szCs w:val="24"/>
        </w:rPr>
        <w:t xml:space="preserve">2. Zone d'étude et données mobilisées</w:t>
      </w:r>
    </w:p>
    <w:p>
      <w:pPr>
        <w:spacing w:after="150"/>
      </w:pPr>
      <w:r>
        <w:rPr>
          <w:sz w:val="24"/>
          <w:szCs w:val="24"/>
        </w:rPr>
        <w:t xml:space="preserve">3. Méthodologie</w:t>
      </w:r>
    </w:p>
    <w:p>
      <w:pPr>
        <w:spacing w:after="150"/>
      </w:pPr>
      <w:r>
        <w:rPr>
          <w:sz w:val="24"/>
          <w:szCs w:val="24"/>
        </w:rPr>
        <w:t xml:space="preserve">4. Résultats</w:t>
      </w:r>
    </w:p>
    <w:p>
      <w:pPr>
        <w:spacing w:after="150"/>
      </w:pPr>
      <w:r>
        <w:rPr>
          <w:sz w:val="24"/>
          <w:szCs w:val="24"/>
        </w:rPr>
        <w:t xml:space="preserve">5. Discussion</w:t>
      </w:r>
    </w:p>
    <w:p>
      <w:pPr>
        <w:spacing w:after="150"/>
      </w:pPr>
      <w:r>
        <w:rPr>
          <w:sz w:val="24"/>
          <w:szCs w:val="24"/>
        </w:rPr>
        <w:t xml:space="preserve">6. Conclusion et perspectives</w:t>
      </w:r>
    </w:p>
    <w:p>
      <w:pPr>
        <w:spacing w:after="150"/>
      </w:pPr>
      <w:r>
        <w:rPr>
          <w:sz w:val="24"/>
          <w:szCs w:val="24"/>
        </w:rPr>
        <w:t xml:space="preserve">Références bibliographiques</w:t>
      </w:r>
    </w:p>
    <w:p>
      <w:r>
        <w:br w:type="page"/>
      </w:r>
    </w:p>
    <w:p>
      <w:pPr>
        <w:pStyle w:val="Heading1"/>
        <w:spacing w:after="200" w:before="400"/>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Résumé</w:t>
      </w:r>
    </w:p>
    <w:p>
      <w:pPr>
        <w:spacing w:after="200" w:line="300"/>
        <w:jc w:val="both"/>
      </w:pPr>
      <w:r>
        <w:rPr>
          <w:sz w:val="22"/>
          <w:szCs w:val="22"/>
        </w:rPr>
        <w:t xml:space="preserve">L'urbanisation modifie durablement les propriétés thermiques des surfaces, générant le phénomène d'îlot de chaleur urbain (UHI), dont l'intensification attendue avec le changement climatique en fait un enjeu croissant de planification urbaine. Cette étude cartographie et caractérise l'îlot de chaleur de la commune d'Aix-en-Provence lors d'un épisode caniculaire (16 août 2025), en combinant température de surface (LST) issue de l'imagerie Landsat 8 et classification en Zones Climatiques Locales (LCZ) selon le cadre de Stewart &amp; Oke (2012).</w:t>
      </w:r>
    </w:p>
    <w:p>
      <w:pPr>
        <w:spacing w:after="200" w:line="300"/>
        <w:jc w:val="both"/>
      </w:pPr>
      <w:r>
        <w:rPr>
          <w:sz w:val="22"/>
          <w:szCs w:val="22"/>
        </w:rPr>
        <w:t xml:space="preserve">Une grille de 210 036 cellules de 30 mètres, alignée sur la résolution native du capteur thermique, a été construite à partir des données BD TOPO et Corine Land Cover, permettant le calcul de cinq indicateurs morphologiques (fraction bâtie, fraction végétalisée, fraction imperméable, hauteur moyenne du bâti, classe de rugosité) et leur croisement avec la LST observée. Les résultats révèlent un gradient thermique cohérent avec la structure urbaine : la classe LCZ 8 (grands bâtiments bas) présente l'intensité UHI la plus élevée (+2,90°C par rapport à la référence rurale), tandis que l'eau et la végétation arborée exercent l'effet rafraîchissant le plus marqué (respectivement -6,64°C et -3,36°C). Un résultat notable concerne la classe LCZ 1 (centre historique compact), émergente uniquement à cette résolution fine, dont l'intensité UHI de surface quasi nulle (-0,13°C) est interprétée à la lumière de la divergence entre îlot de chaleur de surface et îlot de chaleur de canopée. Un modèle de régression linéaire multiple confirme statistiquement le rôle prépondérant de la fraction bâtie et de la fraction végétalisée (R² = 0,247).</w:t>
      </w:r>
    </w:p>
    <w:p>
      <w:pPr>
        <w:spacing w:after="200" w:line="300"/>
        <w:jc w:val="both"/>
      </w:pPr>
      <w:r>
        <w:rPr>
          <w:sz w:val="22"/>
          <w:szCs w:val="22"/>
        </w:rPr>
        <w:t xml:space="preserve">Ces résultats soulignent l'intérêt d'une résolution spatiale fine pour la détection de contrastes thermiques localisés, tout en questionnant les limites de la télédétection satellite pour appréhender la chaleur réellement ressentie en milieu urbain dense.</w:t>
      </w:r>
    </w:p>
    <w:p>
      <w:pPr>
        <w:spacing w:after="200"/>
      </w:pPr>
      <w:r>
        <w:rPr>
          <w:b/>
          <w:bCs/>
          <w:sz w:val="22"/>
          <w:szCs w:val="22"/>
        </w:rPr>
        <w:t xml:space="preserve">Mots-clés : </w:t>
      </w:r>
      <w:r>
        <w:rPr>
          <w:i/>
          <w:iCs/>
          <w:sz w:val="22"/>
          <w:szCs w:val="22"/>
        </w:rPr>
        <w:t xml:space="preserve">îlot de chaleur urbain, zones climatiques locales, télédétection, température de surface, Landsat, Aix-en-Provence</w:t>
      </w:r>
    </w:p>
    <w:p>
      <w:r>
        <w:br w:type="page"/>
      </w:r>
    </w:p>
    <w:p>
      <w:pPr>
        <w:pStyle w:val="Heading1"/>
        <w:spacing w:after="200" w:before="400"/>
      </w:pPr>
      <w:r>
        <w:t xml:space="preserve">1. Introduction</w:t>
      </w:r>
    </w:p>
    <w:p>
      <w:pPr>
        <w:pStyle w:val="Heading2"/>
        <w:spacing w:after="150" w:before="300"/>
      </w:pPr>
      <w:r>
        <w:t xml:space="preserve">1.1 Contexte général</w:t>
      </w:r>
    </w:p>
    <w:p>
      <w:pPr>
        <w:spacing w:after="200" w:line="300"/>
        <w:jc w:val="both"/>
      </w:pPr>
      <w:r>
        <w:rPr>
          <w:sz w:val="22"/>
          <w:szCs w:val="22"/>
        </w:rPr>
        <w:t xml:space="preserve">L'urbanisation croissante s'accompagne d'une modification profonde des propriétés physiques de la surface terrestre : substitution des sols naturels et végétalisés par des matériaux minéraux et imperméables, densification du bâti, réduction du couvert végétal. Ces transformations altèrent le bilan énergétique de surface et génèrent un phénomène climatique local bien documenté, l'îlot de chaleur urbain (Urban Heat Island, UHI), caractérisé par des températures plus élevées en milieu urbain qu'en périphérie rurale environnante (Oke, 1982). Ce phénomène, appelé à s'intensifier avec le changement climatique et la multiplication des épisodes caniculaires, constitue un enjeu croissant pour la planification urbaine, la santé publique et le confort thermique des populations.</w:t>
      </w:r>
    </w:p>
    <w:p>
      <w:pPr>
        <w:pStyle w:val="Heading2"/>
        <w:spacing w:after="150" w:before="300"/>
      </w:pPr>
      <w:r>
        <w:t xml:space="preserve">1.2 Cadre théorique : le système des Zones Climatiques Locales</w:t>
      </w:r>
    </w:p>
    <w:p>
      <w:pPr>
        <w:spacing w:after="200" w:line="300"/>
        <w:jc w:val="both"/>
      </w:pPr>
      <w:r>
        <w:rPr>
          <w:sz w:val="22"/>
          <w:szCs w:val="22"/>
        </w:rPr>
        <w:t xml:space="preserve">L'étude des îlots de chaleur urbains s'est longtemps heurtée à l'absence d'un cadre de classification standardisé permettant de comparer les résultats entre études et entre villes. Le système des Zones Climatiques Locales (Local Climate Zones, LCZ), proposé par Stewart &amp; Oke (2012), répond à cette limite en définissant dix-sept classes climatiques standardisées à partir de propriétés morphologiques mesurables — densité bâtie, hauteur des constructions, couvert végétal, rugosité de surface — indépendamment de la fonction urbaine (résidentielle, industrielle, commerciale) traditionnellement utilisée dans les approches antérieures. Ce cadre, aujourd'hui largement adopté par la communauté scientifique internationale (initiative WUDAPT notamment), permet une caractérisation reproductible et comparable des tissus urbains à l'échelle du quartier.</w:t>
      </w:r>
    </w:p>
    <w:p>
      <w:pPr>
        <w:spacing w:after="200" w:line="300"/>
        <w:jc w:val="both"/>
      </w:pPr>
      <w:r>
        <w:rPr>
          <w:sz w:val="22"/>
          <w:szCs w:val="22"/>
        </w:rPr>
        <w:t xml:space="preserve">Le système LCZ distingue deux grandes familles de classes : dix classes dites « bâties » (LCZ 1 à LCZ 10), allant des tissus très denses et élevés (LCZ 1 — Compact high-rise) aux tissus très ouverts à faible emprise au sol (LCZ 9 — Sparsely built), et sept classes dites « naturelles » (LCZ A à LCZ G), couvrant les surfaces boisées, la végétation basse, les sols nus, la roche et l'eau. Chaque classe bâtie est définie par une combinaison caractéristique de hauteur moyenne du bâti, de fraction bâtie au sol et de fraction de surface imperméable, ce qui permet de la distinguer sans ambiguïté des classes voisines. C'est cette logique de classification par seuils morphologiques, plutôt que par usage du sol, qui a été reproduite dans la présente étude (section 3.4).</w:t>
      </w:r>
    </w:p>
    <w:p>
      <w:pPr>
        <w:pStyle w:val="Heading2"/>
        <w:spacing w:after="150" w:before="300"/>
      </w:pPr>
      <w:r>
        <w:t xml:space="preserve">1.3 Apport de la télédétection satellite</w:t>
      </w:r>
    </w:p>
    <w:p>
      <w:pPr>
        <w:spacing w:after="200" w:line="300"/>
        <w:jc w:val="both"/>
      </w:pPr>
      <w:r>
        <w:rPr>
          <w:sz w:val="22"/>
          <w:szCs w:val="22"/>
        </w:rPr>
        <w:t xml:space="preserve">Le développement de l'imagerie satellite thermique, en particulier la mission Landsat, a permis de dépasser les limites des campagnes de mesure in situ, coûteuses et ponctuelles dans l'espace, en offrant une couverture spatiale continue de la température de surface (Land Surface Temperature, LST) à l'échelle de villes entières. Le croisement de ces données thermiques avec une classification LCZ constitue aujourd'hui une approche de référence pour quantifier l'intensité de l'îlot de chaleur urbain de façon spatialement explicite, tout en questionnant les facteurs morphologiques qui la déterminent.</w:t>
      </w:r>
    </w:p>
    <w:p>
      <w:pPr>
        <w:spacing w:after="200" w:line="300"/>
        <w:jc w:val="both"/>
      </w:pPr>
      <w:r>
        <w:rPr>
          <w:sz w:val="22"/>
          <w:szCs w:val="22"/>
        </w:rPr>
        <w:t xml:space="preserve">Il convient toutefois de distinguer clairement deux notions souvent confondues dans la littérature grand public : l'îlot de chaleur de surface (Surface Urban Heat Island, SUHI), mesuré par télédétection thermique satellitaire, et l'îlot de chaleur de canopée (canopy-layer UHI), mesuré au niveau de l'air ambiant, généralement par des stations météorologiques fixes ou des transects mobiles. Ces deux approches, bien que complémentaires, ne mesurent pas rigoureusement le même phénomène physique : la première capture l'énergie radiative émise par les surfaces directement visibles depuis l'espace (toitures, chaussées, canopée végétale), tandis que la seconde capture la température de l'air réellement ressentie par les habitants. Cette distinction, développée notamment par Oke et al. (2017), constitue un fil conducteur important de la présente étude, en particulier dans l'interprétation des résultats obtenus pour les tissus urbains denses et élevés (section 5.1).</w:t>
      </w:r>
    </w:p>
    <w:p>
      <w:pPr>
        <w:spacing w:after="200" w:line="300"/>
        <w:jc w:val="both"/>
      </w:pPr>
      <w:r>
        <w:rPr>
          <w:sz w:val="22"/>
          <w:szCs w:val="22"/>
        </w:rPr>
        <w:t xml:space="preserve">De nombreuses études internationales ont mobilisé conjointement imagerie Landsat et classification LCZ pour caractériser l'îlot de chaleur urbain dans des contextes climatiques variés — villes nord-américaines, est-asiatiques, ou méditerranéennes. Ces travaux convergent généralement vers un constat commun : les classes LCZ à forte densité bâtie et faible couvert végétal présentent des températures de surface significativement plus élevées que les classes végétalisées ou aquatiques, tout en révélant des nuances propres à chaque contexte urbain et climatique local, notamment liées à la morphologie du bâti traditionnel, aux matériaux de construction dominants, et aux stratégies locales de végétalisation urbaine. Le cas d'Aix-en-Provence, ville de taille moyenne au bâti ancien dense et au climat méditerranéen marqué, offre ainsi un terrain d'étude complémentaire à ce corpus, encore peu documenté pour ce type de contexte urbain.</w:t>
      </w:r>
    </w:p>
    <w:p>
      <w:pPr>
        <w:pStyle w:val="Heading2"/>
        <w:spacing w:after="150" w:before="300"/>
      </w:pPr>
      <w:r>
        <w:t xml:space="preserve">1.4 Problématique et objectifs</w:t>
      </w:r>
    </w:p>
    <w:p>
      <w:pPr>
        <w:spacing w:after="200" w:line="300"/>
        <w:jc w:val="both"/>
      </w:pPr>
      <w:r>
        <w:rPr>
          <w:sz w:val="22"/>
          <w:szCs w:val="22"/>
        </w:rPr>
        <w:t xml:space="preserve">La commune d'Aix-en-Provence, ville moyenne du sud-est de la France marquée par un centre historique dense et une périphérie en expansion, constitue un terrain d'étude pertinent pour interroger la relation entre morphologie urbaine et température de surface, en particulier dans un contexte de vulnérabilité croissante aux épisodes de canicule méditerranéenne.</w:t>
      </w:r>
    </w:p>
    <w:p>
      <w:pPr>
        <w:spacing w:after="200" w:line="300"/>
        <w:jc w:val="both"/>
      </w:pPr>
      <w:r>
        <w:rPr>
          <w:sz w:val="22"/>
          <w:szCs w:val="22"/>
        </w:rPr>
        <w:t xml:space="preserve">Cette étude poursuit trois objectifs principaux :</w:t>
      </w:r>
    </w:p>
    <w:p>
      <w:pPr>
        <w:pStyle w:val="ListParagraph"/>
        <w:numPr>
          <w:ilvl w:val="0"/>
          <w:numId w:val="2"/>
        </w:numPr>
        <w:spacing w:after="100"/>
      </w:pPr>
      <w:r>
        <w:rPr>
          <w:sz w:val="22"/>
          <w:szCs w:val="22"/>
        </w:rPr>
        <w:t xml:space="preserve">Cartographier la température de surface de la commune d'Aix-en-Provence lors d'un épisode caniculaire, à partir de l'imagerie Landsat 8 ;</w:t>
      </w:r>
    </w:p>
    <w:p>
      <w:pPr>
        <w:pStyle w:val="ListParagraph"/>
        <w:numPr>
          <w:ilvl w:val="0"/>
          <w:numId w:val="2"/>
        </w:numPr>
        <w:spacing w:after="100"/>
      </w:pPr>
      <w:r>
        <w:rPr>
          <w:sz w:val="22"/>
          <w:szCs w:val="22"/>
        </w:rPr>
        <w:t xml:space="preserve">Classer le territoire communal selon le système des Zones Climatiques Locales, à une résolution spatiale alignée sur la résolution native du capteur thermique (30 m) ;</w:t>
      </w:r>
    </w:p>
    <w:p>
      <w:pPr>
        <w:pStyle w:val="ListParagraph"/>
        <w:numPr>
          <w:ilvl w:val="0"/>
          <w:numId w:val="2"/>
        </w:numPr>
        <w:spacing w:after="200"/>
      </w:pPr>
      <w:r>
        <w:rPr>
          <w:sz w:val="22"/>
          <w:szCs w:val="22"/>
        </w:rPr>
        <w:t xml:space="preserve">Quantifier, par une analyse statistique croisée et un modèle de régression, la contribution des indicateurs morphologiques (densité bâtie, végétation, hauteur, rugosité) à la variabilité spatiale de la température de surface, et discuter la cohérence de ces résultats au regard du cadre théorique de l'îlot de chaleur urbain.</w:t>
      </w:r>
    </w:p>
    <w:p>
      <w:pPr>
        <w:pStyle w:val="Heading2"/>
        <w:spacing w:after="150" w:before="300"/>
      </w:pPr>
      <w:r>
        <w:t xml:space="preserve">1.5 Plan de l'article</w:t>
      </w:r>
    </w:p>
    <w:p>
      <w:pPr>
        <w:spacing w:after="200" w:line="300"/>
        <w:jc w:val="both"/>
      </w:pPr>
      <w:r>
        <w:rPr>
          <w:sz w:val="22"/>
          <w:szCs w:val="22"/>
        </w:rPr>
        <w:t xml:space="preserve">Après une présentation de la zone d'étude et des données mobilisées (section 2), la méthodologie de calcul de la température de surface, de construction de la grille d'analyse et de classification LCZ est détaillée (section 3). Les résultats de l'analyse croisée LCZ-LST et du modèle de régression sont ensuite présentés (section 4), avant d'être discutés à la lumière du cadre théorique de l'îlot de chaleur urbain et des limites méthodologiques de l'étude (section 5). Une conclusion synthétise les apports et les perspectives de ce travail (section 6).</w:t>
      </w:r>
    </w:p>
    <w:p>
      <w:r>
        <w:br w:type="page"/>
      </w:r>
    </w:p>
    <w:p>
      <w:pPr>
        <w:pStyle w:val="Heading1"/>
        <w:spacing w:after="200" w:before="400"/>
      </w:pPr>
      <w:r>
        <w:t xml:space="preserve">2. Zone d'étude et données mobilisées</w:t>
      </w:r>
    </w:p>
    <w:p>
      <w:pPr>
        <w:pStyle w:val="Heading2"/>
        <w:spacing w:after="150" w:before="300"/>
      </w:pPr>
      <w:r>
        <w:t xml:space="preserve">2.1 Zone d'étude</w:t>
      </w:r>
    </w:p>
    <w:p>
      <w:pPr>
        <w:spacing w:after="200" w:line="300"/>
        <w:jc w:val="both"/>
      </w:pPr>
      <w:r>
        <w:rPr>
          <w:sz w:val="22"/>
          <w:szCs w:val="22"/>
        </w:rPr>
        <w:t xml:space="preserve">La zone d'étude correspond à la commune d'Aix-en-Provence (code INSEE 13001), d'une superficie d'environ 186 km², située dans le département des Bouches-du-Rhône, région Provence-Alpes-Côte d'Azur. La commune se caractérise par un centre historique dense, hérité d'une urbanisation médiévale et classique, entouré d'une périphérie résidentielle et pavillonnaire en expansion continue depuis plusieurs décennies, ainsi que de vastes espaces agricoles et naturels (garrigue, oliveraies, massifs boisés) qui occupent une part importante du territoire communal, notamment dans sa partie nord et sud-ouest.</w:t>
      </w:r>
    </w:p>
    <w:p>
      <w:pPr>
        <w:spacing w:after="200" w:line="300"/>
        <w:jc w:val="both"/>
      </w:pPr>
      <w:r>
        <w:rPr>
          <w:sz w:val="22"/>
          <w:szCs w:val="22"/>
        </w:rPr>
        <w:t xml:space="preserve">Sur le plan climatique, Aix-en-Provence est soumise à un climat méditerranéen typique, caractérisé par des étés chauds et secs, favorisant l'occurrence régulière d'épisodes caniculaires estivaux. Cette exposition climatique, combinée à la coexistence d'un tissu urbain ancien très dense et de zones périurbaines récentes moins compactes, en fait un terrain d'étude particulièrement adapté à l'analyse des contrastes thermiques intra-urbains liés à la morphologie du bâti.</w:t>
      </w:r>
    </w:p>
    <w:p>
      <w:pPr>
        <w:pBdr>
          <w:top w:val="single" w:color="999999" w:sz="4"/>
          <w:bottom w:val="single" w:color="999999" w:sz="4"/>
          <w:left w:val="single" w:color="999999" w:sz="4"/>
          <w:right w:val="single" w:color="999999" w:sz="4"/>
        </w:pBdr>
        <w:spacing w:after="100" w:before="300"/>
        <w:jc w:val="center"/>
      </w:pPr>
      <w:r>
        <w:rPr>
          <w:i/>
          <w:iCs/>
          <w:color w:val="888888"/>
          <w:sz w:val="20"/>
          <w:szCs w:val="20"/>
        </w:rPr>
        <w:t xml:space="preserve">[ EMPLACEMENT FIGURE 1 — insérer ici : carte_localisation_aix.png ]</w:t>
      </w:r>
    </w:p>
    <w:p>
      <w:pPr>
        <w:spacing w:after="300"/>
        <w:jc w:val="center"/>
      </w:pPr>
      <w:r>
        <w:rPr>
          <w:i/>
          <w:iCs/>
          <w:sz w:val="20"/>
          <w:szCs w:val="20"/>
        </w:rPr>
        <w:t xml:space="preserve">Figure 1. Localisation d'Aix-en-Provence dans son contexte régional (Bouches-du-Rhône / PACA).</w:t>
      </w:r>
    </w:p>
    <w:p>
      <w:pPr>
        <w:pStyle w:val="Heading2"/>
        <w:spacing w:after="150" w:before="300"/>
      </w:pPr>
      <w:r>
        <w:t xml:space="preserve">2.2 Données mobilisées</w:t>
      </w:r>
    </w:p>
    <w:p>
      <w:pPr>
        <w:spacing w:after="200" w:line="300"/>
        <w:jc w:val="both"/>
      </w:pPr>
      <w:r>
        <w:rPr>
          <w:sz w:val="22"/>
          <w:szCs w:val="22"/>
        </w:rPr>
        <w:t xml:space="preserve">Cette étude s'appuie sur quatre sources de données géospatiales, combinant imagerie satellite et référentiels vectoriels nationaux, résumées dans le Tableau 1.</w:t>
      </w:r>
    </w:p>
    <w:p>
      <w:pPr>
        <w:spacing w:after="100" w:before="200"/>
      </w:pPr>
      <w:r>
        <w:rPr>
          <w:b/>
          <w:bCs/>
          <w:sz w:val="20"/>
          <w:szCs w:val="20"/>
        </w:rPr>
        <w:t xml:space="preserve">Tableau 1. </w:t>
      </w:r>
      <w:r>
        <w:rPr>
          <w:i/>
          <w:iCs/>
          <w:sz w:val="20"/>
          <w:szCs w:val="20"/>
        </w:rPr>
        <w:t xml:space="preserve">Sources de données mobilisées dans l'étude.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400"/>
        <w:gridCol w:w="2800"/>
      </w:tblGrid>
      <w:tr>
        <w:tc>
          <w:tcPr>
            <w:tcW w:type="dxa" w:w="2400"/>
            <w:shd w:fill="D9D9D9" w:val="clear"/>
          </w:tcPr>
          <w:p>
            <w:r>
              <w:rPr>
                <w:b/>
                <w:bCs/>
                <w:sz w:val="20"/>
                <w:szCs w:val="20"/>
              </w:rPr>
              <w:t xml:space="preserve">Donnée</w:t>
            </w:r>
          </w:p>
        </w:tc>
        <w:tc>
          <w:tcPr>
            <w:tcW w:type="dxa" w:w="1600"/>
            <w:shd w:fill="D9D9D9" w:val="clear"/>
          </w:tcPr>
          <w:p>
            <w:r>
              <w:rPr>
                <w:b/>
                <w:bCs/>
                <w:sz w:val="20"/>
                <w:szCs w:val="20"/>
              </w:rPr>
              <w:t xml:space="preserve">Source</w:t>
            </w:r>
          </w:p>
        </w:tc>
        <w:tc>
          <w:tcPr>
            <w:tcW w:type="dxa" w:w="1400"/>
            <w:shd w:fill="D9D9D9" w:val="clear"/>
          </w:tcPr>
          <w:p>
            <w:r>
              <w:rPr>
                <w:b/>
                <w:bCs/>
                <w:sz w:val="20"/>
                <w:szCs w:val="20"/>
              </w:rPr>
              <w:t xml:space="preserve">Type</w:t>
            </w:r>
          </w:p>
        </w:tc>
        <w:tc>
          <w:tcPr>
            <w:tcW w:type="dxa" w:w="1400"/>
            <w:shd w:fill="D9D9D9" w:val="clear"/>
          </w:tcPr>
          <w:p>
            <w:r>
              <w:rPr>
                <w:b/>
                <w:bCs/>
                <w:sz w:val="20"/>
                <w:szCs w:val="20"/>
              </w:rPr>
              <w:t xml:space="preserve">Résolution</w:t>
            </w:r>
          </w:p>
        </w:tc>
        <w:tc>
          <w:tcPr>
            <w:tcW w:type="dxa" w:w="2800"/>
            <w:shd w:fill="D9D9D9" w:val="clear"/>
          </w:tcPr>
          <w:p>
            <w:r>
              <w:rPr>
                <w:b/>
                <w:bCs/>
                <w:sz w:val="20"/>
                <w:szCs w:val="20"/>
              </w:rPr>
              <w:t xml:space="preserve">Rôle dans l'étude</w:t>
            </w:r>
          </w:p>
        </w:tc>
      </w:tr>
      <w:tr>
        <w:tc>
          <w:tcPr>
            <w:tcW w:type="dxa" w:w="2400"/>
          </w:tcPr>
          <w:p>
            <w:r>
              <w:rPr>
                <w:b w:val="false"/>
                <w:bCs w:val="false"/>
                <w:sz w:val="20"/>
                <w:szCs w:val="20"/>
              </w:rPr>
              <w:t xml:space="preserve">Landsat 8 (ST_B10)</w:t>
            </w:r>
          </w:p>
        </w:tc>
        <w:tc>
          <w:tcPr>
            <w:tcW w:type="dxa" w:w="1600"/>
          </w:tcPr>
          <w:p>
            <w:r>
              <w:rPr>
                <w:b w:val="false"/>
                <w:bCs w:val="false"/>
                <w:sz w:val="20"/>
                <w:szCs w:val="20"/>
              </w:rPr>
              <w:t xml:space="preserve">USGS / GEE</w:t>
            </w:r>
          </w:p>
        </w:tc>
        <w:tc>
          <w:tcPr>
            <w:tcW w:type="dxa" w:w="1400"/>
          </w:tcPr>
          <w:p>
            <w:r>
              <w:rPr>
                <w:b w:val="false"/>
                <w:bCs w:val="false"/>
                <w:sz w:val="20"/>
                <w:szCs w:val="20"/>
              </w:rPr>
              <w:t xml:space="preserve">Raster</w:t>
            </w:r>
          </w:p>
        </w:tc>
        <w:tc>
          <w:tcPr>
            <w:tcW w:type="dxa" w:w="1400"/>
          </w:tcPr>
          <w:p>
            <w:r>
              <w:rPr>
                <w:b w:val="false"/>
                <w:bCs w:val="false"/>
                <w:sz w:val="20"/>
                <w:szCs w:val="20"/>
              </w:rPr>
              <w:t xml:space="preserve">30 m</w:t>
            </w:r>
          </w:p>
        </w:tc>
        <w:tc>
          <w:tcPr>
            <w:tcW w:type="dxa" w:w="2800"/>
          </w:tcPr>
          <w:p>
            <w:r>
              <w:rPr>
                <w:b w:val="false"/>
                <w:bCs w:val="false"/>
                <w:sz w:val="20"/>
                <w:szCs w:val="20"/>
              </w:rPr>
              <w:t xml:space="preserve">Calcul de la LST</w:t>
            </w:r>
          </w:p>
        </w:tc>
      </w:tr>
      <w:tr>
        <w:tc>
          <w:tcPr>
            <w:tcW w:type="dxa" w:w="2400"/>
          </w:tcPr>
          <w:p>
            <w:r>
              <w:rPr>
                <w:b w:val="false"/>
                <w:bCs w:val="false"/>
                <w:sz w:val="20"/>
                <w:szCs w:val="20"/>
              </w:rPr>
              <w:t xml:space="preserve">Limites communales</w:t>
            </w:r>
          </w:p>
        </w:tc>
        <w:tc>
          <w:tcPr>
            <w:tcW w:type="dxa" w:w="1600"/>
          </w:tcPr>
          <w:p>
            <w:r>
              <w:rPr>
                <w:b w:val="false"/>
                <w:bCs w:val="false"/>
                <w:sz w:val="20"/>
                <w:szCs w:val="20"/>
              </w:rPr>
              <w:t xml:space="preserve">IGN, BD TOPO</w:t>
            </w:r>
          </w:p>
        </w:tc>
        <w:tc>
          <w:tcPr>
            <w:tcW w:type="dxa" w:w="1400"/>
          </w:tcPr>
          <w:p>
            <w:r>
              <w:rPr>
                <w:b w:val="false"/>
                <w:bCs w:val="false"/>
                <w:sz w:val="20"/>
                <w:szCs w:val="20"/>
              </w:rPr>
              <w:t xml:space="preserve">Vecteur</w:t>
            </w:r>
          </w:p>
        </w:tc>
        <w:tc>
          <w:tcPr>
            <w:tcW w:type="dxa" w:w="1400"/>
          </w:tcPr>
          <w:p>
            <w:r>
              <w:rPr>
                <w:b w:val="false"/>
                <w:bCs w:val="false"/>
                <w:sz w:val="20"/>
                <w:szCs w:val="20"/>
              </w:rPr>
              <w:t xml:space="preserve">—</w:t>
            </w:r>
          </w:p>
        </w:tc>
        <w:tc>
          <w:tcPr>
            <w:tcW w:type="dxa" w:w="2800"/>
          </w:tcPr>
          <w:p>
            <w:r>
              <w:rPr>
                <w:b w:val="false"/>
                <w:bCs w:val="false"/>
                <w:sz w:val="20"/>
                <w:szCs w:val="20"/>
              </w:rPr>
              <w:t xml:space="preserve">Délimitation de la zone d'étude</w:t>
            </w:r>
          </w:p>
        </w:tc>
      </w:tr>
      <w:tr>
        <w:tc>
          <w:tcPr>
            <w:tcW w:type="dxa" w:w="2400"/>
          </w:tcPr>
          <w:p>
            <w:r>
              <w:rPr>
                <w:b w:val="false"/>
                <w:bCs w:val="false"/>
                <w:sz w:val="20"/>
                <w:szCs w:val="20"/>
              </w:rPr>
              <w:t xml:space="preserve">Bâtiments</w:t>
            </w:r>
          </w:p>
        </w:tc>
        <w:tc>
          <w:tcPr>
            <w:tcW w:type="dxa" w:w="1600"/>
          </w:tcPr>
          <w:p>
            <w:r>
              <w:rPr>
                <w:b w:val="false"/>
                <w:bCs w:val="false"/>
                <w:sz w:val="20"/>
                <w:szCs w:val="20"/>
              </w:rPr>
              <w:t xml:space="preserve">IGN, BD TOPO</w:t>
            </w:r>
          </w:p>
        </w:tc>
        <w:tc>
          <w:tcPr>
            <w:tcW w:type="dxa" w:w="1400"/>
          </w:tcPr>
          <w:p>
            <w:r>
              <w:rPr>
                <w:b w:val="false"/>
                <w:bCs w:val="false"/>
                <w:sz w:val="20"/>
                <w:szCs w:val="20"/>
              </w:rPr>
              <w:t xml:space="preserve">Vecteur</w:t>
            </w:r>
          </w:p>
        </w:tc>
        <w:tc>
          <w:tcPr>
            <w:tcW w:type="dxa" w:w="1400"/>
          </w:tcPr>
          <w:p>
            <w:r>
              <w:rPr>
                <w:b w:val="false"/>
                <w:bCs w:val="false"/>
                <w:sz w:val="20"/>
                <w:szCs w:val="20"/>
              </w:rPr>
              <w:t xml:space="preserve">—</w:t>
            </w:r>
          </w:p>
        </w:tc>
        <w:tc>
          <w:tcPr>
            <w:tcW w:type="dxa" w:w="2800"/>
          </w:tcPr>
          <w:p>
            <w:r>
              <w:rPr>
                <w:b w:val="false"/>
                <w:bCs w:val="false"/>
                <w:sz w:val="20"/>
                <w:szCs w:val="20"/>
              </w:rPr>
              <w:t xml:space="preserve">Fraction bâtie, hauteur moyenne</w:t>
            </w:r>
          </w:p>
        </w:tc>
      </w:tr>
      <w:tr>
        <w:tc>
          <w:tcPr>
            <w:tcW w:type="dxa" w:w="2400"/>
          </w:tcPr>
          <w:p>
            <w:r>
              <w:rPr>
                <w:b w:val="false"/>
                <w:bCs w:val="false"/>
                <w:sz w:val="20"/>
                <w:szCs w:val="20"/>
              </w:rPr>
              <w:t xml:space="preserve">Végétation</w:t>
            </w:r>
          </w:p>
        </w:tc>
        <w:tc>
          <w:tcPr>
            <w:tcW w:type="dxa" w:w="1600"/>
          </w:tcPr>
          <w:p>
            <w:r>
              <w:rPr>
                <w:b w:val="false"/>
                <w:bCs w:val="false"/>
                <w:sz w:val="20"/>
                <w:szCs w:val="20"/>
              </w:rPr>
              <w:t xml:space="preserve">IGN, BD TOPO</w:t>
            </w:r>
          </w:p>
        </w:tc>
        <w:tc>
          <w:tcPr>
            <w:tcW w:type="dxa" w:w="1400"/>
          </w:tcPr>
          <w:p>
            <w:r>
              <w:rPr>
                <w:b w:val="false"/>
                <w:bCs w:val="false"/>
                <w:sz w:val="20"/>
                <w:szCs w:val="20"/>
              </w:rPr>
              <w:t xml:space="preserve">Vecteur</w:t>
            </w:r>
          </w:p>
        </w:tc>
        <w:tc>
          <w:tcPr>
            <w:tcW w:type="dxa" w:w="1400"/>
          </w:tcPr>
          <w:p>
            <w:r>
              <w:rPr>
                <w:b w:val="false"/>
                <w:bCs w:val="false"/>
                <w:sz w:val="20"/>
                <w:szCs w:val="20"/>
              </w:rPr>
              <w:t xml:space="preserve">—</w:t>
            </w:r>
          </w:p>
        </w:tc>
        <w:tc>
          <w:tcPr>
            <w:tcW w:type="dxa" w:w="2800"/>
          </w:tcPr>
          <w:p>
            <w:r>
              <w:rPr>
                <w:b w:val="false"/>
                <w:bCs w:val="false"/>
                <w:sz w:val="20"/>
                <w:szCs w:val="20"/>
              </w:rPr>
              <w:t xml:space="preserve">Fraction végétalisée</w:t>
            </w:r>
          </w:p>
        </w:tc>
      </w:tr>
      <w:tr>
        <w:tc>
          <w:tcPr>
            <w:tcW w:type="dxa" w:w="2400"/>
          </w:tcPr>
          <w:p>
            <w:r>
              <w:rPr>
                <w:b w:val="false"/>
                <w:bCs w:val="false"/>
                <w:sz w:val="20"/>
                <w:szCs w:val="20"/>
              </w:rPr>
              <w:t xml:space="preserve">Réseau routier</w:t>
            </w:r>
          </w:p>
        </w:tc>
        <w:tc>
          <w:tcPr>
            <w:tcW w:type="dxa" w:w="1600"/>
          </w:tcPr>
          <w:p>
            <w:r>
              <w:rPr>
                <w:b w:val="false"/>
                <w:bCs w:val="false"/>
                <w:sz w:val="20"/>
                <w:szCs w:val="20"/>
              </w:rPr>
              <w:t xml:space="preserve">IGN, BD TOPO</w:t>
            </w:r>
          </w:p>
        </w:tc>
        <w:tc>
          <w:tcPr>
            <w:tcW w:type="dxa" w:w="1400"/>
          </w:tcPr>
          <w:p>
            <w:r>
              <w:rPr>
                <w:b w:val="false"/>
                <w:bCs w:val="false"/>
                <w:sz w:val="20"/>
                <w:szCs w:val="20"/>
              </w:rPr>
              <w:t xml:space="preserve">Vecteur</w:t>
            </w:r>
          </w:p>
        </w:tc>
        <w:tc>
          <w:tcPr>
            <w:tcW w:type="dxa" w:w="1400"/>
          </w:tcPr>
          <w:p>
            <w:r>
              <w:rPr>
                <w:b w:val="false"/>
                <w:bCs w:val="false"/>
                <w:sz w:val="20"/>
                <w:szCs w:val="20"/>
              </w:rPr>
              <w:t xml:space="preserve">—</w:t>
            </w:r>
          </w:p>
        </w:tc>
        <w:tc>
          <w:tcPr>
            <w:tcW w:type="dxa" w:w="2800"/>
          </w:tcPr>
          <w:p>
            <w:r>
              <w:rPr>
                <w:b w:val="false"/>
                <w:bCs w:val="false"/>
                <w:sz w:val="20"/>
                <w:szCs w:val="20"/>
              </w:rPr>
              <w:t xml:space="preserve">Fraction imperméable</w:t>
            </w:r>
          </w:p>
        </w:tc>
      </w:tr>
      <w:tr>
        <w:tc>
          <w:tcPr>
            <w:tcW w:type="dxa" w:w="2400"/>
          </w:tcPr>
          <w:p>
            <w:r>
              <w:rPr>
                <w:b w:val="false"/>
                <w:bCs w:val="false"/>
                <w:sz w:val="20"/>
                <w:szCs w:val="20"/>
              </w:rPr>
              <w:t xml:space="preserve">Hydrographie</w:t>
            </w:r>
          </w:p>
        </w:tc>
        <w:tc>
          <w:tcPr>
            <w:tcW w:type="dxa" w:w="1600"/>
          </w:tcPr>
          <w:p>
            <w:r>
              <w:rPr>
                <w:b w:val="false"/>
                <w:bCs w:val="false"/>
                <w:sz w:val="20"/>
                <w:szCs w:val="20"/>
              </w:rPr>
              <w:t xml:space="preserve">IGN, BD TOPO</w:t>
            </w:r>
          </w:p>
        </w:tc>
        <w:tc>
          <w:tcPr>
            <w:tcW w:type="dxa" w:w="1400"/>
          </w:tcPr>
          <w:p>
            <w:r>
              <w:rPr>
                <w:b w:val="false"/>
                <w:bCs w:val="false"/>
                <w:sz w:val="20"/>
                <w:szCs w:val="20"/>
              </w:rPr>
              <w:t xml:space="preserve">Vecteur</w:t>
            </w:r>
          </w:p>
        </w:tc>
        <w:tc>
          <w:tcPr>
            <w:tcW w:type="dxa" w:w="1400"/>
          </w:tcPr>
          <w:p>
            <w:r>
              <w:rPr>
                <w:b w:val="false"/>
                <w:bCs w:val="false"/>
                <w:sz w:val="20"/>
                <w:szCs w:val="20"/>
              </w:rPr>
              <w:t xml:space="preserve">—</w:t>
            </w:r>
          </w:p>
        </w:tc>
        <w:tc>
          <w:tcPr>
            <w:tcW w:type="dxa" w:w="2800"/>
          </w:tcPr>
          <w:p>
            <w:r>
              <w:rPr>
                <w:b w:val="false"/>
                <w:bCs w:val="false"/>
                <w:sz w:val="20"/>
                <w:szCs w:val="20"/>
              </w:rPr>
              <w:t xml:space="preserve">Correction LCZ G (eau)</w:t>
            </w:r>
          </w:p>
        </w:tc>
      </w:tr>
      <w:tr>
        <w:tc>
          <w:tcPr>
            <w:tcW w:type="dxa" w:w="2400"/>
          </w:tcPr>
          <w:p>
            <w:r>
              <w:rPr>
                <w:b w:val="false"/>
                <w:bCs w:val="false"/>
                <w:sz w:val="20"/>
                <w:szCs w:val="20"/>
              </w:rPr>
              <w:t xml:space="preserve">Corine Land Cover</w:t>
            </w:r>
          </w:p>
        </w:tc>
        <w:tc>
          <w:tcPr>
            <w:tcW w:type="dxa" w:w="1600"/>
          </w:tcPr>
          <w:p>
            <w:r>
              <w:rPr>
                <w:b w:val="false"/>
                <w:bCs w:val="false"/>
                <w:sz w:val="20"/>
                <w:szCs w:val="20"/>
              </w:rPr>
              <w:t xml:space="preserve">Copernicus</w:t>
            </w:r>
          </w:p>
        </w:tc>
        <w:tc>
          <w:tcPr>
            <w:tcW w:type="dxa" w:w="1400"/>
          </w:tcPr>
          <w:p>
            <w:r>
              <w:rPr>
                <w:b w:val="false"/>
                <w:bCs w:val="false"/>
                <w:sz w:val="20"/>
                <w:szCs w:val="20"/>
              </w:rPr>
              <w:t xml:space="preserve">Raster/vecteur</w:t>
            </w:r>
          </w:p>
        </w:tc>
        <w:tc>
          <w:tcPr>
            <w:tcW w:type="dxa" w:w="1400"/>
          </w:tcPr>
          <w:p>
            <w:r>
              <w:rPr>
                <w:b w:val="false"/>
                <w:bCs w:val="false"/>
                <w:sz w:val="20"/>
                <w:szCs w:val="20"/>
              </w:rPr>
              <w:t xml:space="preserve">100 m</w:t>
            </w:r>
          </w:p>
        </w:tc>
        <w:tc>
          <w:tcPr>
            <w:tcW w:type="dxa" w:w="2800"/>
          </w:tcPr>
          <w:p>
            <w:r>
              <w:rPr>
                <w:b w:val="false"/>
                <w:bCs w:val="false"/>
                <w:sz w:val="20"/>
                <w:szCs w:val="20"/>
              </w:rPr>
              <w:t xml:space="preserve">Correction des lacunes BD TOPO</w:t>
            </w:r>
          </w:p>
        </w:tc>
      </w:tr>
    </w:tbl>
    <w:p>
      <w:pPr>
        <w:spacing w:after="200" w:line="300"/>
        <w:jc w:val="both"/>
      </w:pPr>
      <w:r>
        <w:rPr>
          <w:sz w:val="22"/>
          <w:szCs w:val="22"/>
        </w:rPr>
        <w:t xml:space="preserve">L'ensemble de ces données a été traité dans l'environnement Google Colab, couplé à Google Earth Engine pour l'acquisition et le traitement des données raster, et aux bibliothèques geopandas, rasterstats et statsmodels pour le traitement vectoriel, l'extraction zonale et la modélisation statistique.</w:t>
      </w:r>
    </w:p>
    <w:p>
      <w:pPr>
        <w:spacing w:after="200" w:line="300"/>
        <w:jc w:val="both"/>
      </w:pPr>
      <w:r>
        <w:rPr>
          <w:sz w:val="22"/>
          <w:szCs w:val="22"/>
        </w:rPr>
        <w:t xml:space="preserve">Ce choix d'environnement a été motivé par plusieurs considérations pratiques et scientifiques. D'une part, Google Earth Engine offre un accès direct et déjà pré-traité aux collections d'images Landsat et Sentinel, évitant les étapes fastidieuses de téléchargement, de mosaïquage et de correction atmosphérique manuelle qu'imposerait un traitement local classique. D'autre part, l'écosystème Python (geopandas, rasterstats, statsmodels) permet une chaîne de traitement entièrement scriptée et reproductible, de l'acquisition des données brutes jusqu'aux résultats statistiques finaux, facilitant la traçabilité méthodologique et la possibilité de rejouer l'ensemble de l'analyse sur une autre zone d'étude ou une autre date.</w:t>
      </w:r>
    </w:p>
    <w:p>
      <w:r>
        <w:br w:type="page"/>
      </w:r>
    </w:p>
    <w:p>
      <w:pPr>
        <w:pStyle w:val="Heading1"/>
        <w:spacing w:after="200" w:before="400"/>
      </w:pPr>
      <w:r>
        <w:t xml:space="preserve">3. Méthodologie</w:t>
      </w:r>
    </w:p>
    <w:p>
      <w:pPr>
        <w:pStyle w:val="Heading2"/>
        <w:spacing w:after="150" w:before="300"/>
      </w:pPr>
      <w:r>
        <w:t xml:space="preserve">3.1 Calcul de la température de surface (LST)</w:t>
      </w:r>
    </w:p>
    <w:p>
      <w:pPr>
        <w:spacing w:after="200" w:line="300"/>
        <w:jc w:val="both"/>
      </w:pPr>
      <w:r>
        <w:rPr>
          <w:sz w:val="22"/>
          <w:szCs w:val="22"/>
        </w:rPr>
        <w:t xml:space="preserve">Satellite et capteur. La température de surface a été calculée à partir des données du satellite Landsat 8, équipé du capteur thermique TIRS (Thermal Infrared Sensor), couplé au capteur optique OLI (Operational Land Imager). Les données proviennent de la collection USGS Landsat 8 Collection 2, Level-2, Tier 1 (LANDSAT/LC08/C02/T1_L2), disponible sur Google Earth Engine.</w:t>
      </w:r>
    </w:p>
    <w:p>
      <w:pPr>
        <w:spacing w:after="200" w:line="300"/>
        <w:jc w:val="both"/>
      </w:pPr>
      <w:r>
        <w:rPr>
          <w:sz w:val="22"/>
          <w:szCs w:val="22"/>
        </w:rPr>
        <w:t xml:space="preserve">Bande utilisée. Une seule bande thermique a été mobilisée : la bande ST_B10 (Surface Temperature, Band 10), correspondant à la bande thermique infrarouge du capteur TIRS (longueur d'onde ≈ 10,6–11,19 µm), déjà pré-traitée par l'USGS en produit de température de surface de niveau 2 (corrections atmosphériques et d'émissivité incluses en amont).</w:t>
      </w:r>
    </w:p>
    <w:p>
      <w:pPr>
        <w:spacing w:after="200" w:line="300"/>
        <w:jc w:val="both"/>
      </w:pPr>
      <w:r>
        <w:rPr>
          <w:sz w:val="22"/>
          <w:szCs w:val="22"/>
        </w:rPr>
        <w:t xml:space="preserve">Résolution spatiale. La résolution native d'acquisition du capteur TIRS est de 100 m, mais le produit Collection 2 Level-2 est rééchantillonné et livré à une résolution de 30 m, alignée sur celle des bandes optiques OLI — résolution retenue comme référence pour l'ensemble de cette étude.</w:t>
      </w:r>
    </w:p>
    <w:p>
      <w:pPr>
        <w:spacing w:after="200" w:line="300"/>
        <w:jc w:val="both"/>
      </w:pPr>
      <w:r>
        <w:rPr>
          <w:sz w:val="22"/>
          <w:szCs w:val="22"/>
        </w:rPr>
        <w:t xml:space="preserve">Précision méthodologique. Contrairement à des indices tels que le NDVI, qui reposent sur une différence normalisée entre deux bandes spectrales, le calcul de la LST ne repose pas sur une différence de bandes, mais sur la conversion directe d'une bande unique (ST_B10) déjà exprimée en unités radiométriques calibrées par l'USGS. Le produit Level-2 intègre nativement les corrections atmosphériques et d'émissivité de surface ; seule la conversion finale des valeurs numériques en température physique a été réalisée dans le cadre de cette étude, selon les coefficients de calibration fournis par l'USGS.</w:t>
      </w:r>
    </w:p>
    <w:p>
      <w:pPr>
        <w:spacing w:after="200" w:line="300"/>
        <w:jc w:val="both"/>
      </w:pPr>
      <w:r>
        <w:rPr>
          <w:sz w:val="22"/>
          <w:szCs w:val="22"/>
        </w:rPr>
        <w:t xml:space="preserve">Formule de conversion :</w:t>
      </w:r>
    </w:p>
    <w:p>
      <w:pPr>
        <w:spacing w:after="150" w:before="150"/>
        <w:jc w:val="center"/>
      </w:pPr>
      <w:r>
        <w:rPr>
          <w:rFonts w:ascii="Cambria Math" w:cs="Cambria Math" w:eastAsia="Cambria Math" w:hAnsi="Cambria Math"/>
          <w:i/>
          <w:iCs/>
          <w:sz w:val="22"/>
          <w:szCs w:val="22"/>
        </w:rPr>
        <w:t xml:space="preserve">T_LST (K) = ST_B10 × 0,00341802 + 149,0</w:t>
      </w:r>
    </w:p>
    <w:p>
      <w:pPr>
        <w:spacing w:after="150" w:before="150"/>
        <w:jc w:val="center"/>
      </w:pPr>
      <w:r>
        <w:rPr>
          <w:rFonts w:ascii="Cambria Math" w:cs="Cambria Math" w:eastAsia="Cambria Math" w:hAnsi="Cambria Math"/>
          <w:i/>
          <w:iCs/>
          <w:sz w:val="22"/>
          <w:szCs w:val="22"/>
        </w:rPr>
        <w:t xml:space="preserve">T_LST (°C) = T_LST (K) − 273,15</w:t>
      </w:r>
    </w:p>
    <w:p>
      <w:pPr>
        <w:spacing w:after="200" w:line="300"/>
        <w:jc w:val="both"/>
      </w:pPr>
      <w:r>
        <w:rPr>
          <w:sz w:val="22"/>
          <w:szCs w:val="22"/>
        </w:rPr>
        <w:t xml:space="preserve">où ST_B10 est la valeur numérique brute du pixel dans la bande thermique, 0,00341802 le facteur d'échelle multiplicatif (scale factor), et 149,0 le décalage additif (offset), tous deux spécifiés dans les métadonnées du produit Landsat Collection 2 Level-2.</w:t>
      </w:r>
    </w:p>
    <w:p>
      <w:pPr>
        <w:spacing w:after="200" w:line="300"/>
        <w:jc w:val="both"/>
      </w:pPr>
      <w:r>
        <w:rPr>
          <w:sz w:val="22"/>
          <w:szCs w:val="22"/>
        </w:rPr>
        <w:t xml:space="preserve">L'image sélectionnée correspond au 16 août 2025, choisie après une recherche systématique sur la période juin-août 2025 selon trois critères conformes au cadre méthodologique d'Oke (1987) : couverture nuageuse minimale (0,01% sur la zone d'étude), vent faible au moment du passage satellite (~4 km/h), et conditions de canicule confirmée (température maximale de 40,1°C relevée par Météo-France).</w:t>
      </w:r>
    </w:p>
    <w:p>
      <w:pPr>
        <w:pStyle w:val="Heading2"/>
        <w:spacing w:after="150" w:before="300"/>
      </w:pPr>
      <w:r>
        <w:t xml:space="preserve">3.2 Construction de la grille d'analyse et choix de la résolution spatiale</w:t>
      </w:r>
    </w:p>
    <w:p>
      <w:pPr>
        <w:spacing w:after="200" w:line="300"/>
        <w:jc w:val="both"/>
      </w:pPr>
      <w:r>
        <w:rPr>
          <w:sz w:val="22"/>
          <w:szCs w:val="22"/>
        </w:rPr>
        <w:t xml:space="preserve">Afin de croiser les données morphologiques urbaines avec la température de surface, une grille régulière a été construite sur l'ensemble de la commune d'Aix-en-Provence. La résolution de 30 mètres a été retenue comme échelle d'analyse définitive, en cohérence avec la résolution native du capteur thermique Landsat 8. Ce choix permet d'éviter toute perte d'information liée à un rééchantillonnage du raster LST, chaque cellule de la grille correspondant approximativement à un pixel thermique.</w:t>
      </w:r>
    </w:p>
    <w:p>
      <w:pPr>
        <w:spacing w:after="200" w:line="300"/>
        <w:jc w:val="both"/>
      </w:pPr>
      <w:r>
        <w:rPr>
          <w:sz w:val="22"/>
          <w:szCs w:val="22"/>
        </w:rPr>
        <w:t xml:space="preserve">Cette résolution a été préférée à une grille plus large de 100 mètres, testée dans une phase exploratoire antérieure, qui présentait un effet de lissage spatial excessif : les contrastes morphologiques fins, notamment ceux du centre historique dense, y étaient dilués par moyennage avec les zones environnantes. Une résolution plus fine (10 mètres) a également été écartée, celle-ci se situant en deçà de l'échelle de voisinage (neighborhood scale) pour laquelle le schéma de classification LCZ a été conçu (Stewart &amp; Oke, 2012), et présentant un coût computationnel disproportionné au regard du gain de précision attendu.</w:t>
      </w:r>
    </w:p>
    <w:p>
      <w:pPr>
        <w:spacing w:after="200" w:line="300"/>
        <w:jc w:val="both"/>
      </w:pPr>
      <w:r>
        <w:rPr>
          <w:sz w:val="22"/>
          <w:szCs w:val="22"/>
        </w:rPr>
        <w:t xml:space="preserve">La grille finale comprend 210 418 cellules carrées de 30 m de côté, générées par découpage systématique de l'emprise rectangulaire de la commune, puis découpées aux limites administratives exactes.</w:t>
      </w:r>
    </w:p>
    <w:p>
      <w:pPr>
        <w:pStyle w:val="Heading2"/>
        <w:spacing w:after="150" w:before="300"/>
      </w:pPr>
      <w:r>
        <w:t xml:space="preserve">3.3 Calcul des indicateurs morphologiques</w:t>
      </w:r>
    </w:p>
    <w:p>
      <w:pPr>
        <w:spacing w:after="200" w:line="300"/>
        <w:jc w:val="both"/>
      </w:pPr>
      <w:r>
        <w:rPr>
          <w:sz w:val="22"/>
          <w:szCs w:val="22"/>
        </w:rPr>
        <w:t xml:space="preserve">Pour chaque cellule i de la grille, quatre indicateurs morphologiques ont été calculés par intersection géométrique (overlay) avec les couches vectorielles de référence (BD TOPO).</w:t>
      </w:r>
    </w:p>
    <w:p>
      <w:pPr>
        <w:pStyle w:val="Heading3"/>
        <w:spacing w:after="100" w:before="200"/>
      </w:pPr>
      <w:r>
        <w:t xml:space="preserve">Fraction bâtie</w:t>
      </w:r>
    </w:p>
    <w:p>
      <w:pPr>
        <w:spacing w:after="200" w:line="300"/>
        <w:jc w:val="both"/>
      </w:pPr>
      <w:r>
        <w:rPr>
          <w:sz w:val="22"/>
          <w:szCs w:val="22"/>
        </w:rPr>
        <w:t xml:space="preserve">Cet indicateur mesure la proportion de la surface d'une cellule occupée par l'emprise au sol des bâtiments — principal descripteur de densité urbaine du sol (Building Surface Fraction selon Stewart &amp; Oke, 2012) :</w:t>
      </w:r>
    </w:p>
    <w:p>
      <w:pPr>
        <w:spacing w:after="150" w:before="150"/>
        <w:jc w:val="center"/>
      </w:pPr>
      <w:r>
        <w:rPr>
          <w:rFonts w:ascii="Cambria Math" w:cs="Cambria Math" w:eastAsia="Cambria Math" w:hAnsi="Cambria Math"/>
          <w:i/>
          <w:iCs/>
          <w:sz w:val="22"/>
          <w:szCs w:val="22"/>
        </w:rPr>
        <w:t xml:space="preserve">f_bati,i = ( Σⱼ S_bati,j∩i ) / S_i</w:t>
      </w:r>
    </w:p>
    <w:p>
      <w:pPr>
        <w:spacing w:after="200" w:line="300"/>
        <w:jc w:val="both"/>
      </w:pPr>
      <w:r>
        <w:rPr>
          <w:sz w:val="22"/>
          <w:szCs w:val="22"/>
        </w:rPr>
        <w:t xml:space="preserve">où S_bati,j∩i est la surface d'intersection entre le bâtiment j et la cellule i, et S_i la surface totale de la cellule.</w:t>
      </w:r>
    </w:p>
    <w:p>
      <w:pPr>
        <w:pStyle w:val="Heading3"/>
        <w:spacing w:after="100" w:before="200"/>
      </w:pPr>
      <w:r>
        <w:t xml:space="preserve">Fraction végétalisée</w:t>
      </w:r>
    </w:p>
    <w:p>
      <w:pPr>
        <w:spacing w:after="200" w:line="300"/>
        <w:jc w:val="both"/>
      </w:pPr>
      <w:r>
        <w:rPr>
          <w:sz w:val="22"/>
          <w:szCs w:val="22"/>
        </w:rPr>
        <w:t xml:space="preserve">Cet indicateur mesure la proportion de couvert végétal au sein d'une cellule, facteur clé de refroidissement par évapotranspiration et ombrage (Pervious Surface Fraction) :</w:t>
      </w:r>
    </w:p>
    <w:p>
      <w:pPr>
        <w:spacing w:after="150" w:before="150"/>
        <w:jc w:val="center"/>
      </w:pPr>
      <w:r>
        <w:rPr>
          <w:rFonts w:ascii="Cambria Math" w:cs="Cambria Math" w:eastAsia="Cambria Math" w:hAnsi="Cambria Math"/>
          <w:i/>
          <w:iCs/>
          <w:sz w:val="22"/>
          <w:szCs w:val="22"/>
        </w:rPr>
        <w:t xml:space="preserve">f_veg,i = ( Σₖ S_veg,k∩i ) / S_i</w:t>
      </w:r>
    </w:p>
    <w:p>
      <w:pPr>
        <w:spacing w:after="200" w:line="300"/>
        <w:jc w:val="both"/>
      </w:pPr>
      <w:r>
        <w:rPr>
          <w:sz w:val="22"/>
          <w:szCs w:val="22"/>
        </w:rPr>
        <w:t xml:space="preserve">où S_veg,k∩i est la surface d'intersection entre le polygone de végétation k et la cellule i.</w:t>
      </w:r>
    </w:p>
    <w:p>
      <w:pPr>
        <w:pStyle w:val="Heading3"/>
        <w:spacing w:after="100" w:before="200"/>
      </w:pPr>
      <w:r>
        <w:t xml:space="preserve">Fraction imperméable</w:t>
      </w:r>
    </w:p>
    <w:p>
      <w:pPr>
        <w:spacing w:after="200" w:line="300"/>
        <w:jc w:val="both"/>
      </w:pPr>
      <w:r>
        <w:rPr>
          <w:sz w:val="22"/>
          <w:szCs w:val="22"/>
        </w:rPr>
        <w:t xml:space="preserve">Cet indicateur combine bâti et voirie pour représenter l'ensemble des surfaces empêchant l'infiltration et favorisant l'accumulation de chaleur (Impervious Surface Fraction) :</w:t>
      </w:r>
    </w:p>
    <w:p>
      <w:pPr>
        <w:spacing w:after="150" w:before="150"/>
        <w:jc w:val="center"/>
      </w:pPr>
      <w:r>
        <w:rPr>
          <w:rFonts w:ascii="Cambria Math" w:cs="Cambria Math" w:eastAsia="Cambria Math" w:hAnsi="Cambria Math"/>
          <w:i/>
          <w:iCs/>
          <w:sz w:val="22"/>
          <w:szCs w:val="22"/>
        </w:rPr>
        <w:t xml:space="preserve">f_imperm,i = f_bati,i + ( Σᵣ S_route,r∩i ) / S_i</w:t>
      </w:r>
    </w:p>
    <w:p>
      <w:pPr>
        <w:spacing w:after="200" w:line="300"/>
        <w:jc w:val="both"/>
      </w:pPr>
      <w:r>
        <w:rPr>
          <w:sz w:val="22"/>
          <w:szCs w:val="22"/>
        </w:rPr>
        <w:t xml:space="preserve">où S_route,r∩i est la surface d'intersection entre le tronçon routier r (bufferisé selon sa largeur de chaussée) et la cellule i, la valeur étant plafonnée à 1 pour corriger les artefacts de chevauchement géométrique.</w:t>
      </w:r>
    </w:p>
    <w:p>
      <w:pPr>
        <w:pStyle w:val="Heading3"/>
        <w:spacing w:after="100" w:before="200"/>
      </w:pPr>
      <w:r>
        <w:t xml:space="preserve">Hauteur moyenne du bâti</w:t>
      </w:r>
    </w:p>
    <w:p>
      <w:pPr>
        <w:spacing w:after="200" w:line="300"/>
        <w:jc w:val="both"/>
      </w:pPr>
      <w:r>
        <w:rPr>
          <w:sz w:val="22"/>
          <w:szCs w:val="22"/>
        </w:rPr>
        <w:t xml:space="preserve">Cet indicateur caractérise la morphologie verticale du tissu urbain (Height of Roughness Elements), pondérée par la surface de chaque bâtiment :</w:t>
      </w:r>
    </w:p>
    <w:p>
      <w:pPr>
        <w:spacing w:after="150" w:before="150"/>
        <w:jc w:val="center"/>
      </w:pPr>
      <w:r>
        <w:rPr>
          <w:rFonts w:ascii="Cambria Math" w:cs="Cambria Math" w:eastAsia="Cambria Math" w:hAnsi="Cambria Math"/>
          <w:i/>
          <w:iCs/>
          <w:sz w:val="22"/>
          <w:szCs w:val="22"/>
        </w:rPr>
        <w:t xml:space="preserve">h̄_i = ( Σⱼ hⱼ × S_bati,j∩i ) / ( Σⱼ S_bati,j∩i )</w:t>
      </w:r>
    </w:p>
    <w:p>
      <w:pPr>
        <w:spacing w:after="200" w:line="300"/>
        <w:jc w:val="both"/>
      </w:pPr>
      <w:r>
        <w:rPr>
          <w:sz w:val="22"/>
          <w:szCs w:val="22"/>
        </w:rPr>
        <w:t xml:space="preserve">où hⱼ est la hauteur du bâtiment j (constructions légères exclues), et S_bati,j∩i la surface d'intersection entre ce bâtiment et la cellule i.</w:t>
      </w:r>
    </w:p>
    <w:p>
      <w:pPr>
        <w:pStyle w:val="Heading2"/>
        <w:spacing w:after="150" w:before="300"/>
      </w:pPr>
      <w:r>
        <w:t xml:space="preserve">3.4 Classification en Zones Climatiques Locales (LCZ)</w:t>
      </w:r>
    </w:p>
    <w:p>
      <w:pPr>
        <w:spacing w:after="200" w:line="300"/>
        <w:jc w:val="both"/>
      </w:pPr>
      <w:r>
        <w:rPr>
          <w:sz w:val="22"/>
          <w:szCs w:val="22"/>
        </w:rPr>
        <w:t xml:space="preserve">La classification en Zones Climatiques Locales (LCZ) s'appuie sur le schéma de Stewart &amp; Oke (2012), qui définit 17 classes standardisées (10 classes bâties, 7 classes naturelles) sur la base de propriétés morphologiques mesurables. Dans cette étude, la classification a été opérée par un arbre de décision appliqué à chaque cellule de la grille, à partir des quatre indicateurs définis en 3.3 : fraction bâtie, fraction végétalisée, fraction imperméable, et hauteur moyenne du bâti.</w:t>
      </w:r>
    </w:p>
    <w:p>
      <w:pPr>
        <w:spacing w:after="200" w:line="300"/>
        <w:jc w:val="both"/>
      </w:pPr>
      <w:r>
        <w:rPr>
          <w:sz w:val="22"/>
          <w:szCs w:val="22"/>
        </w:rPr>
        <w:t xml:space="preserve">Le principe général de la classification distingue d'abord les cellules à dominante naturelle des cellules à dominante bâtie, selon un seuil de fraction bâtie (f_bati,i &lt; 0,05). Les cellules naturelles sont ensuite différenciées selon leurs fractions de végétation et de surface imperméable (classes A/B — arbres, D — végétation basse, E — roche nue/surface pavée, F — sol nu). Les cellules bâties sont classées selon une combinaison de seuils de hauteur moyenne et de densité bâtie, correspondant aux onze classes LCZ bâties standards.</w:t>
      </w:r>
    </w:p>
    <w:p>
      <w:pPr>
        <w:spacing w:after="200" w:line="300"/>
        <w:jc w:val="both"/>
      </w:pPr>
      <w:r>
        <w:rPr>
          <w:sz w:val="22"/>
          <w:szCs w:val="22"/>
        </w:rPr>
        <w:t xml:space="preserve">Correction par occupation du sol (Corine Land Cover). La couverture de la BD TOPO présentant des lacunes localisées, une correction a été appliquée aux cellules initialement classées « F — sol nu » en raison d'une absence de données plutôt que d'une réalité de terrain. Pour ces cellules, la classe dominante de Corine Land Cover (variable code_18) a été utilisée pour réattribuer une classe LCZ plus représentative, via une table de correspondance CLC → LCZ.</w:t>
      </w:r>
    </w:p>
    <w:p>
      <w:pPr>
        <w:spacing w:after="200" w:line="300"/>
        <w:jc w:val="both"/>
      </w:pPr>
      <w:r>
        <w:rPr>
          <w:sz w:val="22"/>
          <w:szCs w:val="22"/>
        </w:rPr>
        <w:t xml:space="preserve">Correction hydrographique. Une correction prioritaire a ensuite été appliquée à partir de la couche hydrographique BD TOPO : toute cellule dont la fraction de surface en eau dépasse 50% (f_eau,i &gt; 0,5) a été reclassée en « LCZ G — Water », indépendamment du résultat de la classification précédente.</w:t>
      </w:r>
    </w:p>
    <w:p>
      <w:pPr>
        <w:pStyle w:val="Heading2"/>
        <w:spacing w:after="150" w:before="300"/>
      </w:pPr>
      <w:r>
        <w:t xml:space="preserve">3.5 Classification de la rugosité de surface</w:t>
      </w:r>
    </w:p>
    <w:p>
      <w:pPr>
        <w:spacing w:after="200" w:line="300"/>
        <w:jc w:val="both"/>
      </w:pPr>
      <w:r>
        <w:rPr>
          <w:sz w:val="22"/>
          <w:szCs w:val="22"/>
        </w:rPr>
        <w:t xml:space="preserve">Définition et objectif. La rugosité de surface caractérise la résistance qu'oppose le tissu urbain à l'écoulement de l'air, en fonction de la hauteur et de la densité des éléments qui composent la surface (bâtiments, végétation). Il s'agit du cinquième des sept paramètres morphologiques du cadre théorique de Stewart &amp; Oke (2012) intégré à cette étude. Calculée indépendamment de la classification LCZ, elle sert d'indicateur complémentaire permettant de vérifier, par une voie distincte, la cohérence physique entre structure urbaine et température de surface.</w:t>
      </w:r>
    </w:p>
    <w:p>
      <w:pPr>
        <w:spacing w:after="200" w:line="300"/>
        <w:jc w:val="both"/>
      </w:pPr>
      <w:r>
        <w:rPr>
          <w:sz w:val="22"/>
          <w:szCs w:val="22"/>
        </w:rPr>
        <w:t xml:space="preserve">Formalisation. La classe de rugosité Rᵢ de chaque cellule i a été déterminée par une fonction de classement par seuils g, appliquée à la hauteur moyenne du bâti h̄ᵢ et à la fraction bâtie f_bati,i, selon une adaptation simplifiée des classes de rugosité de Davenport (Grimmond &amp; Oke, 1999) :</w:t>
      </w:r>
    </w:p>
    <w:p>
      <w:pPr>
        <w:spacing w:after="150" w:before="150"/>
        <w:jc w:val="center"/>
      </w:pPr>
      <w:r>
        <w:rPr>
          <w:rFonts w:ascii="Cambria Math" w:cs="Cambria Math" w:eastAsia="Cambria Math" w:hAnsi="Cambria Math"/>
          <w:i/>
          <w:iCs/>
          <w:sz w:val="22"/>
          <w:szCs w:val="22"/>
        </w:rPr>
        <w:t xml:space="preserve">Rᵢ = g(h̄ᵢ, f_bati,i)</w:t>
      </w:r>
    </w:p>
    <w:p>
      <w:pPr>
        <w:spacing w:after="100" w:before="200"/>
      </w:pPr>
      <w:r>
        <w:rPr>
          <w:b/>
          <w:bCs/>
          <w:sz w:val="20"/>
          <w:szCs w:val="20"/>
        </w:rPr>
        <w:t xml:space="preserve">Tableau 2. </w:t>
      </w:r>
      <w:r>
        <w:rPr>
          <w:i/>
          <w:iCs/>
          <w:sz w:val="20"/>
          <w:szCs w:val="20"/>
        </w:rPr>
        <w:t xml:space="preserve">Règles de classification de la rugosité de surface.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200"/>
      </w:tblGrid>
      <w:tr>
        <w:tc>
          <w:tcPr>
            <w:tcW w:type="dxa" w:w="3200"/>
            <w:shd w:fill="D9D9D9" w:val="clear"/>
          </w:tcPr>
          <w:p>
            <w:r>
              <w:rPr>
                <w:b/>
                <w:bCs/>
                <w:sz w:val="20"/>
                <w:szCs w:val="20"/>
              </w:rPr>
              <w:t xml:space="preserve">Condition sur h̄ᵢ</w:t>
            </w:r>
          </w:p>
        </w:tc>
        <w:tc>
          <w:tcPr>
            <w:tcW w:type="dxa" w:w="3200"/>
            <w:shd w:fill="D9D9D9" w:val="clear"/>
          </w:tcPr>
          <w:p>
            <w:r>
              <w:rPr>
                <w:b/>
                <w:bCs/>
                <w:sz w:val="20"/>
                <w:szCs w:val="20"/>
              </w:rPr>
              <w:t xml:space="preserve">Condition sur f_bati,i</w:t>
            </w:r>
          </w:p>
        </w:tc>
        <w:tc>
          <w:tcPr>
            <w:tcW w:type="dxa" w:w="2200"/>
            <w:shd w:fill="D9D9D9" w:val="clear"/>
          </w:tcPr>
          <w:p>
            <w:r>
              <w:rPr>
                <w:b/>
                <w:bCs/>
                <w:sz w:val="20"/>
                <w:szCs w:val="20"/>
              </w:rPr>
              <w:t xml:space="preserve">Classe Rᵢ</w:t>
            </w:r>
          </w:p>
        </w:tc>
      </w:tr>
      <w:tr>
        <w:tc>
          <w:tcPr>
            <w:tcW w:type="dxa" w:w="3200"/>
          </w:tcPr>
          <w:p>
            <w:r>
              <w:rPr>
                <w:b w:val="false"/>
                <w:bCs w:val="false"/>
                <w:sz w:val="20"/>
                <w:szCs w:val="20"/>
              </w:rPr>
              <w:t xml:space="preserve">h̄ᵢ = 0</w:t>
            </w:r>
          </w:p>
        </w:tc>
        <w:tc>
          <w:tcPr>
            <w:tcW w:type="dxa" w:w="3200"/>
          </w:tcPr>
          <w:p>
            <w:r>
              <w:rPr>
                <w:b w:val="false"/>
                <w:bCs w:val="false"/>
                <w:sz w:val="20"/>
                <w:szCs w:val="20"/>
              </w:rPr>
              <w:t xml:space="preserve">—</w:t>
            </w:r>
          </w:p>
        </w:tc>
        <w:tc>
          <w:tcPr>
            <w:tcW w:type="dxa" w:w="2200"/>
          </w:tcPr>
          <w:p>
            <w:r>
              <w:rPr>
                <w:b w:val="false"/>
                <w:bCs w:val="false"/>
                <w:sz w:val="20"/>
                <w:szCs w:val="20"/>
              </w:rPr>
              <w:t xml:space="preserve">8 (très lisse)</w:t>
            </w:r>
          </w:p>
        </w:tc>
      </w:tr>
      <w:tr>
        <w:tc>
          <w:tcPr>
            <w:tcW w:type="dxa" w:w="3200"/>
          </w:tcPr>
          <w:p>
            <w:r>
              <w:rPr>
                <w:b w:val="false"/>
                <w:bCs w:val="false"/>
                <w:sz w:val="20"/>
                <w:szCs w:val="20"/>
              </w:rPr>
              <w:t xml:space="preserve">0 &lt; h̄ᵢ &lt; 3</w:t>
            </w:r>
          </w:p>
        </w:tc>
        <w:tc>
          <w:tcPr>
            <w:tcW w:type="dxa" w:w="3200"/>
          </w:tcPr>
          <w:p>
            <w:r>
              <w:rPr>
                <w:b w:val="false"/>
                <w:bCs w:val="false"/>
                <w:sz w:val="20"/>
                <w:szCs w:val="20"/>
              </w:rPr>
              <w:t xml:space="preserve">f_bati,i &lt; 0,1</w:t>
            </w:r>
          </w:p>
        </w:tc>
        <w:tc>
          <w:tcPr>
            <w:tcW w:type="dxa" w:w="2200"/>
          </w:tcPr>
          <w:p>
            <w:r>
              <w:rPr>
                <w:b w:val="false"/>
                <w:bCs w:val="false"/>
                <w:sz w:val="20"/>
                <w:szCs w:val="20"/>
              </w:rPr>
              <w:t xml:space="preserve">7</w:t>
            </w:r>
          </w:p>
        </w:tc>
      </w:tr>
      <w:tr>
        <w:tc>
          <w:tcPr>
            <w:tcW w:type="dxa" w:w="3200"/>
          </w:tcPr>
          <w:p>
            <w:r>
              <w:rPr>
                <w:b w:val="false"/>
                <w:bCs w:val="false"/>
                <w:sz w:val="20"/>
                <w:szCs w:val="20"/>
              </w:rPr>
              <w:t xml:space="preserve">0 &lt; h̄ᵢ &lt; 3</w:t>
            </w:r>
          </w:p>
        </w:tc>
        <w:tc>
          <w:tcPr>
            <w:tcW w:type="dxa" w:w="3200"/>
          </w:tcPr>
          <w:p>
            <w:r>
              <w:rPr>
                <w:b w:val="false"/>
                <w:bCs w:val="false"/>
                <w:sz w:val="20"/>
                <w:szCs w:val="20"/>
              </w:rPr>
              <w:t xml:space="preserve">f_bati,i ≥ 0,1</w:t>
            </w:r>
          </w:p>
        </w:tc>
        <w:tc>
          <w:tcPr>
            <w:tcW w:type="dxa" w:w="2200"/>
          </w:tcPr>
          <w:p>
            <w:r>
              <w:rPr>
                <w:b w:val="false"/>
                <w:bCs w:val="false"/>
                <w:sz w:val="20"/>
                <w:szCs w:val="20"/>
              </w:rPr>
              <w:t xml:space="preserve">6</w:t>
            </w:r>
          </w:p>
        </w:tc>
      </w:tr>
      <w:tr>
        <w:tc>
          <w:tcPr>
            <w:tcW w:type="dxa" w:w="3200"/>
          </w:tcPr>
          <w:p>
            <w:r>
              <w:rPr>
                <w:b w:val="false"/>
                <w:bCs w:val="false"/>
                <w:sz w:val="20"/>
                <w:szCs w:val="20"/>
              </w:rPr>
              <w:t xml:space="preserve">3 ≤ h̄ᵢ &lt; 10</w:t>
            </w:r>
          </w:p>
        </w:tc>
        <w:tc>
          <w:tcPr>
            <w:tcW w:type="dxa" w:w="3200"/>
          </w:tcPr>
          <w:p>
            <w:r>
              <w:rPr>
                <w:b w:val="false"/>
                <w:bCs w:val="false"/>
                <w:sz w:val="20"/>
                <w:szCs w:val="20"/>
              </w:rPr>
              <w:t xml:space="preserve">f_bati,i &lt; 0,2</w:t>
            </w:r>
          </w:p>
        </w:tc>
        <w:tc>
          <w:tcPr>
            <w:tcW w:type="dxa" w:w="2200"/>
          </w:tcPr>
          <w:p>
            <w:r>
              <w:rPr>
                <w:b w:val="false"/>
                <w:bCs w:val="false"/>
                <w:sz w:val="20"/>
                <w:szCs w:val="20"/>
              </w:rPr>
              <w:t xml:space="preserve">5</w:t>
            </w:r>
          </w:p>
        </w:tc>
      </w:tr>
      <w:tr>
        <w:tc>
          <w:tcPr>
            <w:tcW w:type="dxa" w:w="3200"/>
          </w:tcPr>
          <w:p>
            <w:r>
              <w:rPr>
                <w:b w:val="false"/>
                <w:bCs w:val="false"/>
                <w:sz w:val="20"/>
                <w:szCs w:val="20"/>
              </w:rPr>
              <w:t xml:space="preserve">3 ≤ h̄ᵢ &lt; 10</w:t>
            </w:r>
          </w:p>
        </w:tc>
        <w:tc>
          <w:tcPr>
            <w:tcW w:type="dxa" w:w="3200"/>
          </w:tcPr>
          <w:p>
            <w:r>
              <w:rPr>
                <w:b w:val="false"/>
                <w:bCs w:val="false"/>
                <w:sz w:val="20"/>
                <w:szCs w:val="20"/>
              </w:rPr>
              <w:t xml:space="preserve">f_bati,i ≥ 0,2</w:t>
            </w:r>
          </w:p>
        </w:tc>
        <w:tc>
          <w:tcPr>
            <w:tcW w:type="dxa" w:w="2200"/>
          </w:tcPr>
          <w:p>
            <w:r>
              <w:rPr>
                <w:b w:val="false"/>
                <w:bCs w:val="false"/>
                <w:sz w:val="20"/>
                <w:szCs w:val="20"/>
              </w:rPr>
              <w:t xml:space="preserve">4</w:t>
            </w:r>
          </w:p>
        </w:tc>
      </w:tr>
      <w:tr>
        <w:tc>
          <w:tcPr>
            <w:tcW w:type="dxa" w:w="3200"/>
          </w:tcPr>
          <w:p>
            <w:r>
              <w:rPr>
                <w:b w:val="false"/>
                <w:bCs w:val="false"/>
                <w:sz w:val="20"/>
                <w:szCs w:val="20"/>
              </w:rPr>
              <w:t xml:space="preserve">h̄ᵢ ≥ 10</w:t>
            </w:r>
          </w:p>
        </w:tc>
        <w:tc>
          <w:tcPr>
            <w:tcW w:type="dxa" w:w="3200"/>
          </w:tcPr>
          <w:p>
            <w:r>
              <w:rPr>
                <w:b w:val="false"/>
                <w:bCs w:val="false"/>
                <w:sz w:val="20"/>
                <w:szCs w:val="20"/>
              </w:rPr>
              <w:t xml:space="preserve">f_bati,i &lt; 0,4</w:t>
            </w:r>
          </w:p>
        </w:tc>
        <w:tc>
          <w:tcPr>
            <w:tcW w:type="dxa" w:w="2200"/>
          </w:tcPr>
          <w:p>
            <w:r>
              <w:rPr>
                <w:b w:val="false"/>
                <w:bCs w:val="false"/>
                <w:sz w:val="20"/>
                <w:szCs w:val="20"/>
              </w:rPr>
              <w:t xml:space="preserve">3</w:t>
            </w:r>
          </w:p>
        </w:tc>
      </w:tr>
      <w:tr>
        <w:tc>
          <w:tcPr>
            <w:tcW w:type="dxa" w:w="3200"/>
          </w:tcPr>
          <w:p>
            <w:r>
              <w:rPr>
                <w:b w:val="false"/>
                <w:bCs w:val="false"/>
                <w:sz w:val="20"/>
                <w:szCs w:val="20"/>
              </w:rPr>
              <w:t xml:space="preserve">h̄ᵢ ≥ 10</w:t>
            </w:r>
          </w:p>
        </w:tc>
        <w:tc>
          <w:tcPr>
            <w:tcW w:type="dxa" w:w="3200"/>
          </w:tcPr>
          <w:p>
            <w:r>
              <w:rPr>
                <w:b w:val="false"/>
                <w:bCs w:val="false"/>
                <w:sz w:val="20"/>
                <w:szCs w:val="20"/>
              </w:rPr>
              <w:t xml:space="preserve">f_bati,i ≥ 0,4</w:t>
            </w:r>
          </w:p>
        </w:tc>
        <w:tc>
          <w:tcPr>
            <w:tcW w:type="dxa" w:w="2200"/>
          </w:tcPr>
          <w:p>
            <w:r>
              <w:rPr>
                <w:b w:val="false"/>
                <w:bCs w:val="false"/>
                <w:sz w:val="20"/>
                <w:szCs w:val="20"/>
              </w:rPr>
              <w:t xml:space="preserve">2 (très rugueux)</w:t>
            </w:r>
          </w:p>
        </w:tc>
      </w:tr>
    </w:tbl>
    <w:p>
      <w:pPr>
        <w:spacing w:after="200" w:line="300"/>
        <w:jc w:val="both"/>
      </w:pPr>
      <w:r>
        <w:rPr>
          <w:sz w:val="22"/>
          <w:szCs w:val="22"/>
        </w:rPr>
        <w:t xml:space="preserve">La classe 1, réservée aux tissus urbains extrêmement denses et élevés dans l'échelle originale de Davenport, n'a pas été observée sur la commune d'Aix-en-Provence.</w:t>
      </w:r>
    </w:p>
    <w:p>
      <w:pPr>
        <w:pStyle w:val="Heading2"/>
        <w:spacing w:after="150" w:before="300"/>
      </w:pPr>
      <w:r>
        <w:t xml:space="preserve">3.6 Modèle de régression linéaire multiple</w:t>
      </w:r>
    </w:p>
    <w:p>
      <w:pPr>
        <w:spacing w:after="200" w:line="300"/>
        <w:jc w:val="both"/>
      </w:pPr>
      <w:r>
        <w:rPr>
          <w:sz w:val="22"/>
          <w:szCs w:val="22"/>
        </w:rPr>
        <w:t xml:space="preserve">Objectif. Afin de quantifier la contribution relative de chaque indicateur morphologique à la variation spatiale de la température de surface, un modèle de régression linéaire multiple par moindres carrés ordinaires (Ordinary Least Squares, OLS) a été estimé.</w:t>
      </w:r>
    </w:p>
    <w:p>
      <w:pPr>
        <w:spacing w:after="200" w:line="300"/>
        <w:jc w:val="both"/>
      </w:pPr>
      <w:r>
        <w:rPr>
          <w:sz w:val="22"/>
          <w:szCs w:val="22"/>
        </w:rPr>
        <w:t xml:space="preserve">Spécification du modèle. Pour chaque cellule i de la grille :</w:t>
      </w:r>
    </w:p>
    <w:p>
      <w:pPr>
        <w:spacing w:after="150" w:before="150"/>
        <w:jc w:val="center"/>
      </w:pPr>
      <w:r>
        <w:rPr>
          <w:rFonts w:ascii="Cambria Math" w:cs="Cambria Math" w:eastAsia="Cambria Math" w:hAnsi="Cambria Math"/>
          <w:i/>
          <w:iCs/>
          <w:sz w:val="22"/>
          <w:szCs w:val="22"/>
        </w:rPr>
        <w:t xml:space="preserve">T_LST,i = β₀ + β₁f_bati,i + β₂f_veg,i + β₃f_imperm,i + β₄h̄ᵢ + β₅Rᵢ + εᵢ</w:t>
      </w:r>
    </w:p>
    <w:p>
      <w:pPr>
        <w:spacing w:after="200" w:line="300"/>
        <w:jc w:val="both"/>
      </w:pPr>
      <w:r>
        <w:rPr>
          <w:sz w:val="22"/>
          <w:szCs w:val="22"/>
        </w:rPr>
        <w:t xml:space="preserve">où T_LST,i est la température de surface observée, β₀ la constante, β₁...β₅ les coefficients estimés, et εᵢ le terme d'erreur (résidu) de la cellule i.</w:t>
      </w:r>
    </w:p>
    <w:p>
      <w:pPr>
        <w:spacing w:after="200" w:line="300"/>
        <w:jc w:val="both"/>
      </w:pPr>
      <w:r>
        <w:rPr>
          <w:sz w:val="22"/>
          <w:szCs w:val="22"/>
        </w:rPr>
        <w:t xml:space="preserve">Estimation. Les coefficients ont été estimés par minimisation de la somme des carrés des résidus :</w:t>
      </w:r>
    </w:p>
    <w:p>
      <w:pPr>
        <w:spacing w:after="150" w:before="150"/>
        <w:jc w:val="center"/>
      </w:pPr>
      <w:r>
        <w:rPr>
          <w:rFonts w:ascii="Cambria Math" w:cs="Cambria Math" w:eastAsia="Cambria Math" w:hAnsi="Cambria Math"/>
          <w:i/>
          <w:iCs/>
          <w:sz w:val="22"/>
          <w:szCs w:val="22"/>
        </w:rPr>
        <w:t xml:space="preserve">β̂ = argmin_β Σᵢ ( T_LST,i − T̂_LST,i )²</w:t>
      </w:r>
    </w:p>
    <w:p>
      <w:pPr>
        <w:spacing w:after="200" w:line="300"/>
        <w:jc w:val="both"/>
      </w:pPr>
      <w:r>
        <w:rPr>
          <w:sz w:val="22"/>
          <w:szCs w:val="22"/>
        </w:rPr>
        <w:t xml:space="preserve">où T̂_LST,i est la valeur de température prédite par le modèle (LST modélisée), et n = 210 036 le nombre de cellules valides après filtrage.</w:t>
      </w:r>
    </w:p>
    <w:p>
      <w:pPr>
        <w:spacing w:after="200" w:line="300"/>
        <w:jc w:val="both"/>
      </w:pPr>
      <w:r>
        <w:rPr>
          <w:sz w:val="22"/>
          <w:szCs w:val="22"/>
        </w:rPr>
        <w:t xml:space="preserve">Qualité d'ajustement :</w:t>
      </w:r>
    </w:p>
    <w:p>
      <w:pPr>
        <w:spacing w:after="150" w:before="150"/>
        <w:jc w:val="center"/>
      </w:pPr>
      <w:r>
        <w:rPr>
          <w:rFonts w:ascii="Cambria Math" w:cs="Cambria Math" w:eastAsia="Cambria Math" w:hAnsi="Cambria Math"/>
          <w:i/>
          <w:iCs/>
          <w:sz w:val="22"/>
          <w:szCs w:val="22"/>
        </w:rPr>
        <w:t xml:space="preserve">R² = 1 − [ Σᵢ(T_LST,i − T̂_LST,i)² / Σᵢ(T_LST,i − T̄_LST)² ]</w:t>
      </w:r>
    </w:p>
    <w:p>
      <w:pPr>
        <w:spacing w:after="200" w:line="300"/>
        <w:jc w:val="both"/>
      </w:pPr>
      <w:r>
        <w:rPr>
          <w:sz w:val="22"/>
          <w:szCs w:val="22"/>
        </w:rPr>
        <w:t xml:space="preserve">Résidus. Pour chaque cellule, le résidu représente l'écart entre température observée et température modélisée :</w:t>
      </w:r>
    </w:p>
    <w:p>
      <w:pPr>
        <w:spacing w:after="150" w:before="150"/>
        <w:jc w:val="center"/>
      </w:pPr>
      <w:r>
        <w:rPr>
          <w:rFonts w:ascii="Cambria Math" w:cs="Cambria Math" w:eastAsia="Cambria Math" w:hAnsi="Cambria Math"/>
          <w:i/>
          <w:iCs/>
          <w:sz w:val="22"/>
          <w:szCs w:val="22"/>
        </w:rPr>
        <w:t xml:space="preserve">εᵢ = T_LST,i − T̂_LST,i</w:t>
      </w:r>
    </w:p>
    <w:p>
      <w:pPr>
        <w:spacing w:after="200" w:line="300"/>
        <w:jc w:val="both"/>
      </w:pPr>
      <w:r>
        <w:rPr>
          <w:sz w:val="22"/>
          <w:szCs w:val="22"/>
        </w:rPr>
        <w:t xml:space="preserve">Un résidu positif indique une sous-estimation de la température par le modèle, tandis qu'un résidu négatif indique une surestimation. La cartographie de ces résidus permet d'identifier les zones où les indicateurs morphologiques retenus n'expliquent pas pleinement la variabilité thermique observée.</w:t>
      </w:r>
    </w:p>
    <w:p>
      <w:pPr>
        <w:pStyle w:val="Heading2"/>
        <w:spacing w:after="150" w:before="300"/>
      </w:pPr>
      <w:r>
        <w:t xml:space="preserve">3.7 Calcul de l'intensité de l'îlot de chaleur urbain (UHI)</w:t>
      </w:r>
    </w:p>
    <w:p>
      <w:pPr>
        <w:spacing w:after="200" w:line="300"/>
        <w:jc w:val="both"/>
      </w:pPr>
      <w:r>
        <w:rPr>
          <w:sz w:val="22"/>
          <w:szCs w:val="22"/>
        </w:rPr>
        <w:t xml:space="preserve">Définition et principe. L'intensité de l'îlot de chaleur urbain (Urban Heat Island intensity, ΔT_UHI) mesure l'écart de température entre une classe d'occupation du sol donnée et une classe de référence rurale, conformément à la définition classique d'Oke (1982).</w:t>
      </w:r>
    </w:p>
    <w:p>
      <w:pPr>
        <w:spacing w:after="200" w:line="300"/>
        <w:jc w:val="both"/>
      </w:pPr>
      <w:r>
        <w:rPr>
          <w:sz w:val="22"/>
          <w:szCs w:val="22"/>
        </w:rPr>
        <w:t xml:space="preserve">Classe de référence. La classe LCZ D (Low plants — végétation basse, milieux agricoles et naturels) a été retenue comme référence rurale (n = 69 846 cellules).</w:t>
      </w:r>
    </w:p>
    <w:p>
      <w:pPr>
        <w:spacing w:after="200" w:line="300"/>
        <w:jc w:val="both"/>
      </w:pPr>
      <w:r>
        <w:rPr>
          <w:sz w:val="22"/>
          <w:szCs w:val="22"/>
        </w:rPr>
        <w:t xml:space="preserve">Formalisation. Pour chaque classe LCZ c, la température moyenne est calculée comme :</w:t>
      </w:r>
    </w:p>
    <w:p>
      <w:pPr>
        <w:spacing w:after="150" w:before="150"/>
        <w:jc w:val="center"/>
      </w:pPr>
      <w:r>
        <w:rPr>
          <w:rFonts w:ascii="Cambria Math" w:cs="Cambria Math" w:eastAsia="Cambria Math" w:hAnsi="Cambria Math"/>
          <w:i/>
          <w:iCs/>
          <w:sz w:val="22"/>
          <w:szCs w:val="22"/>
        </w:rPr>
        <w:t xml:space="preserve">T̄_c = (1/n_c) Σᵢ∈c T_LST,i</w:t>
      </w:r>
    </w:p>
    <w:p>
      <w:pPr>
        <w:spacing w:after="200" w:line="300"/>
        <w:jc w:val="both"/>
      </w:pPr>
      <w:r>
        <w:rPr>
          <w:sz w:val="22"/>
          <w:szCs w:val="22"/>
        </w:rPr>
        <w:t xml:space="preserve">L'intensité de l'îlot de chaleur urbain pour la classe c se calcule ensuite comme :</w:t>
      </w:r>
    </w:p>
    <w:p>
      <w:pPr>
        <w:spacing w:after="150" w:before="150"/>
        <w:jc w:val="center"/>
      </w:pPr>
      <w:r>
        <w:rPr>
          <w:rFonts w:ascii="Cambria Math" w:cs="Cambria Math" w:eastAsia="Cambria Math" w:hAnsi="Cambria Math"/>
          <w:i/>
          <w:iCs/>
          <w:sz w:val="22"/>
          <w:szCs w:val="22"/>
        </w:rPr>
        <w:t xml:space="preserve">ΔT_UHI,c = T̄_c − T̄_D</w:t>
      </w:r>
    </w:p>
    <w:p>
      <w:pPr>
        <w:spacing w:after="200" w:line="300"/>
        <w:jc w:val="both"/>
      </w:pPr>
      <w:r>
        <w:rPr>
          <w:sz w:val="22"/>
          <w:szCs w:val="22"/>
        </w:rPr>
        <w:t xml:space="preserve">où T̄_D est la température moyenne de la classe de référence rurale (LCZ D). Une valeur positive indique un réchauffement relatif, une valeur négative un rafraîchissement relatif.</w:t>
      </w:r>
    </w:p>
    <w:p>
      <w:r>
        <w:br w:type="page"/>
      </w:r>
    </w:p>
    <w:p>
      <w:pPr>
        <w:pStyle w:val="Heading1"/>
        <w:spacing w:after="200" w:before="400"/>
      </w:pPr>
      <w:r>
        <w:t xml:space="preserve">4. Résultats</w:t>
      </w:r>
    </w:p>
    <w:p>
      <w:pPr>
        <w:pStyle w:val="Heading2"/>
        <w:spacing w:after="150" w:before="300"/>
      </w:pPr>
      <w:r>
        <w:t xml:space="preserve">4.1 Validation de la température de surface</w:t>
      </w:r>
    </w:p>
    <w:p>
      <w:pPr>
        <w:spacing w:after="200" w:line="300"/>
        <w:jc w:val="both"/>
      </w:pPr>
      <w:r>
        <w:rPr>
          <w:sz w:val="22"/>
          <w:szCs w:val="22"/>
        </w:rPr>
        <w:t xml:space="preserve">La distribution statistique des valeurs de LST extraites sur la commune d'Aix-en-Provence présente une forme unimodale, centrée entre 47 et 48°C, avec un intervalle de variation de 39 à 65°C (Figure 2). Cette distribution, cohérente avec les conditions de canicule confirmées le 16 août 2025, ne présente pas d'anomalie statistique majeure susceptible de remettre en cause la fiabilité du raster source. Un filtrage a été appliqué pour exclure les cellules présentant des valeurs de température inférieures à 25°C, correspondant à des artefacts ponctuels (1 cellule exclue sur 210 037, soit 0,0005%).</w:t>
      </w:r>
    </w:p>
    <w:p>
      <w:pPr>
        <w:pBdr>
          <w:top w:val="single" w:color="999999" w:sz="4"/>
          <w:bottom w:val="single" w:color="999999" w:sz="4"/>
          <w:left w:val="single" w:color="999999" w:sz="4"/>
          <w:right w:val="single" w:color="999999" w:sz="4"/>
        </w:pBdr>
        <w:spacing w:after="100" w:before="300"/>
        <w:jc w:val="center"/>
      </w:pPr>
      <w:r>
        <w:rPr>
          <w:i/>
          <w:iCs/>
          <w:color w:val="888888"/>
          <w:sz w:val="20"/>
          <w:szCs w:val="20"/>
        </w:rPr>
        <w:t xml:space="preserve">[ EMPLACEMENT FIGURE 2 — insérer ici : histogramme_LST.png ]</w:t>
      </w:r>
    </w:p>
    <w:p>
      <w:pPr>
        <w:spacing w:after="300"/>
        <w:jc w:val="center"/>
      </w:pPr>
      <w:r>
        <w:rPr>
          <w:i/>
          <w:iCs/>
          <w:sz w:val="20"/>
          <w:szCs w:val="20"/>
        </w:rPr>
        <w:t xml:space="preserve">Figure 2. Histogramme de distribution de la température de surface (LST) observée.</w:t>
      </w:r>
    </w:p>
    <w:p>
      <w:pPr>
        <w:pBdr>
          <w:top w:val="single" w:color="999999" w:sz="4"/>
          <w:bottom w:val="single" w:color="999999" w:sz="4"/>
          <w:left w:val="single" w:color="999999" w:sz="4"/>
          <w:right w:val="single" w:color="999999" w:sz="4"/>
        </w:pBdr>
        <w:spacing w:after="100" w:before="300"/>
        <w:jc w:val="center"/>
      </w:pPr>
      <w:r>
        <w:rPr>
          <w:i/>
          <w:iCs/>
          <w:color w:val="888888"/>
          <w:sz w:val="20"/>
          <w:szCs w:val="20"/>
        </w:rPr>
        <w:t xml:space="preserve">[ EMPLACEMENT FIGURE 3 — insérer ici : map_LST_observed_30m_turbo.png ]</w:t>
      </w:r>
    </w:p>
    <w:p>
      <w:pPr>
        <w:spacing w:after="300"/>
        <w:jc w:val="center"/>
      </w:pPr>
      <w:r>
        <w:rPr>
          <w:i/>
          <w:iCs/>
          <w:sz w:val="20"/>
          <w:szCs w:val="20"/>
        </w:rPr>
        <w:t xml:space="preserve">Figure 3. Carte de la température de surface observée (LST) — grille 30 m.</w:t>
      </w:r>
    </w:p>
    <w:p>
      <w:pPr>
        <w:pStyle w:val="Heading2"/>
        <w:spacing w:after="150" w:before="300"/>
      </w:pPr>
      <w:r>
        <w:t xml:space="preserve">4.2 Classification en Zones Climatiques Locales</w:t>
      </w:r>
    </w:p>
    <w:p>
      <w:pPr>
        <w:spacing w:after="200" w:line="300"/>
        <w:jc w:val="both"/>
      </w:pPr>
      <w:r>
        <w:rPr>
          <w:sz w:val="22"/>
          <w:szCs w:val="22"/>
        </w:rPr>
        <w:t xml:space="preserve">La classification LCZ à 30 m de résolution (Figure 4) révèle une organisation spatiale cohérente avec la structure urbaine connue de la commune : les classes A/B (arbres) et D (végétation basse) dominent très largement le territoire (respectivement 42,4% et 33,3% des cellules), reflétant la prédominance des espaces naturels et agricoles à l'échelle communale. Les classes bâties denses (LCZ 2, LCZ 3) et le centre historique (LCZ 1) occupent une surface bien plus restreinte mais géographiquement concentrée sur le cœur urbain.</w:t>
      </w:r>
    </w:p>
    <w:p>
      <w:pPr>
        <w:spacing w:after="200" w:line="300"/>
        <w:jc w:val="both"/>
      </w:pPr>
      <w:r>
        <w:rPr>
          <w:sz w:val="22"/>
          <w:szCs w:val="22"/>
        </w:rPr>
        <w:t xml:space="preserve">Un résultat notable de l'analyse à 30 m est l'émergence de la classe LCZ 1 (Compact high-rise), absente à une résolution plus grossière de 100 m testée en phase exploratoire, où le signal du centre historique était dilué par effet de moyennage spatial. Cette émergence de 56 cellules LCZ 1 valide l'intérêt d'une résolution alignée sur le pixel natif Landsat pour capturer les contrastes morphologiques fins.</w:t>
      </w:r>
    </w:p>
    <w:p>
      <w:pPr>
        <w:pBdr>
          <w:top w:val="single" w:color="999999" w:sz="4"/>
          <w:bottom w:val="single" w:color="999999" w:sz="4"/>
          <w:left w:val="single" w:color="999999" w:sz="4"/>
          <w:right w:val="single" w:color="999999" w:sz="4"/>
        </w:pBdr>
        <w:spacing w:after="100" w:before="300"/>
        <w:jc w:val="center"/>
      </w:pPr>
      <w:r>
        <w:rPr>
          <w:i/>
          <w:iCs/>
          <w:color w:val="888888"/>
          <w:sz w:val="20"/>
          <w:szCs w:val="20"/>
        </w:rPr>
        <w:t xml:space="preserve">[ EMPLACEMENT FIGURE 4 — insérer ici : carte_LCZ_30m.png ]</w:t>
      </w:r>
    </w:p>
    <w:p>
      <w:pPr>
        <w:spacing w:after="300"/>
        <w:jc w:val="center"/>
      </w:pPr>
      <w:r>
        <w:rPr>
          <w:i/>
          <w:iCs/>
          <w:sz w:val="20"/>
          <w:szCs w:val="20"/>
        </w:rPr>
        <w:t xml:space="preserve">Figure 4. Carte de classification en Zones Climatiques Locales (LCZ) — grille 30 m.</w:t>
      </w:r>
    </w:p>
    <w:p>
      <w:pPr>
        <w:pStyle w:val="Heading2"/>
        <w:spacing w:after="150" w:before="300"/>
      </w:pPr>
      <w:r>
        <w:t xml:space="preserve">4.3 Température de surface par classe LCZ et intensité de l'îlot de chaleur urbain</w:t>
      </w:r>
    </w:p>
    <w:p>
      <w:pPr>
        <w:spacing w:after="200" w:line="300"/>
        <w:jc w:val="both"/>
      </w:pPr>
      <w:r>
        <w:rPr>
          <w:sz w:val="22"/>
          <w:szCs w:val="22"/>
        </w:rPr>
        <w:t xml:space="preserve">Le croisement entre classification LCZ et température de surface (Tableau 3, Figure 5) fait apparaître un gradient thermique cohérent avec la structure morphologique des classes considérées. La classe LCZ 8 (Large low-rise) présente la température moyenne la plus élevée (51,94°C), suivie des classes LCZ 3 (Compact low-rise) et LCZ 2 (Compact mid-rise) (respectivement 51,11°C et 50,56°C). À l'opposé, la classe LCZ G (Water) affiche la température la plus basse (42,40°C), suivie de la classe A/B (Dense/scattered trees) (45,68°C).</w:t>
      </w:r>
    </w:p>
    <w:p>
      <w:pPr>
        <w:spacing w:after="200" w:line="300"/>
        <w:jc w:val="both"/>
      </w:pPr>
      <w:r>
        <w:rPr>
          <w:sz w:val="22"/>
          <w:szCs w:val="22"/>
        </w:rPr>
        <w:t xml:space="preserve">En prenant la classe D (végétation basse, 49,04°C) comme référence rurale, l'intensité de l'îlot de chaleur urbain atteint son maximum pour la classe LCZ 8 (+2,90°C), suivie de LCZ 3 (+2,07°C) et LCZ 2 (+1,52°C). Les classes végétalisées et aquatiques présentent au contraire une intensité négative : -3,36°C pour les arbres, et -6,64°C pour l'eau.</w:t>
      </w:r>
    </w:p>
    <w:p>
      <w:pPr>
        <w:spacing w:after="200" w:line="300"/>
        <w:jc w:val="both"/>
      </w:pPr>
      <w:r>
        <w:rPr>
          <w:sz w:val="22"/>
          <w:szCs w:val="22"/>
        </w:rPr>
        <w:t xml:space="preserve">Résultat notable — LCZ 1 (Compact high-rise). Contrairement à l'hypothèse initiale selon laquelle le centre historique dense et élevé constituerait la classe la plus chaude, la classe LCZ 1 présente une température moyenne de 48,91°C, soit une intensité UHI quasi nulle (-0,13°C) — un résultat discuté en détail en section 5.1.</w:t>
      </w:r>
    </w:p>
    <w:p>
      <w:pPr>
        <w:spacing w:after="100" w:before="200"/>
      </w:pPr>
      <w:r>
        <w:rPr>
          <w:b/>
          <w:bCs/>
          <w:sz w:val="20"/>
          <w:szCs w:val="20"/>
        </w:rPr>
        <w:t xml:space="preserve">Tableau 3. </w:t>
      </w:r>
      <w:r>
        <w:rPr>
          <w:i/>
          <w:iCs/>
          <w:sz w:val="20"/>
          <w:szCs w:val="20"/>
        </w:rPr>
        <w:t xml:space="preserve">Température de surface moyenne (LST), écart-type et intensité UHI par classe LCZ, grille 30 m (référence rurale : LCZ 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300"/>
        <w:gridCol w:w="1300"/>
        <w:gridCol w:w="1800"/>
      </w:tblGrid>
      <w:tr>
        <w:tc>
          <w:tcPr>
            <w:tcW w:type="dxa" w:w="2600"/>
            <w:shd w:fill="D9D9D9" w:val="clear"/>
          </w:tcPr>
          <w:p>
            <w:r>
              <w:rPr>
                <w:b/>
                <w:bCs/>
                <w:sz w:val="20"/>
                <w:szCs w:val="20"/>
              </w:rPr>
              <w:t xml:space="preserve">Classe LCZ</w:t>
            </w:r>
          </w:p>
        </w:tc>
        <w:tc>
          <w:tcPr>
            <w:tcW w:type="dxa" w:w="1400"/>
            <w:shd w:fill="D9D9D9" w:val="clear"/>
          </w:tcPr>
          <w:p>
            <w:r>
              <w:rPr>
                <w:b/>
                <w:bCs/>
                <w:sz w:val="20"/>
                <w:szCs w:val="20"/>
              </w:rPr>
              <w:t xml:space="preserve">LST moy. (°C)</w:t>
            </w:r>
          </w:p>
        </w:tc>
        <w:tc>
          <w:tcPr>
            <w:tcW w:type="dxa" w:w="1300"/>
            <w:shd w:fill="D9D9D9" w:val="clear"/>
          </w:tcPr>
          <w:p>
            <w:r>
              <w:rPr>
                <w:b/>
                <w:bCs/>
                <w:sz w:val="20"/>
                <w:szCs w:val="20"/>
              </w:rPr>
              <w:t xml:space="preserve">Écart-type</w:t>
            </w:r>
          </w:p>
        </w:tc>
        <w:tc>
          <w:tcPr>
            <w:tcW w:type="dxa" w:w="1300"/>
            <w:shd w:fill="D9D9D9" w:val="clear"/>
          </w:tcPr>
          <w:p>
            <w:r>
              <w:rPr>
                <w:b/>
                <w:bCs/>
                <w:sz w:val="20"/>
                <w:szCs w:val="20"/>
              </w:rPr>
              <w:t xml:space="preserve">n cellules</w:t>
            </w:r>
          </w:p>
        </w:tc>
        <w:tc>
          <w:tcPr>
            <w:tcW w:type="dxa" w:w="1800"/>
            <w:shd w:fill="D9D9D9" w:val="clear"/>
          </w:tcPr>
          <w:p>
            <w:r>
              <w:rPr>
                <w:b/>
                <w:bCs/>
                <w:sz w:val="20"/>
                <w:szCs w:val="20"/>
              </w:rPr>
              <w:t xml:space="preserve">Intensité UHI (°C)</w:t>
            </w:r>
          </w:p>
        </w:tc>
      </w:tr>
      <w:tr>
        <w:tc>
          <w:tcPr>
            <w:tcW w:type="dxa" w:w="2600"/>
          </w:tcPr>
          <w:p>
            <w:r>
              <w:rPr>
                <w:b w:val="false"/>
                <w:bCs w:val="false"/>
                <w:sz w:val="20"/>
                <w:szCs w:val="20"/>
              </w:rPr>
              <w:t xml:space="preserve">LCZ 8 — Large low-rise</w:t>
            </w:r>
          </w:p>
        </w:tc>
        <w:tc>
          <w:tcPr>
            <w:tcW w:type="dxa" w:w="1400"/>
          </w:tcPr>
          <w:p>
            <w:r>
              <w:rPr>
                <w:b w:val="false"/>
                <w:bCs w:val="false"/>
                <w:sz w:val="20"/>
                <w:szCs w:val="20"/>
              </w:rPr>
              <w:t xml:space="preserve">51,94</w:t>
            </w:r>
          </w:p>
        </w:tc>
        <w:tc>
          <w:tcPr>
            <w:tcW w:type="dxa" w:w="1300"/>
          </w:tcPr>
          <w:p>
            <w:r>
              <w:rPr>
                <w:b w:val="false"/>
                <w:bCs w:val="false"/>
                <w:sz w:val="20"/>
                <w:szCs w:val="20"/>
              </w:rPr>
              <w:t xml:space="preserve">3,69</w:t>
            </w:r>
          </w:p>
        </w:tc>
        <w:tc>
          <w:tcPr>
            <w:tcW w:type="dxa" w:w="1300"/>
          </w:tcPr>
          <w:p>
            <w:r>
              <w:rPr>
                <w:b w:val="false"/>
                <w:bCs w:val="false"/>
                <w:sz w:val="20"/>
                <w:szCs w:val="20"/>
              </w:rPr>
              <w:t xml:space="preserve">5 575</w:t>
            </w:r>
          </w:p>
        </w:tc>
        <w:tc>
          <w:tcPr>
            <w:tcW w:type="dxa" w:w="1800"/>
          </w:tcPr>
          <w:p>
            <w:r>
              <w:rPr>
                <w:b w:val="false"/>
                <w:bCs w:val="false"/>
                <w:sz w:val="20"/>
                <w:szCs w:val="20"/>
              </w:rPr>
              <w:t xml:space="preserve">+2,90</w:t>
            </w:r>
          </w:p>
        </w:tc>
      </w:tr>
      <w:tr>
        <w:tc>
          <w:tcPr>
            <w:tcW w:type="dxa" w:w="2600"/>
          </w:tcPr>
          <w:p>
            <w:r>
              <w:rPr>
                <w:b w:val="false"/>
                <w:bCs w:val="false"/>
                <w:sz w:val="20"/>
                <w:szCs w:val="20"/>
              </w:rPr>
              <w:t xml:space="preserve">LCZ 3 — Compact low-rise</w:t>
            </w:r>
          </w:p>
        </w:tc>
        <w:tc>
          <w:tcPr>
            <w:tcW w:type="dxa" w:w="1400"/>
          </w:tcPr>
          <w:p>
            <w:r>
              <w:rPr>
                <w:b w:val="false"/>
                <w:bCs w:val="false"/>
                <w:sz w:val="20"/>
                <w:szCs w:val="20"/>
              </w:rPr>
              <w:t xml:space="preserve">51,11</w:t>
            </w:r>
          </w:p>
        </w:tc>
        <w:tc>
          <w:tcPr>
            <w:tcW w:type="dxa" w:w="1300"/>
          </w:tcPr>
          <w:p>
            <w:r>
              <w:rPr>
                <w:b w:val="false"/>
                <w:bCs w:val="false"/>
                <w:sz w:val="20"/>
                <w:szCs w:val="20"/>
              </w:rPr>
              <w:t xml:space="preserve">3,73</w:t>
            </w:r>
          </w:p>
        </w:tc>
        <w:tc>
          <w:tcPr>
            <w:tcW w:type="dxa" w:w="1300"/>
          </w:tcPr>
          <w:p>
            <w:r>
              <w:rPr>
                <w:b w:val="false"/>
                <w:bCs w:val="false"/>
                <w:sz w:val="20"/>
                <w:szCs w:val="20"/>
              </w:rPr>
              <w:t xml:space="preserve">2 311</w:t>
            </w:r>
          </w:p>
        </w:tc>
        <w:tc>
          <w:tcPr>
            <w:tcW w:type="dxa" w:w="1800"/>
          </w:tcPr>
          <w:p>
            <w:r>
              <w:rPr>
                <w:b w:val="false"/>
                <w:bCs w:val="false"/>
                <w:sz w:val="20"/>
                <w:szCs w:val="20"/>
              </w:rPr>
              <w:t xml:space="preserve">+2,07</w:t>
            </w:r>
          </w:p>
        </w:tc>
      </w:tr>
      <w:tr>
        <w:tc>
          <w:tcPr>
            <w:tcW w:type="dxa" w:w="2600"/>
          </w:tcPr>
          <w:p>
            <w:r>
              <w:rPr>
                <w:b w:val="false"/>
                <w:bCs w:val="false"/>
                <w:sz w:val="20"/>
                <w:szCs w:val="20"/>
              </w:rPr>
              <w:t xml:space="preserve">LCZ 2 — Compact mid-rise</w:t>
            </w:r>
          </w:p>
        </w:tc>
        <w:tc>
          <w:tcPr>
            <w:tcW w:type="dxa" w:w="1400"/>
          </w:tcPr>
          <w:p>
            <w:r>
              <w:rPr>
                <w:b w:val="false"/>
                <w:bCs w:val="false"/>
                <w:sz w:val="20"/>
                <w:szCs w:val="20"/>
              </w:rPr>
              <w:t xml:space="preserve">50,56</w:t>
            </w:r>
          </w:p>
        </w:tc>
        <w:tc>
          <w:tcPr>
            <w:tcW w:type="dxa" w:w="1300"/>
          </w:tcPr>
          <w:p>
            <w:r>
              <w:rPr>
                <w:b w:val="false"/>
                <w:bCs w:val="false"/>
                <w:sz w:val="20"/>
                <w:szCs w:val="20"/>
              </w:rPr>
              <w:t xml:space="preserve">3,65</w:t>
            </w:r>
          </w:p>
        </w:tc>
        <w:tc>
          <w:tcPr>
            <w:tcW w:type="dxa" w:w="1300"/>
          </w:tcPr>
          <w:p>
            <w:r>
              <w:rPr>
                <w:b w:val="false"/>
                <w:bCs w:val="false"/>
                <w:sz w:val="20"/>
                <w:szCs w:val="20"/>
              </w:rPr>
              <w:t xml:space="preserve">2 227</w:t>
            </w:r>
          </w:p>
        </w:tc>
        <w:tc>
          <w:tcPr>
            <w:tcW w:type="dxa" w:w="1800"/>
          </w:tcPr>
          <w:p>
            <w:r>
              <w:rPr>
                <w:b w:val="false"/>
                <w:bCs w:val="false"/>
                <w:sz w:val="20"/>
                <w:szCs w:val="20"/>
              </w:rPr>
              <w:t xml:space="preserve">+1,52</w:t>
            </w:r>
          </w:p>
        </w:tc>
      </w:tr>
      <w:tr>
        <w:tc>
          <w:tcPr>
            <w:tcW w:type="dxa" w:w="2600"/>
          </w:tcPr>
          <w:p>
            <w:r>
              <w:rPr>
                <w:b w:val="false"/>
                <w:bCs w:val="false"/>
                <w:sz w:val="20"/>
                <w:szCs w:val="20"/>
              </w:rPr>
              <w:t xml:space="preserve">E — Bare rock/paved</w:t>
            </w:r>
          </w:p>
        </w:tc>
        <w:tc>
          <w:tcPr>
            <w:tcW w:type="dxa" w:w="1400"/>
          </w:tcPr>
          <w:p>
            <w:r>
              <w:rPr>
                <w:b w:val="false"/>
                <w:bCs w:val="false"/>
                <w:sz w:val="20"/>
                <w:szCs w:val="20"/>
              </w:rPr>
              <w:t xml:space="preserve">49,65</w:t>
            </w:r>
          </w:p>
        </w:tc>
        <w:tc>
          <w:tcPr>
            <w:tcW w:type="dxa" w:w="1300"/>
          </w:tcPr>
          <w:p>
            <w:r>
              <w:rPr>
                <w:b w:val="false"/>
                <w:bCs w:val="false"/>
                <w:sz w:val="20"/>
                <w:szCs w:val="20"/>
              </w:rPr>
              <w:t xml:space="preserve">2,31</w:t>
            </w:r>
          </w:p>
        </w:tc>
        <w:tc>
          <w:tcPr>
            <w:tcW w:type="dxa" w:w="1300"/>
          </w:tcPr>
          <w:p>
            <w:r>
              <w:rPr>
                <w:b w:val="false"/>
                <w:bCs w:val="false"/>
                <w:sz w:val="20"/>
                <w:szCs w:val="20"/>
              </w:rPr>
              <w:t xml:space="preserve">1 232</w:t>
            </w:r>
          </w:p>
        </w:tc>
        <w:tc>
          <w:tcPr>
            <w:tcW w:type="dxa" w:w="1800"/>
          </w:tcPr>
          <w:p>
            <w:r>
              <w:rPr>
                <w:b w:val="false"/>
                <w:bCs w:val="false"/>
                <w:sz w:val="20"/>
                <w:szCs w:val="20"/>
              </w:rPr>
              <w:t xml:space="preserve">+0,61</w:t>
            </w:r>
          </w:p>
        </w:tc>
      </w:tr>
      <w:tr>
        <w:tc>
          <w:tcPr>
            <w:tcW w:type="dxa" w:w="2600"/>
          </w:tcPr>
          <w:p>
            <w:r>
              <w:rPr>
                <w:b w:val="false"/>
                <w:bCs w:val="false"/>
                <w:sz w:val="20"/>
                <w:szCs w:val="20"/>
              </w:rPr>
              <w:t xml:space="preserve">D — Low plants (référence)</w:t>
            </w:r>
          </w:p>
        </w:tc>
        <w:tc>
          <w:tcPr>
            <w:tcW w:type="dxa" w:w="1400"/>
          </w:tcPr>
          <w:p>
            <w:r>
              <w:rPr>
                <w:b w:val="false"/>
                <w:bCs w:val="false"/>
                <w:sz w:val="20"/>
                <w:szCs w:val="20"/>
              </w:rPr>
              <w:t xml:space="preserve">49,04</w:t>
            </w:r>
          </w:p>
        </w:tc>
        <w:tc>
          <w:tcPr>
            <w:tcW w:type="dxa" w:w="1300"/>
          </w:tcPr>
          <w:p>
            <w:r>
              <w:rPr>
                <w:b w:val="false"/>
                <w:bCs w:val="false"/>
                <w:sz w:val="20"/>
                <w:szCs w:val="20"/>
              </w:rPr>
              <w:t xml:space="preserve">3,46</w:t>
            </w:r>
          </w:p>
        </w:tc>
        <w:tc>
          <w:tcPr>
            <w:tcW w:type="dxa" w:w="1300"/>
          </w:tcPr>
          <w:p>
            <w:r>
              <w:rPr>
                <w:b w:val="false"/>
                <w:bCs w:val="false"/>
                <w:sz w:val="20"/>
                <w:szCs w:val="20"/>
              </w:rPr>
              <w:t xml:space="preserve">69 846</w:t>
            </w:r>
          </w:p>
        </w:tc>
        <w:tc>
          <w:tcPr>
            <w:tcW w:type="dxa" w:w="1800"/>
          </w:tcPr>
          <w:p>
            <w:r>
              <w:rPr>
                <w:b w:val="false"/>
                <w:bCs w:val="false"/>
                <w:sz w:val="20"/>
                <w:szCs w:val="20"/>
              </w:rPr>
              <w:t xml:space="preserve">0,00</w:t>
            </w:r>
          </w:p>
        </w:tc>
      </w:tr>
      <w:tr>
        <w:tc>
          <w:tcPr>
            <w:tcW w:type="dxa" w:w="2600"/>
          </w:tcPr>
          <w:p>
            <w:r>
              <w:rPr>
                <w:b w:val="false"/>
                <w:bCs w:val="false"/>
                <w:sz w:val="20"/>
                <w:szCs w:val="20"/>
              </w:rPr>
              <w:t xml:space="preserve">LCZ 5 — Open mid-rise</w:t>
            </w:r>
          </w:p>
        </w:tc>
        <w:tc>
          <w:tcPr>
            <w:tcW w:type="dxa" w:w="1400"/>
          </w:tcPr>
          <w:p>
            <w:r>
              <w:rPr>
                <w:b w:val="false"/>
                <w:bCs w:val="false"/>
                <w:sz w:val="20"/>
                <w:szCs w:val="20"/>
              </w:rPr>
              <w:t xml:space="preserve">48,96</w:t>
            </w:r>
          </w:p>
        </w:tc>
        <w:tc>
          <w:tcPr>
            <w:tcW w:type="dxa" w:w="1300"/>
          </w:tcPr>
          <w:p>
            <w:r>
              <w:rPr>
                <w:b w:val="false"/>
                <w:bCs w:val="false"/>
                <w:sz w:val="20"/>
                <w:szCs w:val="20"/>
              </w:rPr>
              <w:t xml:space="preserve">2,50</w:t>
            </w:r>
          </w:p>
        </w:tc>
        <w:tc>
          <w:tcPr>
            <w:tcW w:type="dxa" w:w="1300"/>
          </w:tcPr>
          <w:p>
            <w:r>
              <w:rPr>
                <w:b w:val="false"/>
                <w:bCs w:val="false"/>
                <w:sz w:val="20"/>
                <w:szCs w:val="20"/>
              </w:rPr>
              <w:t xml:space="preserve">4 389</w:t>
            </w:r>
          </w:p>
        </w:tc>
        <w:tc>
          <w:tcPr>
            <w:tcW w:type="dxa" w:w="1800"/>
          </w:tcPr>
          <w:p>
            <w:r>
              <w:rPr>
                <w:b w:val="false"/>
                <w:bCs w:val="false"/>
                <w:sz w:val="20"/>
                <w:szCs w:val="20"/>
              </w:rPr>
              <w:t xml:space="preserve">-0,08</w:t>
            </w:r>
          </w:p>
        </w:tc>
      </w:tr>
      <w:tr>
        <w:tc>
          <w:tcPr>
            <w:tcW w:type="dxa" w:w="2600"/>
          </w:tcPr>
          <w:p>
            <w:r>
              <w:rPr>
                <w:b w:val="false"/>
                <w:bCs w:val="false"/>
                <w:sz w:val="20"/>
                <w:szCs w:val="20"/>
              </w:rPr>
              <w:t xml:space="preserve">LCZ 1 — Compact high-rise</w:t>
            </w:r>
          </w:p>
        </w:tc>
        <w:tc>
          <w:tcPr>
            <w:tcW w:type="dxa" w:w="1400"/>
          </w:tcPr>
          <w:p>
            <w:r>
              <w:rPr>
                <w:b w:val="false"/>
                <w:bCs w:val="false"/>
                <w:sz w:val="20"/>
                <w:szCs w:val="20"/>
              </w:rPr>
              <w:t xml:space="preserve">48,91</w:t>
            </w:r>
          </w:p>
        </w:tc>
        <w:tc>
          <w:tcPr>
            <w:tcW w:type="dxa" w:w="1300"/>
          </w:tcPr>
          <w:p>
            <w:r>
              <w:rPr>
                <w:b w:val="false"/>
                <w:bCs w:val="false"/>
                <w:sz w:val="20"/>
                <w:szCs w:val="20"/>
              </w:rPr>
              <w:t xml:space="preserve">1,19</w:t>
            </w:r>
          </w:p>
        </w:tc>
        <w:tc>
          <w:tcPr>
            <w:tcW w:type="dxa" w:w="1300"/>
          </w:tcPr>
          <w:p>
            <w:r>
              <w:rPr>
                <w:b w:val="false"/>
                <w:bCs w:val="false"/>
                <w:sz w:val="20"/>
                <w:szCs w:val="20"/>
              </w:rPr>
              <w:t xml:space="preserve">56</w:t>
            </w:r>
          </w:p>
        </w:tc>
        <w:tc>
          <w:tcPr>
            <w:tcW w:type="dxa" w:w="1800"/>
          </w:tcPr>
          <w:p>
            <w:r>
              <w:rPr>
                <w:b w:val="false"/>
                <w:bCs w:val="false"/>
                <w:sz w:val="20"/>
                <w:szCs w:val="20"/>
              </w:rPr>
              <w:t xml:space="preserve">-0,13</w:t>
            </w:r>
          </w:p>
        </w:tc>
      </w:tr>
      <w:tr>
        <w:tc>
          <w:tcPr>
            <w:tcW w:type="dxa" w:w="2600"/>
          </w:tcPr>
          <w:p>
            <w:r>
              <w:rPr>
                <w:b w:val="false"/>
                <w:bCs w:val="false"/>
                <w:sz w:val="20"/>
                <w:szCs w:val="20"/>
              </w:rPr>
              <w:t xml:space="preserve">LCZ 4 — Open high-rise</w:t>
            </w:r>
          </w:p>
        </w:tc>
        <w:tc>
          <w:tcPr>
            <w:tcW w:type="dxa" w:w="1400"/>
          </w:tcPr>
          <w:p>
            <w:r>
              <w:rPr>
                <w:b w:val="false"/>
                <w:bCs w:val="false"/>
                <w:sz w:val="20"/>
                <w:szCs w:val="20"/>
              </w:rPr>
              <w:t xml:space="preserve">48,11</w:t>
            </w:r>
          </w:p>
        </w:tc>
        <w:tc>
          <w:tcPr>
            <w:tcW w:type="dxa" w:w="1300"/>
          </w:tcPr>
          <w:p>
            <w:r>
              <w:rPr>
                <w:b w:val="false"/>
                <w:bCs w:val="false"/>
                <w:sz w:val="20"/>
                <w:szCs w:val="20"/>
              </w:rPr>
              <w:t xml:space="preserve">1,64</w:t>
            </w:r>
          </w:p>
        </w:tc>
        <w:tc>
          <w:tcPr>
            <w:tcW w:type="dxa" w:w="1300"/>
          </w:tcPr>
          <w:p>
            <w:r>
              <w:rPr>
                <w:b w:val="false"/>
                <w:bCs w:val="false"/>
                <w:sz w:val="20"/>
                <w:szCs w:val="20"/>
              </w:rPr>
              <w:t xml:space="preserve">57</w:t>
            </w:r>
          </w:p>
        </w:tc>
        <w:tc>
          <w:tcPr>
            <w:tcW w:type="dxa" w:w="1800"/>
          </w:tcPr>
          <w:p>
            <w:r>
              <w:rPr>
                <w:b w:val="false"/>
                <w:bCs w:val="false"/>
                <w:sz w:val="20"/>
                <w:szCs w:val="20"/>
              </w:rPr>
              <w:t xml:space="preserve">-0,93</w:t>
            </w:r>
          </w:p>
        </w:tc>
      </w:tr>
      <w:tr>
        <w:tc>
          <w:tcPr>
            <w:tcW w:type="dxa" w:w="2600"/>
          </w:tcPr>
          <w:p>
            <w:r>
              <w:rPr>
                <w:b w:val="false"/>
                <w:bCs w:val="false"/>
                <w:sz w:val="20"/>
                <w:szCs w:val="20"/>
              </w:rPr>
              <w:t xml:space="preserve">LCZ 6 — Open low-rise</w:t>
            </w:r>
          </w:p>
        </w:tc>
        <w:tc>
          <w:tcPr>
            <w:tcW w:type="dxa" w:w="1400"/>
          </w:tcPr>
          <w:p>
            <w:r>
              <w:rPr>
                <w:b w:val="false"/>
                <w:bCs w:val="false"/>
                <w:sz w:val="20"/>
                <w:szCs w:val="20"/>
              </w:rPr>
              <w:t xml:space="preserve">47,98</w:t>
            </w:r>
          </w:p>
        </w:tc>
        <w:tc>
          <w:tcPr>
            <w:tcW w:type="dxa" w:w="1300"/>
          </w:tcPr>
          <w:p>
            <w:r>
              <w:rPr>
                <w:b w:val="false"/>
                <w:bCs w:val="false"/>
                <w:sz w:val="20"/>
                <w:szCs w:val="20"/>
              </w:rPr>
              <w:t xml:space="preserve">2,77</w:t>
            </w:r>
          </w:p>
        </w:tc>
        <w:tc>
          <w:tcPr>
            <w:tcW w:type="dxa" w:w="1300"/>
          </w:tcPr>
          <w:p>
            <w:r>
              <w:rPr>
                <w:b w:val="false"/>
                <w:bCs w:val="false"/>
                <w:sz w:val="20"/>
                <w:szCs w:val="20"/>
              </w:rPr>
              <w:t xml:space="preserve">19 404</w:t>
            </w:r>
          </w:p>
        </w:tc>
        <w:tc>
          <w:tcPr>
            <w:tcW w:type="dxa" w:w="1800"/>
          </w:tcPr>
          <w:p>
            <w:r>
              <w:rPr>
                <w:b w:val="false"/>
                <w:bCs w:val="false"/>
                <w:sz w:val="20"/>
                <w:szCs w:val="20"/>
              </w:rPr>
              <w:t xml:space="preserve">-1,06</w:t>
            </w:r>
          </w:p>
        </w:tc>
      </w:tr>
      <w:tr>
        <w:tc>
          <w:tcPr>
            <w:tcW w:type="dxa" w:w="2600"/>
          </w:tcPr>
          <w:p>
            <w:r>
              <w:rPr>
                <w:b w:val="false"/>
                <w:bCs w:val="false"/>
                <w:sz w:val="20"/>
                <w:szCs w:val="20"/>
              </w:rPr>
              <w:t xml:space="preserve">LCZ 9 — Sparsely built</w:t>
            </w:r>
          </w:p>
        </w:tc>
        <w:tc>
          <w:tcPr>
            <w:tcW w:type="dxa" w:w="1400"/>
          </w:tcPr>
          <w:p>
            <w:r>
              <w:rPr>
                <w:b w:val="false"/>
                <w:bCs w:val="false"/>
                <w:sz w:val="20"/>
                <w:szCs w:val="20"/>
              </w:rPr>
              <w:t xml:space="preserve">47,24</w:t>
            </w:r>
          </w:p>
        </w:tc>
        <w:tc>
          <w:tcPr>
            <w:tcW w:type="dxa" w:w="1300"/>
          </w:tcPr>
          <w:p>
            <w:r>
              <w:rPr>
                <w:b w:val="false"/>
                <w:bCs w:val="false"/>
                <w:sz w:val="20"/>
                <w:szCs w:val="20"/>
              </w:rPr>
              <w:t xml:space="preserve">2,81</w:t>
            </w:r>
          </w:p>
        </w:tc>
        <w:tc>
          <w:tcPr>
            <w:tcW w:type="dxa" w:w="1300"/>
          </w:tcPr>
          <w:p>
            <w:r>
              <w:rPr>
                <w:b w:val="false"/>
                <w:bCs w:val="false"/>
                <w:sz w:val="20"/>
                <w:szCs w:val="20"/>
              </w:rPr>
              <w:t xml:space="preserve">15 401</w:t>
            </w:r>
          </w:p>
        </w:tc>
        <w:tc>
          <w:tcPr>
            <w:tcW w:type="dxa" w:w="1800"/>
          </w:tcPr>
          <w:p>
            <w:r>
              <w:rPr>
                <w:b w:val="false"/>
                <w:bCs w:val="false"/>
                <w:sz w:val="20"/>
                <w:szCs w:val="20"/>
              </w:rPr>
              <w:t xml:space="preserve">-1,80</w:t>
            </w:r>
          </w:p>
        </w:tc>
      </w:tr>
      <w:tr>
        <w:tc>
          <w:tcPr>
            <w:tcW w:type="dxa" w:w="2600"/>
          </w:tcPr>
          <w:p>
            <w:r>
              <w:rPr>
                <w:b w:val="false"/>
                <w:bCs w:val="false"/>
                <w:sz w:val="20"/>
                <w:szCs w:val="20"/>
              </w:rPr>
              <w:t xml:space="preserve">A/B — Dense/scattered trees</w:t>
            </w:r>
          </w:p>
        </w:tc>
        <w:tc>
          <w:tcPr>
            <w:tcW w:type="dxa" w:w="1400"/>
          </w:tcPr>
          <w:p>
            <w:r>
              <w:rPr>
                <w:b w:val="false"/>
                <w:bCs w:val="false"/>
                <w:sz w:val="20"/>
                <w:szCs w:val="20"/>
              </w:rPr>
              <w:t xml:space="preserve">45,68</w:t>
            </w:r>
          </w:p>
        </w:tc>
        <w:tc>
          <w:tcPr>
            <w:tcW w:type="dxa" w:w="1300"/>
          </w:tcPr>
          <w:p>
            <w:r>
              <w:rPr>
                <w:b w:val="false"/>
                <w:bCs w:val="false"/>
                <w:sz w:val="20"/>
                <w:szCs w:val="20"/>
              </w:rPr>
              <w:t xml:space="preserve">2,95</w:t>
            </w:r>
          </w:p>
        </w:tc>
        <w:tc>
          <w:tcPr>
            <w:tcW w:type="dxa" w:w="1300"/>
          </w:tcPr>
          <w:p>
            <w:r>
              <w:rPr>
                <w:b w:val="false"/>
                <w:bCs w:val="false"/>
                <w:sz w:val="20"/>
                <w:szCs w:val="20"/>
              </w:rPr>
              <w:t xml:space="preserve">89 169</w:t>
            </w:r>
          </w:p>
        </w:tc>
        <w:tc>
          <w:tcPr>
            <w:tcW w:type="dxa" w:w="1800"/>
          </w:tcPr>
          <w:p>
            <w:r>
              <w:rPr>
                <w:b w:val="false"/>
                <w:bCs w:val="false"/>
                <w:sz w:val="20"/>
                <w:szCs w:val="20"/>
              </w:rPr>
              <w:t xml:space="preserve">-3,36</w:t>
            </w:r>
          </w:p>
        </w:tc>
      </w:tr>
      <w:tr>
        <w:tc>
          <w:tcPr>
            <w:tcW w:type="dxa" w:w="2600"/>
          </w:tcPr>
          <w:p>
            <w:r>
              <w:rPr>
                <w:b w:val="false"/>
                <w:bCs w:val="false"/>
                <w:sz w:val="20"/>
                <w:szCs w:val="20"/>
              </w:rPr>
              <w:t xml:space="preserve">LCZ G — Water</w:t>
            </w:r>
          </w:p>
        </w:tc>
        <w:tc>
          <w:tcPr>
            <w:tcW w:type="dxa" w:w="1400"/>
          </w:tcPr>
          <w:p>
            <w:r>
              <w:rPr>
                <w:b w:val="false"/>
                <w:bCs w:val="false"/>
                <w:sz w:val="20"/>
                <w:szCs w:val="20"/>
              </w:rPr>
              <w:t xml:space="preserve">42,40</w:t>
            </w:r>
          </w:p>
        </w:tc>
        <w:tc>
          <w:tcPr>
            <w:tcW w:type="dxa" w:w="1300"/>
          </w:tcPr>
          <w:p>
            <w:r>
              <w:rPr>
                <w:b w:val="false"/>
                <w:bCs w:val="false"/>
                <w:sz w:val="20"/>
                <w:szCs w:val="20"/>
              </w:rPr>
              <w:t xml:space="preserve">5,36</w:t>
            </w:r>
          </w:p>
        </w:tc>
        <w:tc>
          <w:tcPr>
            <w:tcW w:type="dxa" w:w="1300"/>
          </w:tcPr>
          <w:p>
            <w:r>
              <w:rPr>
                <w:b w:val="false"/>
                <w:bCs w:val="false"/>
                <w:sz w:val="20"/>
                <w:szCs w:val="20"/>
              </w:rPr>
              <w:t xml:space="preserve">368</w:t>
            </w:r>
          </w:p>
        </w:tc>
        <w:tc>
          <w:tcPr>
            <w:tcW w:type="dxa" w:w="1800"/>
          </w:tcPr>
          <w:p>
            <w:r>
              <w:rPr>
                <w:b w:val="false"/>
                <w:bCs w:val="false"/>
                <w:sz w:val="20"/>
                <w:szCs w:val="20"/>
              </w:rPr>
              <w:t xml:space="preserve">-6,64</w:t>
            </w:r>
          </w:p>
        </w:tc>
      </w:tr>
    </w:tbl>
    <w:p>
      <w:pPr>
        <w:pBdr>
          <w:top w:val="single" w:color="999999" w:sz="4"/>
          <w:bottom w:val="single" w:color="999999" w:sz="4"/>
          <w:left w:val="single" w:color="999999" w:sz="4"/>
          <w:right w:val="single" w:color="999999" w:sz="4"/>
        </w:pBdr>
        <w:spacing w:after="100" w:before="300"/>
        <w:jc w:val="center"/>
      </w:pPr>
      <w:r>
        <w:rPr>
          <w:i/>
          <w:iCs/>
          <w:color w:val="888888"/>
          <w:sz w:val="20"/>
          <w:szCs w:val="20"/>
        </w:rPr>
        <w:t xml:space="preserve">[ EMPLACEMENT FIGURE 5 — insérer ici : boxplot_LCZ_LST_aix_30m.png ]</w:t>
      </w:r>
    </w:p>
    <w:p>
      <w:pPr>
        <w:spacing w:after="300"/>
        <w:jc w:val="center"/>
      </w:pPr>
      <w:r>
        <w:rPr>
          <w:i/>
          <w:iCs/>
          <w:sz w:val="20"/>
          <w:szCs w:val="20"/>
        </w:rPr>
        <w:t xml:space="preserve">Figure 5. Distribution de la température de surface par classe LCZ (boxplot), avec référence rurale.</w:t>
      </w:r>
    </w:p>
    <w:p>
      <w:pPr>
        <w:pStyle w:val="Heading2"/>
        <w:spacing w:after="150" w:before="300"/>
      </w:pPr>
      <w:r>
        <w:t xml:space="preserve">4.4 Modèle de régression et facteurs explicatifs de la température de surface</w:t>
      </w:r>
    </w:p>
    <w:p>
      <w:pPr>
        <w:spacing w:after="200" w:line="300"/>
        <w:jc w:val="both"/>
      </w:pPr>
      <w:r>
        <w:rPr>
          <w:sz w:val="22"/>
          <w:szCs w:val="22"/>
        </w:rPr>
        <w:t xml:space="preserve">Le modèle de régression linéaire multiple explique 24,7% de la variance spatiale de la température de surface (R² = 0,247), sur la base de 210 036 observations. L'ensemble du modèle est statistiquement significatif (F = 1,377 × 10⁴, p &lt; 0,001).</w:t>
      </w:r>
    </w:p>
    <w:p>
      <w:pPr>
        <w:spacing w:after="100" w:before="200"/>
      </w:pPr>
      <w:r>
        <w:rPr>
          <w:b/>
          <w:bCs/>
          <w:sz w:val="20"/>
          <w:szCs w:val="20"/>
        </w:rPr>
        <w:t xml:space="preserve">Tableau 4. </w:t>
      </w:r>
      <w:r>
        <w:rPr>
          <w:i/>
          <w:iCs/>
          <w:sz w:val="20"/>
          <w:szCs w:val="20"/>
        </w:rPr>
        <w:t xml:space="preserve">Résultats de la régression linéaire multiple expliquant la LST par les indicateurs morphologiques, grille 30 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900"/>
        <w:gridCol w:w="1200"/>
        <w:gridCol w:w="1300"/>
      </w:tblGrid>
      <w:tr>
        <w:tc>
          <w:tcPr>
            <w:tcW w:type="dxa" w:w="2800"/>
            <w:shd w:fill="D9D9D9" w:val="clear"/>
          </w:tcPr>
          <w:p>
            <w:r>
              <w:rPr>
                <w:b/>
                <w:bCs/>
                <w:sz w:val="20"/>
                <w:szCs w:val="20"/>
              </w:rPr>
              <w:t xml:space="preserve">Variable</w:t>
            </w:r>
          </w:p>
        </w:tc>
        <w:tc>
          <w:tcPr>
            <w:tcW w:type="dxa" w:w="1600"/>
            <w:shd w:fill="D9D9D9" w:val="clear"/>
          </w:tcPr>
          <w:p>
            <w:r>
              <w:rPr>
                <w:b/>
                <w:bCs/>
                <w:sz w:val="20"/>
                <w:szCs w:val="20"/>
              </w:rPr>
              <w:t xml:space="preserve">Coefficient</w:t>
            </w:r>
          </w:p>
        </w:tc>
        <w:tc>
          <w:tcPr>
            <w:tcW w:type="dxa" w:w="1900"/>
            <w:shd w:fill="D9D9D9" w:val="clear"/>
          </w:tcPr>
          <w:p>
            <w:r>
              <w:rPr>
                <w:b/>
                <w:bCs/>
                <w:sz w:val="20"/>
                <w:szCs w:val="20"/>
              </w:rPr>
              <w:t xml:space="preserve">Erreur standard</w:t>
            </w:r>
          </w:p>
        </w:tc>
        <w:tc>
          <w:tcPr>
            <w:tcW w:type="dxa" w:w="1200"/>
            <w:shd w:fill="D9D9D9" w:val="clear"/>
          </w:tcPr>
          <w:p>
            <w:r>
              <w:rPr>
                <w:b/>
                <w:bCs/>
                <w:sz w:val="20"/>
                <w:szCs w:val="20"/>
              </w:rPr>
              <w:t xml:space="preserve">t</w:t>
            </w:r>
          </w:p>
        </w:tc>
        <w:tc>
          <w:tcPr>
            <w:tcW w:type="dxa" w:w="1300"/>
            <w:shd w:fill="D9D9D9" w:val="clear"/>
          </w:tcPr>
          <w:p>
            <w:r>
              <w:rPr>
                <w:b/>
                <w:bCs/>
                <w:sz w:val="20"/>
                <w:szCs w:val="20"/>
              </w:rPr>
              <w:t xml:space="preserve">p-value</w:t>
            </w:r>
          </w:p>
        </w:tc>
      </w:tr>
      <w:tr>
        <w:tc>
          <w:tcPr>
            <w:tcW w:type="dxa" w:w="2800"/>
          </w:tcPr>
          <w:p>
            <w:r>
              <w:rPr>
                <w:b w:val="false"/>
                <w:bCs w:val="false"/>
                <w:sz w:val="20"/>
                <w:szCs w:val="20"/>
              </w:rPr>
              <w:t xml:space="preserve">Constante</w:t>
            </w:r>
          </w:p>
        </w:tc>
        <w:tc>
          <w:tcPr>
            <w:tcW w:type="dxa" w:w="1600"/>
          </w:tcPr>
          <w:p>
            <w:r>
              <w:rPr>
                <w:b w:val="false"/>
                <w:bCs w:val="false"/>
                <w:sz w:val="20"/>
                <w:szCs w:val="20"/>
              </w:rPr>
              <w:t xml:space="preserve">43,919</w:t>
            </w:r>
          </w:p>
        </w:tc>
        <w:tc>
          <w:tcPr>
            <w:tcW w:type="dxa" w:w="1900"/>
          </w:tcPr>
          <w:p>
            <w:r>
              <w:rPr>
                <w:b w:val="false"/>
                <w:bCs w:val="false"/>
                <w:sz w:val="20"/>
                <w:szCs w:val="20"/>
              </w:rPr>
              <w:t xml:space="preserve">0,106</w:t>
            </w:r>
          </w:p>
        </w:tc>
        <w:tc>
          <w:tcPr>
            <w:tcW w:type="dxa" w:w="1200"/>
          </w:tcPr>
          <w:p>
            <w:r>
              <w:rPr>
                <w:b w:val="false"/>
                <w:bCs w:val="false"/>
                <w:sz w:val="20"/>
                <w:szCs w:val="20"/>
              </w:rPr>
              <w:t xml:space="preserve">415,02</w:t>
            </w:r>
          </w:p>
        </w:tc>
        <w:tc>
          <w:tcPr>
            <w:tcW w:type="dxa" w:w="1300"/>
          </w:tcPr>
          <w:p>
            <w:r>
              <w:rPr>
                <w:b w:val="false"/>
                <w:bCs w:val="false"/>
                <w:sz w:val="20"/>
                <w:szCs w:val="20"/>
              </w:rPr>
              <w:t xml:space="preserve">&lt; 0,001</w:t>
            </w:r>
          </w:p>
        </w:tc>
      </w:tr>
      <w:tr>
        <w:tc>
          <w:tcPr>
            <w:tcW w:type="dxa" w:w="2800"/>
          </w:tcPr>
          <w:p>
            <w:r>
              <w:rPr>
                <w:b w:val="false"/>
                <w:bCs w:val="false"/>
                <w:sz w:val="20"/>
                <w:szCs w:val="20"/>
              </w:rPr>
              <w:t xml:space="preserve">Fraction bâtie</w:t>
            </w:r>
          </w:p>
        </w:tc>
        <w:tc>
          <w:tcPr>
            <w:tcW w:type="dxa" w:w="1600"/>
          </w:tcPr>
          <w:p>
            <w:r>
              <w:rPr>
                <w:b w:val="false"/>
                <w:bCs w:val="false"/>
                <w:sz w:val="20"/>
                <w:szCs w:val="20"/>
              </w:rPr>
              <w:t xml:space="preserve">+4,927</w:t>
            </w:r>
          </w:p>
        </w:tc>
        <w:tc>
          <w:tcPr>
            <w:tcW w:type="dxa" w:w="1900"/>
          </w:tcPr>
          <w:p>
            <w:r>
              <w:rPr>
                <w:b w:val="false"/>
                <w:bCs w:val="false"/>
                <w:sz w:val="20"/>
                <w:szCs w:val="20"/>
              </w:rPr>
              <w:t xml:space="preserve">0,113</w:t>
            </w:r>
          </w:p>
        </w:tc>
        <w:tc>
          <w:tcPr>
            <w:tcW w:type="dxa" w:w="1200"/>
          </w:tcPr>
          <w:p>
            <w:r>
              <w:rPr>
                <w:b w:val="false"/>
                <w:bCs w:val="false"/>
                <w:sz w:val="20"/>
                <w:szCs w:val="20"/>
              </w:rPr>
              <w:t xml:space="preserve">43,73</w:t>
            </w:r>
          </w:p>
        </w:tc>
        <w:tc>
          <w:tcPr>
            <w:tcW w:type="dxa" w:w="1300"/>
          </w:tcPr>
          <w:p>
            <w:r>
              <w:rPr>
                <w:b w:val="false"/>
                <w:bCs w:val="false"/>
                <w:sz w:val="20"/>
                <w:szCs w:val="20"/>
              </w:rPr>
              <w:t xml:space="preserve">&lt; 0,001</w:t>
            </w:r>
          </w:p>
        </w:tc>
      </w:tr>
      <w:tr>
        <w:tc>
          <w:tcPr>
            <w:tcW w:type="dxa" w:w="2800"/>
          </w:tcPr>
          <w:p>
            <w:r>
              <w:rPr>
                <w:b w:val="false"/>
                <w:bCs w:val="false"/>
                <w:sz w:val="20"/>
                <w:szCs w:val="20"/>
              </w:rPr>
              <w:t xml:space="preserve">Fraction végétalisée</w:t>
            </w:r>
          </w:p>
        </w:tc>
        <w:tc>
          <w:tcPr>
            <w:tcW w:type="dxa" w:w="1600"/>
          </w:tcPr>
          <w:p>
            <w:r>
              <w:rPr>
                <w:b w:val="false"/>
                <w:bCs w:val="false"/>
                <w:sz w:val="20"/>
                <w:szCs w:val="20"/>
              </w:rPr>
              <w:t xml:space="preserve">-4,121</w:t>
            </w:r>
          </w:p>
        </w:tc>
        <w:tc>
          <w:tcPr>
            <w:tcW w:type="dxa" w:w="1900"/>
          </w:tcPr>
          <w:p>
            <w:r>
              <w:rPr>
                <w:b w:val="false"/>
                <w:bCs w:val="false"/>
                <w:sz w:val="20"/>
                <w:szCs w:val="20"/>
              </w:rPr>
              <w:t xml:space="preserve">0,017</w:t>
            </w:r>
          </w:p>
        </w:tc>
        <w:tc>
          <w:tcPr>
            <w:tcW w:type="dxa" w:w="1200"/>
          </w:tcPr>
          <w:p>
            <w:r>
              <w:rPr>
                <w:b w:val="false"/>
                <w:bCs w:val="false"/>
                <w:sz w:val="20"/>
                <w:szCs w:val="20"/>
              </w:rPr>
              <w:t xml:space="preserve">-246,89</w:t>
            </w:r>
          </w:p>
        </w:tc>
        <w:tc>
          <w:tcPr>
            <w:tcW w:type="dxa" w:w="1300"/>
          </w:tcPr>
          <w:p>
            <w:r>
              <w:rPr>
                <w:b w:val="false"/>
                <w:bCs w:val="false"/>
                <w:sz w:val="20"/>
                <w:szCs w:val="20"/>
              </w:rPr>
              <w:t xml:space="preserve">&lt; 0,001</w:t>
            </w:r>
          </w:p>
        </w:tc>
      </w:tr>
      <w:tr>
        <w:tc>
          <w:tcPr>
            <w:tcW w:type="dxa" w:w="2800"/>
          </w:tcPr>
          <w:p>
            <w:r>
              <w:rPr>
                <w:b w:val="false"/>
                <w:bCs w:val="false"/>
                <w:sz w:val="20"/>
                <w:szCs w:val="20"/>
              </w:rPr>
              <w:t xml:space="preserve">Fraction imperméable</w:t>
            </w:r>
          </w:p>
        </w:tc>
        <w:tc>
          <w:tcPr>
            <w:tcW w:type="dxa" w:w="1600"/>
          </w:tcPr>
          <w:p>
            <w:r>
              <w:rPr>
                <w:b w:val="false"/>
                <w:bCs w:val="false"/>
                <w:sz w:val="20"/>
                <w:szCs w:val="20"/>
              </w:rPr>
              <w:t xml:space="preserve">+0,119</w:t>
            </w:r>
          </w:p>
        </w:tc>
        <w:tc>
          <w:tcPr>
            <w:tcW w:type="dxa" w:w="1900"/>
          </w:tcPr>
          <w:p>
            <w:r>
              <w:rPr>
                <w:b w:val="false"/>
                <w:bCs w:val="false"/>
                <w:sz w:val="20"/>
                <w:szCs w:val="20"/>
              </w:rPr>
              <w:t xml:space="preserve">0,071</w:t>
            </w:r>
          </w:p>
        </w:tc>
        <w:tc>
          <w:tcPr>
            <w:tcW w:type="dxa" w:w="1200"/>
          </w:tcPr>
          <w:p>
            <w:r>
              <w:rPr>
                <w:b w:val="false"/>
                <w:bCs w:val="false"/>
                <w:sz w:val="20"/>
                <w:szCs w:val="20"/>
              </w:rPr>
              <w:t xml:space="preserve">1,67</w:t>
            </w:r>
          </w:p>
        </w:tc>
        <w:tc>
          <w:tcPr>
            <w:tcW w:type="dxa" w:w="1300"/>
          </w:tcPr>
          <w:p>
            <w:r>
              <w:rPr>
                <w:b w:val="false"/>
                <w:bCs w:val="false"/>
                <w:sz w:val="20"/>
                <w:szCs w:val="20"/>
              </w:rPr>
              <w:t xml:space="preserve">0,095</w:t>
            </w:r>
          </w:p>
        </w:tc>
      </w:tr>
      <w:tr>
        <w:tc>
          <w:tcPr>
            <w:tcW w:type="dxa" w:w="2800"/>
          </w:tcPr>
          <w:p>
            <w:r>
              <w:rPr>
                <w:b w:val="false"/>
                <w:bCs w:val="false"/>
                <w:sz w:val="20"/>
                <w:szCs w:val="20"/>
              </w:rPr>
              <w:t xml:space="preserve">Hauteur moyenne</w:t>
            </w:r>
          </w:p>
        </w:tc>
        <w:tc>
          <w:tcPr>
            <w:tcW w:type="dxa" w:w="1600"/>
          </w:tcPr>
          <w:p>
            <w:r>
              <w:rPr>
                <w:b w:val="false"/>
                <w:bCs w:val="false"/>
                <w:sz w:val="20"/>
                <w:szCs w:val="20"/>
              </w:rPr>
              <w:t xml:space="preserve">+0,148</w:t>
            </w:r>
          </w:p>
        </w:tc>
        <w:tc>
          <w:tcPr>
            <w:tcW w:type="dxa" w:w="1900"/>
          </w:tcPr>
          <w:p>
            <w:r>
              <w:rPr>
                <w:b w:val="false"/>
                <w:bCs w:val="false"/>
                <w:sz w:val="20"/>
                <w:szCs w:val="20"/>
              </w:rPr>
              <w:t xml:space="preserve">0,005</w:t>
            </w:r>
          </w:p>
        </w:tc>
        <w:tc>
          <w:tcPr>
            <w:tcW w:type="dxa" w:w="1200"/>
          </w:tcPr>
          <w:p>
            <w:r>
              <w:rPr>
                <w:b w:val="false"/>
                <w:bCs w:val="false"/>
                <w:sz w:val="20"/>
                <w:szCs w:val="20"/>
              </w:rPr>
              <w:t xml:space="preserve">27,44</w:t>
            </w:r>
          </w:p>
        </w:tc>
        <w:tc>
          <w:tcPr>
            <w:tcW w:type="dxa" w:w="1300"/>
          </w:tcPr>
          <w:p>
            <w:r>
              <w:rPr>
                <w:b w:val="false"/>
                <w:bCs w:val="false"/>
                <w:sz w:val="20"/>
                <w:szCs w:val="20"/>
              </w:rPr>
              <w:t xml:space="preserve">&lt; 0,001</w:t>
            </w:r>
          </w:p>
        </w:tc>
      </w:tr>
      <w:tr>
        <w:tc>
          <w:tcPr>
            <w:tcW w:type="dxa" w:w="2800"/>
          </w:tcPr>
          <w:p>
            <w:r>
              <w:rPr>
                <w:b w:val="false"/>
                <w:bCs w:val="false"/>
                <w:sz w:val="20"/>
                <w:szCs w:val="20"/>
              </w:rPr>
              <w:t xml:space="preserve">Classe de rugosité</w:t>
            </w:r>
          </w:p>
        </w:tc>
        <w:tc>
          <w:tcPr>
            <w:tcW w:type="dxa" w:w="1600"/>
          </w:tcPr>
          <w:p>
            <w:r>
              <w:rPr>
                <w:b w:val="false"/>
                <w:bCs w:val="false"/>
                <w:sz w:val="20"/>
                <w:szCs w:val="20"/>
              </w:rPr>
              <w:t xml:space="preserve">+0,723</w:t>
            </w:r>
          </w:p>
        </w:tc>
        <w:tc>
          <w:tcPr>
            <w:tcW w:type="dxa" w:w="1900"/>
          </w:tcPr>
          <w:p>
            <w:r>
              <w:rPr>
                <w:b w:val="false"/>
                <w:bCs w:val="false"/>
                <w:sz w:val="20"/>
                <w:szCs w:val="20"/>
              </w:rPr>
              <w:t xml:space="preserve">0,013</w:t>
            </w:r>
          </w:p>
        </w:tc>
        <w:tc>
          <w:tcPr>
            <w:tcW w:type="dxa" w:w="1200"/>
          </w:tcPr>
          <w:p>
            <w:r>
              <w:rPr>
                <w:b w:val="false"/>
                <w:bCs w:val="false"/>
                <w:sz w:val="20"/>
                <w:szCs w:val="20"/>
              </w:rPr>
              <w:t xml:space="preserve">53,64</w:t>
            </w:r>
          </w:p>
        </w:tc>
        <w:tc>
          <w:tcPr>
            <w:tcW w:type="dxa" w:w="1300"/>
          </w:tcPr>
          <w:p>
            <w:r>
              <w:rPr>
                <w:b w:val="false"/>
                <w:bCs w:val="false"/>
                <w:sz w:val="20"/>
                <w:szCs w:val="20"/>
              </w:rPr>
              <w:t xml:space="preserve">&lt; 0,001</w:t>
            </w:r>
          </w:p>
        </w:tc>
      </w:tr>
    </w:tbl>
    <w:p>
      <w:pPr>
        <w:spacing w:after="200" w:line="300"/>
        <w:jc w:val="both"/>
      </w:pPr>
      <w:r>
        <w:rPr>
          <w:sz w:val="22"/>
          <w:szCs w:val="22"/>
        </w:rPr>
        <w:t xml:space="preserve">Quatre des cinq variables explicatives présentent un effet statistiquement significatif (p &lt; 0,001). La fraction bâtie exerce l'effet positif le plus marqué (+4,93°C par unité de fraction), confirmant le rôle central de la densité du bâti dans l'élévation locale de température. Symétriquement, la fraction végétalisée exerce l'effet négatif le plus fort (-4,12°C par unité de fraction), confirmant l'effet rafraîchissant de la végétation. La hauteur moyenne du bâti et la classe de rugosité présentent des effets positifs plus modestes mais significatifs (+0,15°C et +0,72°C respectivement).</w:t>
      </w:r>
    </w:p>
    <w:p>
      <w:pPr>
        <w:spacing w:after="200" w:line="300"/>
        <w:jc w:val="both"/>
      </w:pPr>
      <w:r>
        <w:rPr>
          <w:sz w:val="22"/>
          <w:szCs w:val="22"/>
        </w:rPr>
        <w:t xml:space="preserve">Cas de la fraction imperméable. Cette variable ne présente pas d'effet statistiquement significatif au seuil conventionnel de 5% (p = 0,095). Ce résultat s'explique par un phénomène de colinéarité : la fraction imperméable étant construite comme la somme de la fraction bâtie et de la fraction routière, elle partage une part importante de sa variance avec la fraction bâtie déjà présente dans le modèle. Ce point est repris en section 5.2 comme limite méthodologique du modèle.</w:t>
      </w:r>
    </w:p>
    <w:p>
      <w:pPr>
        <w:pStyle w:val="Heading2"/>
        <w:spacing w:after="150" w:before="300"/>
      </w:pPr>
      <w:r>
        <w:t xml:space="preserve">4.5 Température de surface modélisée et résidus de régression</w:t>
      </w:r>
    </w:p>
    <w:p>
      <w:pPr>
        <w:spacing w:after="200" w:line="300"/>
        <w:jc w:val="both"/>
      </w:pPr>
      <w:r>
        <w:rPr>
          <w:sz w:val="22"/>
          <w:szCs w:val="22"/>
        </w:rPr>
        <w:t xml:space="preserve">La carte de température de surface modélisée (Figure 6), reconstruite à partir des seules variables morphologiques du modèle de régression, reproduit les grands contrastes spatiaux observés sur la carte de LST réelle (Figure 3), avec toutefois un effet de lissage notable : les valeurs extrêmes, hautes comme basses, sont atténuées, puisque le modèle ne capture que la portion de variance expliquée par les cinq indicateurs retenus.</w:t>
      </w:r>
    </w:p>
    <w:p>
      <w:pPr>
        <w:pBdr>
          <w:top w:val="single" w:color="999999" w:sz="4"/>
          <w:bottom w:val="single" w:color="999999" w:sz="4"/>
          <w:left w:val="single" w:color="999999" w:sz="4"/>
          <w:right w:val="single" w:color="999999" w:sz="4"/>
        </w:pBdr>
        <w:spacing w:after="100" w:before="300"/>
        <w:jc w:val="center"/>
      </w:pPr>
      <w:r>
        <w:rPr>
          <w:i/>
          <w:iCs/>
          <w:color w:val="888888"/>
          <w:sz w:val="20"/>
          <w:szCs w:val="20"/>
        </w:rPr>
        <w:t xml:space="preserve">[ EMPLACEMENT FIGURE 6 — insérer ici : map_LST_modeled_30m.png ]</w:t>
      </w:r>
    </w:p>
    <w:p>
      <w:pPr>
        <w:spacing w:after="300"/>
        <w:jc w:val="center"/>
      </w:pPr>
      <w:r>
        <w:rPr>
          <w:i/>
          <w:iCs/>
          <w:sz w:val="20"/>
          <w:szCs w:val="20"/>
        </w:rPr>
        <w:t xml:space="preserve">Figure 6. Carte de la température de surface modélisée à partir des indicateurs morphologiques — grille 30 m.</w:t>
      </w:r>
    </w:p>
    <w:p>
      <w:pPr>
        <w:spacing w:after="200" w:line="300"/>
        <w:jc w:val="both"/>
      </w:pPr>
      <w:r>
        <w:rPr>
          <w:sz w:val="22"/>
          <w:szCs w:val="22"/>
        </w:rPr>
        <w:t xml:space="preserve">La carte des résidus (Figure 7), calculée comme la différence entre LST observée et LST modélisée pour chaque cellule, permet d'identifier les zones où le modèle sous-estime (résidus positifs) ou surestime (résidus négatifs) la température réelle. Cette carte constitue un outil de diagnostic complémentaire aux seules statistiques du modèle, en révélant d'éventuelles structures spatiales dans les erreurs de prédiction.</w:t>
      </w:r>
    </w:p>
    <w:p>
      <w:pPr>
        <w:pBdr>
          <w:top w:val="single" w:color="999999" w:sz="4"/>
          <w:bottom w:val="single" w:color="999999" w:sz="4"/>
          <w:left w:val="single" w:color="999999" w:sz="4"/>
          <w:right w:val="single" w:color="999999" w:sz="4"/>
        </w:pBdr>
        <w:spacing w:after="100" w:before="300"/>
        <w:jc w:val="center"/>
      </w:pPr>
      <w:r>
        <w:rPr>
          <w:i/>
          <w:iCs/>
          <w:color w:val="888888"/>
          <w:sz w:val="20"/>
          <w:szCs w:val="20"/>
        </w:rPr>
        <w:t xml:space="preserve">[ EMPLACEMENT FIGURE 7 — insérer ici : map_residuals_30m.png ]</w:t>
      </w:r>
    </w:p>
    <w:p>
      <w:pPr>
        <w:spacing w:after="300"/>
        <w:jc w:val="center"/>
      </w:pPr>
      <w:r>
        <w:rPr>
          <w:i/>
          <w:iCs/>
          <w:sz w:val="20"/>
          <w:szCs w:val="20"/>
        </w:rPr>
        <w:t xml:space="preserve">Figure 7. Carte des résidus de régression (LST observée − LST modélisée) — grille 30 m.</w:t>
      </w:r>
    </w:p>
    <w:p>
      <w:r>
        <w:br w:type="page"/>
      </w:r>
    </w:p>
    <w:p>
      <w:pPr>
        <w:pStyle w:val="Heading1"/>
        <w:spacing w:after="200" w:before="400"/>
      </w:pPr>
      <w:r>
        <w:t xml:space="preserve">5. Discussion</w:t>
      </w:r>
    </w:p>
    <w:p>
      <w:pPr>
        <w:pStyle w:val="Heading2"/>
        <w:spacing w:after="150" w:before="300"/>
      </w:pPr>
      <w:r>
        <w:t xml:space="preserve">5.1 Divergence entre îlot de chaleur de surface et îlot de chaleur de canopée</w:t>
      </w:r>
    </w:p>
    <w:p>
      <w:pPr>
        <w:spacing w:after="200" w:line="300"/>
        <w:jc w:val="both"/>
      </w:pPr>
      <w:r>
        <w:rPr>
          <w:sz w:val="22"/>
          <w:szCs w:val="22"/>
        </w:rPr>
        <w:t xml:space="preserve">Le résultat le plus significatif de cette étude concerne la classe LCZ 1 (Compact high-rise), correspondant au centre historique dense d'Aix-en-Provence. Contrairement à l'hypothèse initiale selon laquelle cette classe, caractérisée par une forte densité bâtie et une hauteur élevée, constituerait la zone la plus chaude de la commune, elle présente en réalité une intensité UHI quasi nulle (-0,13°C), nettement inférieure à celle de la classe LCZ 8 (Large low-rise, +2,90°C).</w:t>
      </w:r>
    </w:p>
    <w:p>
      <w:pPr>
        <w:spacing w:after="200" w:line="300"/>
        <w:jc w:val="both"/>
      </w:pPr>
      <w:r>
        <w:rPr>
          <w:sz w:val="22"/>
          <w:szCs w:val="22"/>
        </w:rPr>
        <w:t xml:space="preserve">Ce résultat s'explique par une distinction fondamentale, bien documentée dans la littérature sur les îlots de chaleur urbains : celle entre l'îlot de chaleur de surface (Surface Urban Heat Island, SUHI), mesuré par télédétection thermique, et l'îlot de chaleur de canopée (canopy-layer UHI), ressenti au niveau piéton dans les rues (Oke, 1982 ; Oke et al., 2017). La température de surface issue de Landsat ne capture que le rayonnement émis par les surfaces directement visibles depuis le satellite — toitures, sommets de rue — et non la chaleur piégée dans les canyons urbains étroits qui caractérisent le tissu ancien.</w:t>
      </w:r>
    </w:p>
    <w:p>
      <w:pPr>
        <w:spacing w:after="200" w:line="300"/>
        <w:jc w:val="both"/>
      </w:pPr>
      <w:r>
        <w:rPr>
          <w:sz w:val="22"/>
          <w:szCs w:val="22"/>
        </w:rPr>
        <w:t xml:space="preserve">Plusieurs mécanismes physiques peuvent expliquer ce signal atténué en LCZ 1 : (i) l'ombrage porté par les bâtiments élevés sur les rues adjacentes au moment du passage satellite (10h-11h), qui refroidit la fraction de surface visible par le capteur ; (ii) la nature des matériaux de toiture du centre historique (tuiles, pierre), aux propriétés thermiques potentiellement différentes des toitures planes et sombres typiques de la classe LCZ 8 ; (iii) un effet de mélange spectral, certains pixels de 30 m pouvant encore combiner toits, rues étroites et cours intérieures végétalisées.</w:t>
      </w:r>
    </w:p>
    <w:p>
      <w:pPr>
        <w:spacing w:after="200" w:line="300"/>
        <w:jc w:val="both"/>
      </w:pPr>
      <w:r>
        <w:rPr>
          <w:sz w:val="22"/>
          <w:szCs w:val="22"/>
        </w:rPr>
        <w:t xml:space="preserve">À l'inverse, la classe LCZ 8, regroupant des bâtiments commerciaux et industriels à toiture plate, largement exposés au rayonnement solaire direct et peu ombragés, présente un signal de surface cohérent avec une forte accumulation de chaleur, sans les effets de masquage géométrique propres au tissu urbain compact et élevé.</w:t>
      </w:r>
    </w:p>
    <w:p>
      <w:pPr>
        <w:pStyle w:val="Heading2"/>
        <w:spacing w:after="150" w:before="300"/>
      </w:pPr>
      <w:r>
        <w:t xml:space="preserve">5.2 Facteurs explicatifs de la variabilité thermique</w:t>
      </w:r>
    </w:p>
    <w:p>
      <w:pPr>
        <w:spacing w:after="200" w:line="300"/>
        <w:jc w:val="both"/>
      </w:pPr>
      <w:r>
        <w:rPr>
          <w:sz w:val="22"/>
          <w:szCs w:val="22"/>
        </w:rPr>
        <w:t xml:space="preserve">Le modèle de régression confirme statistiquement les tendances observées par classe LCZ : la fraction bâtie et la fraction végétalisée constituent les deux facteurs les plus déterminants de la température de surface, avec des effets de signe opposé et d'amplitude comparable (environ ±4 à 5°C par unité de fraction). Ce résultat est cohérent avec le corpus de la littérature sur les surfaces urbaines, où l'imperméabilisation et la déminéralisation constituent les deux leviers structurants de la régulation thermique urbaine.</w:t>
      </w:r>
    </w:p>
    <w:p>
      <w:pPr>
        <w:spacing w:after="200" w:line="300"/>
        <w:jc w:val="both"/>
      </w:pPr>
      <w:r>
        <w:rPr>
          <w:sz w:val="22"/>
          <w:szCs w:val="22"/>
        </w:rPr>
        <w:t xml:space="preserve">Le caractère non significatif de la fraction imperméable, en raison de sa colinéarité avec la fraction bâtie, constitue une limite méthodologique à noter : une reformulation du modèle, substituant la fraction imperméable à la fraction bâtie plutôt que de les inclure simultanément, permettrait de lever cette ambiguïté statistique dans un travail ultérieur.</w:t>
      </w:r>
    </w:p>
    <w:p>
      <w:pPr>
        <w:spacing w:after="200" w:line="300"/>
        <w:jc w:val="both"/>
      </w:pPr>
      <w:r>
        <w:rPr>
          <w:sz w:val="22"/>
          <w:szCs w:val="22"/>
        </w:rPr>
        <w:t xml:space="preserve">Le coefficient de détermination modéré (R² = 0,247) indique qu'une part substantielle (75,3%) de la variance de la température de surface demeure inexpliquée par les seuls indicateurs morphologiques retenus. Cette limite est cohérente avec la nature multifactorielle du phénomène d'îlot de chaleur, qui dépend également de propriétés non intégrées dans cette étude, telles que l'albédo et l'admittance thermique des matériaux de surface, ou la configuration tridimensionnelle du bâti (facteur de vue du ciel).</w:t>
      </w:r>
    </w:p>
    <w:p>
      <w:pPr>
        <w:spacing w:after="200" w:line="300"/>
        <w:jc w:val="both"/>
      </w:pPr>
      <w:r>
        <w:rPr>
          <w:sz w:val="22"/>
          <w:szCs w:val="22"/>
        </w:rPr>
        <w:t xml:space="preserve">Ce niveau de R², bien qu'inférieur à celui rapporté par certaines études internationales mobilisant un jeu de variables plus étendu (incluant notamment l'albédo de surface, l'humidité du sol ou le facteur de vue du ciel), demeure cohérent avec les résultats obtenus dans des configurations méthodologiques comparables limitées aux seules variables morphologiques dérivées de référentiels vectoriels. Il souligne néanmoins l'intérêt d'une extension future du modèle à des variables radiométriques complémentaires, telles que l'albédo de surface dérivé des bandes réfléchissantes de Landsat, ou l'indice de végétation NDVI évoqué en perspectives (section 6.3), qui pourraient contribuer à combler une partie de la variance non expliquée.</w:t>
      </w:r>
    </w:p>
    <w:p>
      <w:pPr>
        <w:spacing w:after="200" w:line="300"/>
        <w:jc w:val="both"/>
      </w:pPr>
      <w:r>
        <w:rPr>
          <w:sz w:val="22"/>
          <w:szCs w:val="22"/>
        </w:rPr>
        <w:t xml:space="preserve">Il est également utile de noter que le modèle de régression, de par sa nature linéaire, suppose une relation additive et constante entre chaque indicateur morphologique et la température de surface, indépendamment du contexte spatial local. Or, il est plausible que certaines interactions non linéaires existent entre variables — par exemple, l'effet rafraîchissant de la végétation pourrait être plus marqué dans les zones à forte densité bâtie environnante que dans les zones déjà largement végétalisées, en raison d'un effet de contraste thermique local. L'exploration de modèles non linéaires ou incluant des termes d'interaction constituerait une piste méthodologique pertinente pour des travaux ultérieurs.</w:t>
      </w:r>
    </w:p>
    <w:p>
      <w:pPr>
        <w:pStyle w:val="Heading2"/>
        <w:spacing w:after="150" w:before="300"/>
      </w:pPr>
      <w:r>
        <w:t xml:space="preserve">5.3 Limites méthodologiques</w:t>
      </w:r>
    </w:p>
    <w:p>
      <w:pPr>
        <w:spacing w:after="200" w:line="300"/>
        <w:jc w:val="both"/>
      </w:pPr>
      <w:r>
        <w:rPr>
          <w:sz w:val="22"/>
          <w:szCs w:val="22"/>
        </w:rPr>
        <w:t xml:space="preserve">Deux des sept paramètres morphologiques du cadre de Stewart &amp; Oke (2012) n'ont pas été intégrés à cette étude : le facteur de vue du ciel (Sky View Factor), qui nécessiterait la construction d'un modèle numérique de surface (MNS) intégrant bâtiments et végétation, non disponible dans les référentiels mobilisés ; et l'admittance thermique de surface, qui nécessiterait une table de correspondance entre matériaux de construction et valeurs d'admittance thermique de référence, non construite dans le cadre de ce travail.</w:t>
      </w:r>
    </w:p>
    <w:p>
      <w:pPr>
        <w:spacing w:after="200" w:line="300"/>
        <w:jc w:val="both"/>
      </w:pPr>
      <w:r>
        <w:rPr>
          <w:sz w:val="22"/>
          <w:szCs w:val="22"/>
        </w:rPr>
        <w:t xml:space="preserve">Par ailleurs, cette étude repose sur une date unique d'observation (16 août 2025), ne permettant pas de vérifier la stabilité temporelle des résultats obtenus. Enfin, l'absence de campagne de validation terrain (mesures in situ de température de l'air ou de surface) constitue une limite pour la validation indépendante des résultats satellitaires, en particulier pour objectiver l'hypothèse de divergence SUHI/canopée avancée en section 5.1.</w:t>
      </w:r>
    </w:p>
    <w:p>
      <w:r>
        <w:br w:type="page"/>
      </w:r>
    </w:p>
    <w:p>
      <w:pPr>
        <w:pStyle w:val="Heading1"/>
        <w:spacing w:after="200" w:before="400"/>
      </w:pPr>
      <w:r>
        <w:t xml:space="preserve">6. Conclusion et perspectives</w:t>
      </w:r>
    </w:p>
    <w:p>
      <w:pPr>
        <w:pStyle w:val="Heading2"/>
        <w:spacing w:after="150" w:before="300"/>
      </w:pPr>
      <w:r>
        <w:t xml:space="preserve">6.1 Synthèse des apports</w:t>
      </w:r>
    </w:p>
    <w:p>
      <w:pPr>
        <w:spacing w:after="200" w:line="300"/>
        <w:jc w:val="both"/>
      </w:pPr>
      <w:r>
        <w:rPr>
          <w:sz w:val="22"/>
          <w:szCs w:val="22"/>
        </w:rPr>
        <w:t xml:space="preserve">Cette étude a permis de cartographier et de caractériser l'îlot de chaleur urbain de la commune d'Aix-en-Provence à une résolution de 30 mètres, en combinant imagerie satellite Landsat 8 et classification en Zones Climatiques Locales (LCZ) selon le cadre de Stewart &amp; Oke (2012). L'approche méthodologique a permis d'intégrer cinq des sept paramètres morphologiques du cadre théorique de référence, et de quantifier statistiquement leur contribution à la variabilité spatiale de la température de surface par un modèle de régression linéaire multiple.</w:t>
      </w:r>
    </w:p>
    <w:p>
      <w:pPr>
        <w:spacing w:after="200" w:line="300"/>
        <w:jc w:val="both"/>
      </w:pPr>
      <w:r>
        <w:rPr>
          <w:sz w:val="22"/>
          <w:szCs w:val="22"/>
        </w:rPr>
        <w:t xml:space="preserve">Les résultats mettent en évidence un gradient thermique cohérent avec la structure morphologique urbaine, la classe LCZ 8 présentant l'intensité d'îlot de chaleur la plus marquée (+2,90°C), tandis que les surfaces en eau et les zones arborées exercent l'effet rafraîchissant le plus fort. Un apport spécifique de cette étude réside dans l'analyse fine à 30 mètres, qui a révélé l'émergence de la classe LCZ 1 et son intensité thermique de surface étonnamment faible, interprétée à la lumière de la distinction entre îlot de chaleur de surface et îlot de chaleur de canopée.</w:t>
      </w:r>
    </w:p>
    <w:p>
      <w:pPr>
        <w:spacing w:after="200" w:line="300"/>
        <w:jc w:val="both"/>
      </w:pPr>
      <w:r>
        <w:rPr>
          <w:sz w:val="22"/>
          <w:szCs w:val="22"/>
        </w:rPr>
        <w:t xml:space="preserve">Au-delà de son apport scientifique, cette étude offre également des enseignements potentiellement utiles pour l'aménagement urbain à l'échelle communale. L'identification précise des classes LCZ les plus exposées à la surchauffe de surface, en particulier les zones commerciales et industrielles à toiture plate (LCZ 8), pourrait orienter des actions ciblées de désimperméabilisation, de végétalisation ou de traitement des toitures (peintures réfléchissantes, toitures végétalisées) dans le cadre de stratégies locales d'adaptation au changement climatique, telles que celles envisagées dans les documents d'urbanisme communaux ou intercommunaux.</w:t>
      </w:r>
    </w:p>
    <w:p>
      <w:pPr>
        <w:pStyle w:val="Heading2"/>
        <w:spacing w:after="150" w:before="300"/>
      </w:pPr>
      <w:r>
        <w:t xml:space="preserve">6.2 Limites</w:t>
      </w:r>
    </w:p>
    <w:p>
      <w:pPr>
        <w:spacing w:after="200" w:line="300"/>
        <w:jc w:val="both"/>
      </w:pPr>
      <w:r>
        <w:rPr>
          <w:sz w:val="22"/>
          <w:szCs w:val="22"/>
        </w:rPr>
        <w:t xml:space="preserve">Les principales limites de cette étude tiennent à l'absence d'intégration du facteur de vue du ciel et de l'admittance thermique de surface, à l'utilisation d'une date d'observation unique, et à l'absence de campagne de validation terrain, qui restreignent la portée de généralisation temporelle et physique des résultats obtenus.</w:t>
      </w:r>
    </w:p>
    <w:p>
      <w:pPr>
        <w:pStyle w:val="Heading2"/>
        <w:spacing w:after="150" w:before="300"/>
      </w:pPr>
      <w:r>
        <w:t xml:space="preserve">6.3 Perspectives</w:t>
      </w:r>
    </w:p>
    <w:p>
      <w:pPr>
        <w:spacing w:after="200" w:line="300"/>
        <w:jc w:val="both"/>
      </w:pPr>
      <w:r>
        <w:rPr>
          <w:sz w:val="22"/>
          <w:szCs w:val="22"/>
        </w:rPr>
        <w:t xml:space="preserve">Plusieurs axes de prolongement pourraient renforcer et enrichir les résultats de cette étude :</w:t>
      </w:r>
    </w:p>
    <w:p>
      <w:pPr>
        <w:pStyle w:val="ListParagraph"/>
        <w:numPr>
          <w:ilvl w:val="0"/>
          <w:numId w:val="3"/>
        </w:numPr>
        <w:spacing w:after="100"/>
      </w:pPr>
      <w:r>
        <w:rPr>
          <w:sz w:val="22"/>
          <w:szCs w:val="22"/>
        </w:rPr>
        <w:t xml:space="preserve">Le calcul d'un indice de végétation (NDVI) à partir d'imagerie Sentinel-2, permettant une caractérisation continue de la vigueur végétale ;</w:t>
      </w:r>
    </w:p>
    <w:p>
      <w:pPr>
        <w:pStyle w:val="ListParagraph"/>
        <w:numPr>
          <w:ilvl w:val="0"/>
          <w:numId w:val="3"/>
        </w:numPr>
        <w:spacing w:after="100"/>
      </w:pPr>
      <w:r>
        <w:rPr>
          <w:sz w:val="22"/>
          <w:szCs w:val="22"/>
        </w:rPr>
        <w:t xml:space="preserve">L'analyse d'une seconde date d'observation, permettant d'évaluer la robustesse temporelle du schéma d'îlot de chaleur identifié ;</w:t>
      </w:r>
    </w:p>
    <w:p>
      <w:pPr>
        <w:pStyle w:val="ListParagraph"/>
        <w:numPr>
          <w:ilvl w:val="0"/>
          <w:numId w:val="3"/>
        </w:numPr>
        <w:spacing w:after="100"/>
      </w:pPr>
      <w:r>
        <w:rPr>
          <w:sz w:val="22"/>
          <w:szCs w:val="22"/>
        </w:rPr>
        <w:t xml:space="preserve">La mise en œuvre d'une campagne de validation terrain (transects mobiles ou capteurs fixes), seule approche permettant de mesurer directement l'îlot de chaleur de canopée ;</w:t>
      </w:r>
    </w:p>
    <w:p>
      <w:pPr>
        <w:pStyle w:val="ListParagraph"/>
        <w:numPr>
          <w:ilvl w:val="0"/>
          <w:numId w:val="3"/>
        </w:numPr>
        <w:spacing w:after="200"/>
      </w:pPr>
      <w:r>
        <w:rPr>
          <w:sz w:val="22"/>
          <w:szCs w:val="22"/>
        </w:rPr>
        <w:t xml:space="preserve">L'intégration du facteur de vue du ciel, à partir de la construction d'un modèle numérique de surface, pour compléter le cadre des sept paramètres de Stewart &amp; Oke.</w:t>
      </w:r>
    </w:p>
    <w:p>
      <w:r>
        <w:br w:type="page"/>
      </w:r>
    </w:p>
    <w:p>
      <w:pPr>
        <w:pStyle w:val="Heading1"/>
        <w:spacing w:after="200" w:before="400"/>
      </w:pPr>
      <w:r>
        <w:t xml:space="preserve">Références bibliographiques</w:t>
      </w:r>
    </w:p>
    <w:p>
      <w:pPr>
        <w:spacing w:after="200" w:line="276"/>
        <w:ind w:left="400" w:hanging="400"/>
      </w:pPr>
      <w:r>
        <w:rPr>
          <w:sz w:val="22"/>
          <w:szCs w:val="22"/>
        </w:rPr>
        <w:t xml:space="preserve">Grimmond, C. S. B., &amp; Oke, T. R. (1999). Aerodynamic properties of urban areas derived from analysis of surface form. Journal of Applied Meteorology, 38(9), 1262–1292.</w:t>
      </w:r>
    </w:p>
    <w:p>
      <w:pPr>
        <w:spacing w:after="200" w:line="276"/>
        <w:ind w:left="400" w:hanging="400"/>
      </w:pPr>
      <w:r>
        <w:rPr>
          <w:sz w:val="22"/>
          <w:szCs w:val="22"/>
        </w:rPr>
        <w:t xml:space="preserve">Oke, T. R. (1982). The energetic basis of the urban heat island. Quarterly Journal of the Royal Meteorological Society, 108(455), 1–24.</w:t>
      </w:r>
    </w:p>
    <w:p>
      <w:pPr>
        <w:spacing w:after="200" w:line="276"/>
        <w:ind w:left="400" w:hanging="400"/>
      </w:pPr>
      <w:r>
        <w:rPr>
          <w:sz w:val="22"/>
          <w:szCs w:val="22"/>
        </w:rPr>
        <w:t xml:space="preserve">Oke, T. R., Mills, G., Christen, A., &amp; Voogt, J. A. (2017). Urban Climates. Cambridge University Press.</w:t>
      </w:r>
    </w:p>
    <w:p>
      <w:pPr>
        <w:spacing w:after="200" w:line="276"/>
        <w:ind w:left="400" w:hanging="400"/>
      </w:pPr>
      <w:r>
        <w:rPr>
          <w:sz w:val="22"/>
          <w:szCs w:val="22"/>
        </w:rPr>
        <w:t xml:space="preserve">Stewart, I. D., &amp; Oke, T. R. (2012). Local climate zones for urban temperature studies. Bulletin of the American Meteorological Society, 93(12), 1879–1900.</w:t>
      </w:r>
    </w:p>
    <w:p>
      <w:pPr>
        <w:spacing w:after="200" w:line="276"/>
        <w:ind w:left="400" w:hanging="400"/>
      </w:pPr>
      <w:r>
        <w:rPr>
          <w:sz w:val="22"/>
          <w:szCs w:val="22"/>
        </w:rPr>
        <w:t xml:space="preserve">U.S. Geological Survey (USGS). (2021). Landsat 8 Collection 2 (C2) Level-2 Science Product Guide. Département de l'Intérieur des États-Unis.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UHI Aix-en-Provence — LCZ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2026-08-30T21:34:23.573Z</dcterms:created>
  <dcterms:modified xsi:type="dcterms:W3CDTF">2026-08-30T21:34:23.585Z</dcterms:modified>
</cp:coreProperties>
</file>

<file path=docProps/custom.xml><?xml version="1.0" encoding="utf-8"?>
<Properties xmlns="http://schemas.openxmlformats.org/officeDocument/2006/custom-properties" xmlns:vt="http://schemas.openxmlformats.org/officeDocument/2006/docPropsVTypes"/>
</file>