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26"/>
          <w:szCs w:val="26"/>
        </w:rPr>
        <w:t xml:space="preserve">AIX-MARSEILLE UNIVERSITY</w:t>
      </w:r>
    </w:p>
    <w:p>
      <w:pPr>
        <w:spacing w:after="100"/>
        <w:jc w:val="center"/>
      </w:pPr>
      <w:r>
        <w:rPr>
          <w:sz w:val="22"/>
          <w:szCs w:val="22"/>
        </w:rPr>
        <w:t xml:space="preserve">Faculty of Arts, Letters, Languages and Human Sciences (ALLSH)</w:t>
      </w:r>
    </w:p>
    <w:p>
      <w:pPr>
        <w:spacing w:after="1200"/>
        <w:jc w:val="center"/>
      </w:pPr>
      <w:r>
        <w:rPr>
          <w:sz w:val="22"/>
          <w:szCs w:val="22"/>
        </w:rPr>
        <w:t xml:space="preserve">Master 1 — Geomatics and Spatial Modelling</w:t>
      </w:r>
    </w:p>
    <w:p>
      <w:pPr>
        <w:spacing w:before="800"/>
        <w:jc w:val="center"/>
      </w:pPr>
      <w:r>
        <w:rPr>
          <w:b/>
          <w:bCs/>
          <w:sz w:val="32"/>
          <w:szCs w:val="32"/>
        </w:rPr>
        <w:t xml:space="preserve">Mapping Urban Heat Islands in Aix-en-Provence</w:t>
      </w:r>
    </w:p>
    <w:p>
      <w:pPr>
        <w:spacing w:after="800" w:before="200"/>
        <w:jc w:val="center"/>
      </w:pPr>
      <w:r>
        <w:rPr>
          <w:b/>
          <w:bCs/>
          <w:sz w:val="28"/>
          <w:szCs w:val="28"/>
        </w:rPr>
        <w:t xml:space="preserve">Through Remote Sensing and Local Climate Zones (LCZ)</w:t>
      </w:r>
    </w:p>
    <w:p>
      <w:pPr>
        <w:spacing w:after="100"/>
        <w:jc w:val="center"/>
      </w:pPr>
      <w:r>
        <w:rPr>
          <w:i/>
          <w:iCs/>
          <w:sz w:val="22"/>
          <w:szCs w:val="22"/>
        </w:rPr>
        <w:t xml:space="preserve">Master's Thesis</w:t>
      </w:r>
    </w:p>
    <w:p>
      <w:pPr>
        <w:spacing w:after="100" w:before="400"/>
        <w:jc w:val="center"/>
      </w:pPr>
      <w:r>
        <w:rPr>
          <w:sz w:val="20"/>
          <w:szCs w:val="20"/>
        </w:rPr>
        <w:t xml:space="preserve">presented by</w:t>
      </w:r>
    </w:p>
    <w:p>
      <w:pPr>
        <w:spacing w:after="600"/>
        <w:jc w:val="center"/>
      </w:pPr>
      <w:r>
        <w:rPr>
          <w:b/>
          <w:bCs/>
          <w:sz w:val="24"/>
          <w:szCs w:val="24"/>
        </w:rPr>
        <w:t xml:space="preserve">SOUKOU A. Ezechiel</w:t>
      </w:r>
    </w:p>
    <w:p>
      <w:pPr>
        <w:spacing w:after="100"/>
        <w:jc w:val="center"/>
      </w:pPr>
      <w:r>
        <w:rPr>
          <w:sz w:val="20"/>
          <w:szCs w:val="20"/>
        </w:rPr>
        <w:t xml:space="preserve">Supervised by:</w:t>
      </w:r>
    </w:p>
    <w:p>
      <w:pPr>
        <w:spacing w:after="1200"/>
        <w:jc w:val="center"/>
      </w:pPr>
      <w:r>
        <w:rPr>
          <w:b/>
          <w:bCs/>
          <w:sz w:val="24"/>
          <w:szCs w:val="24"/>
        </w:rPr>
        <w:t xml:space="preserve">Sébastien BRIDIER</w:t>
      </w:r>
    </w:p>
    <w:p>
      <w:pPr>
        <w:spacing w:before="800"/>
        <w:jc w:val="center"/>
      </w:pPr>
      <w:r>
        <w:rPr>
          <w:sz w:val="22"/>
          <w:szCs w:val="22"/>
        </w:rPr>
        <w:t xml:space="preserve">Academic Year 2025–2026</w:t>
      </w:r>
    </w:p>
    <w:p>
      <w:r>
        <w:br w:type="page"/>
      </w:r>
    </w:p>
    <w:p>
      <w:pPr>
        <w:pStyle w:val="Heading1"/>
        <w:spacing w:after="200" w:before="400"/>
      </w:pPr>
      <w:r>
        <w:t xml:space="preserve">Summary</w:t>
      </w:r>
    </w:p>
    <w:p>
      <w:pPr>
        <w:spacing w:after="150"/>
      </w:pPr>
      <w:r>
        <w:rPr>
          <w:sz w:val="24"/>
          <w:szCs w:val="24"/>
        </w:rPr>
        <w:t xml:space="preserve">Abstract</w:t>
      </w:r>
    </w:p>
    <w:p>
      <w:pPr>
        <w:spacing w:after="150"/>
      </w:pPr>
      <w:r>
        <w:rPr>
          <w:sz w:val="24"/>
          <w:szCs w:val="24"/>
        </w:rPr>
        <w:t xml:space="preserve">1. Introduction</w:t>
      </w:r>
    </w:p>
    <w:p>
      <w:pPr>
        <w:spacing w:after="150"/>
      </w:pPr>
      <w:r>
        <w:rPr>
          <w:sz w:val="24"/>
          <w:szCs w:val="24"/>
        </w:rPr>
        <w:t xml:space="preserve">2. Study area and data</w:t>
      </w:r>
    </w:p>
    <w:p>
      <w:pPr>
        <w:spacing w:after="150"/>
      </w:pPr>
      <w:r>
        <w:rPr>
          <w:sz w:val="24"/>
          <w:szCs w:val="24"/>
        </w:rPr>
        <w:t xml:space="preserve">3. Methodology</w:t>
      </w:r>
    </w:p>
    <w:p>
      <w:pPr>
        <w:spacing w:after="150"/>
      </w:pPr>
      <w:r>
        <w:rPr>
          <w:sz w:val="24"/>
          <w:szCs w:val="24"/>
        </w:rPr>
        <w:t xml:space="preserve">4. Results</w:t>
      </w:r>
    </w:p>
    <w:p>
      <w:pPr>
        <w:spacing w:after="150"/>
      </w:pPr>
      <w:r>
        <w:rPr>
          <w:sz w:val="24"/>
          <w:szCs w:val="24"/>
        </w:rPr>
        <w:t xml:space="preserve">5. Discussion</w:t>
      </w:r>
    </w:p>
    <w:p>
      <w:pPr>
        <w:spacing w:after="150"/>
      </w:pPr>
      <w:r>
        <w:rPr>
          <w:sz w:val="24"/>
          <w:szCs w:val="24"/>
        </w:rPr>
        <w:t xml:space="preserve">6. Conclusion and perspectives</w:t>
      </w:r>
    </w:p>
    <w:p>
      <w:pPr>
        <w:spacing w:after="150"/>
      </w:pPr>
      <w:r>
        <w:rPr>
          <w:sz w:val="24"/>
          <w:szCs w:val="24"/>
        </w:rPr>
        <w:t xml:space="preserve">References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Abstract</w:t>
      </w:r>
    </w:p>
    <w:p>
      <w:pPr>
        <w:spacing w:after="200" w:line="300"/>
        <w:jc w:val="both"/>
      </w:pPr>
      <w:r>
        <w:rPr>
          <w:sz w:val="22"/>
          <w:szCs w:val="22"/>
        </w:rPr>
        <w:t xml:space="preserve">Urbanization durably alters the thermal properties of surfaces, generating the urban heat island (UHI) phenomenon, whose expected intensification with climate change makes it a growing concern for urban planning. This study maps and characterizes the urban heat island of the commune of Aix-en-Provence during a heatwave episode (16 August 2025), combining land surface temperature (LST) derived from Landsat 8 imagery with a Local Climate Zone (LCZ) classification following the Stewart &amp; Oke (2012) framework.</w:t>
      </w:r>
    </w:p>
    <w:p>
      <w:pPr>
        <w:spacing w:after="200" w:line="300"/>
        <w:jc w:val="both"/>
      </w:pPr>
      <w:r>
        <w:rPr>
          <w:sz w:val="22"/>
          <w:szCs w:val="22"/>
        </w:rPr>
        <w:t xml:space="preserve">A grid of 210,036 cells of 30 metres, aligned with the native resolution of the thermal sensor, was built from BD TOPO and Corine Land Cover data, allowing the computation of five morphological indicators (building surface fraction, vegetation fraction, impervious surface fraction, mean building height, roughness class) and their cross-analysis with observed LST. Results reveal a thermal gradient consistent with urban structure: the LCZ 8 class (large low-rise buildings) shows the highest UHI intensity (+2.90°C relative to the rural reference), while water and tree cover exert the strongest cooling effect (-6.64°C and -3.36°C respectively). A notable finding concerns the LCZ 1 class (compact historic centre), which only emerges at this fine resolution, and whose near-zero surface UHI intensity (-0.13°C) is interpreted in light of the divergence between surface and canopy-layer urban heat islands. A multiple linear regression model statistically confirms the predominant role of building fraction and vegetation fraction (R² = 0.247).</w:t>
      </w:r>
    </w:p>
    <w:p>
      <w:pPr>
        <w:spacing w:after="200" w:line="300"/>
        <w:jc w:val="both"/>
      </w:pPr>
      <w:r>
        <w:rPr>
          <w:sz w:val="22"/>
          <w:szCs w:val="22"/>
        </w:rPr>
        <w:t xml:space="preserve">These results highlight the value of fine spatial resolution for detecting localized thermal contrasts, while questioning the limits of satellite remote sensing for capturing the heat actually experienced in dense urban areas.</w:t>
      </w:r>
    </w:p>
    <w:p>
      <w:pPr>
        <w:spacing w:after="200"/>
      </w:pPr>
      <w:r>
        <w:rPr>
          <w:b/>
          <w:bCs/>
          <w:sz w:val="22"/>
          <w:szCs w:val="22"/>
        </w:rPr>
        <w:t xml:space="preserve">Keywords: </w:t>
      </w:r>
      <w:r>
        <w:rPr>
          <w:i/>
          <w:iCs/>
          <w:sz w:val="22"/>
          <w:szCs w:val="22"/>
        </w:rPr>
        <w:t xml:space="preserve">urban heat island, local climate zones, remote sensing, land surface temperature, Landsat, Aix-en-Provence</w:t>
      </w:r>
    </w:p>
    <w:p>
      <w:r>
        <w:br w:type="page"/>
      </w:r>
    </w:p>
    <w:p>
      <w:pPr>
        <w:pStyle w:val="Heading1"/>
        <w:spacing w:after="200" w:before="400"/>
      </w:pPr>
      <w:r>
        <w:t xml:space="preserve">1. Introduction</w:t>
      </w:r>
    </w:p>
    <w:p>
      <w:pPr>
        <w:pStyle w:val="Heading2"/>
        <w:spacing w:after="150" w:before="300"/>
      </w:pPr>
      <w:r>
        <w:t xml:space="preserve">1.1 General context</w:t>
      </w:r>
    </w:p>
    <w:p>
      <w:pPr>
        <w:spacing w:after="200" w:line="300"/>
        <w:jc w:val="both"/>
      </w:pPr>
      <w:r>
        <w:rPr>
          <w:sz w:val="22"/>
          <w:szCs w:val="22"/>
        </w:rPr>
        <w:t xml:space="preserve">Growing urbanization is accompanied by a profound modification of the physical properties of the Earth's surface: the replacement of natural and vegetated soils by mineral and impervious materials, increased building density, and reduced vegetation cover. These transformations alter the surface energy balance and generate a well-documented local climatic phenomenon, the urban heat island (UHI), characterized by higher temperatures in urban areas than in the surrounding rural periphery (Oke, 1982). This phenomenon, expected to intensify with climate change and the increasing frequency of heatwave episodes, constitutes a growing concern for urban planning, public health, and thermal comfort.</w:t>
      </w:r>
    </w:p>
    <w:p>
      <w:pPr>
        <w:pStyle w:val="Heading2"/>
        <w:spacing w:after="150" w:before="300"/>
      </w:pPr>
      <w:r>
        <w:t xml:space="preserve">1.2 Theoretical framework: the Local Climate Zone system</w:t>
      </w:r>
    </w:p>
    <w:p>
      <w:pPr>
        <w:spacing w:after="200" w:line="300"/>
        <w:jc w:val="both"/>
      </w:pPr>
      <w:r>
        <w:rPr>
          <w:sz w:val="22"/>
          <w:szCs w:val="22"/>
        </w:rPr>
        <w:t xml:space="preserve">The study of urban heat islands has long been hindered by the absence of a standardized classification framework allowing comparison of results across studies and cities. The Local Climate Zone (LCZ) system, proposed by Stewart &amp; Oke (2012), addresses this limitation by defining seventeen standardized climatic classes based on measurable morphological properties — building density, construction height, vegetation cover, surface roughness — independently of urban function (residential, industrial, commercial) traditionally used in earlier approaches. This framework, now widely adopted by the international scientific community (notably through the WUDAPT initiative), enables reproducible and comparable characterization of urban fabrics at the neighbourhood scale.</w:t>
      </w:r>
    </w:p>
    <w:p>
      <w:pPr>
        <w:spacing w:after="200" w:line="300"/>
        <w:jc w:val="both"/>
      </w:pPr>
      <w:r>
        <w:rPr>
          <w:sz w:val="22"/>
          <w:szCs w:val="22"/>
        </w:rPr>
        <w:t xml:space="preserve">The LCZ system distinguishes two broad families of classes: ten so-called "built" classes (LCZ 1 to LCZ 10), ranging from very dense, tall fabrics (LCZ 1 — Compact high-rise) to very open, low ground-coverage fabrics (LCZ 9 — Sparsely built), and seven "natural" classes (LCZ A to LCZ G), covering wooded surfaces, low plants, bare soil, rock, and water. Each built class is defined by a characteristic combination of mean building height, building surface fraction, and impervious surface fraction, which allows it to be unambiguously distinguished from neighbouring classes. It is this logic of classification by morphological thresholds, rather than by land use, that was reproduced in the present study (section 3.4).</w:t>
      </w:r>
    </w:p>
    <w:p>
      <w:pPr>
        <w:pStyle w:val="Heading2"/>
        <w:spacing w:after="150" w:before="300"/>
      </w:pPr>
      <w:r>
        <w:t xml:space="preserve">1.3 Contribution of satellite remote sensing</w:t>
      </w:r>
    </w:p>
    <w:p>
      <w:pPr>
        <w:spacing w:after="200" w:line="300"/>
        <w:jc w:val="both"/>
      </w:pPr>
      <w:r>
        <w:rPr>
          <w:sz w:val="22"/>
          <w:szCs w:val="22"/>
        </w:rPr>
        <w:t xml:space="preserve">The development of thermal satellite imagery, particularly the Landsat mission, has made it possible to overcome the limitations of in-situ measurement campaigns, which are costly and spatially limited, by offering continuous spatial coverage of land surface temperature (LST) across entire cities. Cross-referencing this thermal data with an LCZ classification is today a reference approach for quantifying urban heat island intensity in a spatially explicit way, while questioning the morphological factors that determine it.</w:t>
      </w:r>
    </w:p>
    <w:p>
      <w:pPr>
        <w:spacing w:after="200" w:line="300"/>
        <w:jc w:val="both"/>
      </w:pPr>
      <w:r>
        <w:rPr>
          <w:sz w:val="22"/>
          <w:szCs w:val="22"/>
        </w:rPr>
        <w:t xml:space="preserve">It is nevertheless important to clearly distinguish two notions often conflated in popular literature: the surface urban heat island (SUHI), measured by satellite thermal remote sensing, and the canopy-layer urban heat island, measured at ambient air level, generally by fixed weather stations or mobile transects. These two approaches, although complementary, do not strictly measure the same physical phenomenon: the first captures the radiative energy emitted by surfaces directly visible from space (roofs, roads, vegetation canopy), while the second captures the air temperature actually experienced by inhabitants. This distinction, developed notably by Oke et al. (2017), forms an important thread throughout this study, particularly in interpreting the results obtained for dense, tall urban fabrics (section 5.1).</w:t>
      </w:r>
    </w:p>
    <w:p>
      <w:pPr>
        <w:spacing w:after="200" w:line="300"/>
        <w:jc w:val="both"/>
      </w:pPr>
      <w:r>
        <w:rPr>
          <w:sz w:val="22"/>
          <w:szCs w:val="22"/>
        </w:rPr>
        <w:t xml:space="preserve">Numerous international studies have jointly used Landsat imagery and LCZ classification to characterize urban heat islands in varied climatic contexts — North American, East Asian, or Mediterranean cities. These works generally converge on a common finding: LCZ classes with high building density and low vegetation cover show significantly higher surface temperatures than vegetated or aquatic classes, while revealing nuances specific to each local urban and climatic context, notably related to traditional building morphology, dominant construction materials, and local urban greening strategies. The case of Aix-en-Provence, a medium-sized city with a dense historic fabric and a marked Mediterranean climate, thus offers a complementary study area to this body of work, still scarcely documented for this type of urban context.</w:t>
      </w:r>
    </w:p>
    <w:p>
      <w:pPr>
        <w:pStyle w:val="Heading2"/>
        <w:spacing w:after="150" w:before="300"/>
      </w:pPr>
      <w:r>
        <w:t xml:space="preserve">1.4 Research problem and objectives</w:t>
      </w:r>
    </w:p>
    <w:p>
      <w:pPr>
        <w:spacing w:after="200" w:line="300"/>
        <w:jc w:val="both"/>
      </w:pPr>
      <w:r>
        <w:rPr>
          <w:sz w:val="22"/>
          <w:szCs w:val="22"/>
        </w:rPr>
        <w:t xml:space="preserve">The commune of Aix-en-Provence, a medium-sized city in south-eastern France marked by a dense historic centre and an expanding periphery, constitutes a relevant study area for examining the relationship between urban morphology and surface temperature, particularly in a context of growing vulnerability to Mediterranean heatwave episodes.</w:t>
      </w:r>
    </w:p>
    <w:p>
      <w:pPr>
        <w:spacing w:after="200" w:line="300"/>
        <w:jc w:val="both"/>
      </w:pPr>
      <w:r>
        <w:rPr>
          <w:sz w:val="22"/>
          <w:szCs w:val="22"/>
        </w:rPr>
        <w:t xml:space="preserve">This study pursues three main objectives:</w:t>
      </w:r>
    </w:p>
    <w:p>
      <w:pPr>
        <w:pStyle w:val="ListParagraph"/>
        <w:numPr>
          <w:ilvl w:val="0"/>
          <w:numId w:val="2"/>
        </w:numPr>
        <w:spacing w:after="100"/>
      </w:pPr>
      <w:r>
        <w:rPr>
          <w:sz w:val="22"/>
          <w:szCs w:val="22"/>
        </w:rPr>
        <w:t xml:space="preserve">To map the land surface temperature of the commune of Aix-en-Provence during a heatwave episode, using Landsat 8 imagery;</w:t>
      </w:r>
    </w:p>
    <w:p>
      <w:pPr>
        <w:pStyle w:val="ListParagraph"/>
        <w:numPr>
          <w:ilvl w:val="0"/>
          <w:numId w:val="2"/>
        </w:numPr>
        <w:spacing w:after="100"/>
      </w:pPr>
      <w:r>
        <w:rPr>
          <w:sz w:val="22"/>
          <w:szCs w:val="22"/>
        </w:rPr>
        <w:t xml:space="preserve">To classify the municipal territory according to the Local Climate Zone system, at a spatial resolution aligned with the native resolution of the thermal sensor (30 m);</w:t>
      </w:r>
    </w:p>
    <w:p>
      <w:pPr>
        <w:pStyle w:val="ListParagraph"/>
        <w:numPr>
          <w:ilvl w:val="0"/>
          <w:numId w:val="2"/>
        </w:numPr>
        <w:spacing w:after="200"/>
      </w:pPr>
      <w:r>
        <w:rPr>
          <w:sz w:val="22"/>
          <w:szCs w:val="22"/>
        </w:rPr>
        <w:t xml:space="preserve">To quantify, through cross-tabulated statistical analysis and a regression model, the contribution of morphological indicators (building density, vegetation, height, roughness) to the spatial variability of surface temperature, and to discuss the consistency of these results with respect to the theoretical framework of the urban heat island.</w:t>
      </w:r>
    </w:p>
    <w:p>
      <w:pPr>
        <w:pStyle w:val="Heading2"/>
        <w:spacing w:after="150" w:before="300"/>
      </w:pPr>
      <w:r>
        <w:t xml:space="preserve">1.5 Outline of the article</w:t>
      </w:r>
    </w:p>
    <w:p>
      <w:pPr>
        <w:spacing w:after="200" w:line="300"/>
        <w:jc w:val="both"/>
      </w:pPr>
      <w:r>
        <w:rPr>
          <w:sz w:val="22"/>
          <w:szCs w:val="22"/>
        </w:rPr>
        <w:t xml:space="preserve">After presenting the study area and the data used (section 2), the methodology for computing surface temperature, building the analysis grid, and performing the LCZ classification is detailed (section 3). The results of the LCZ-LST cross-analysis and the regression model are then presented (section 4), before being discussed in light of the theoretical framework of the urban heat island and the methodological limitations of the study (section 5). A conclusion summarizes the contributions and perspectives of this work (section 6).</w:t>
      </w:r>
    </w:p>
    <w:p>
      <w:r>
        <w:br w:type="page"/>
      </w:r>
    </w:p>
    <w:p>
      <w:pPr>
        <w:pStyle w:val="Heading1"/>
        <w:spacing w:after="200" w:before="400"/>
      </w:pPr>
      <w:r>
        <w:t xml:space="preserve">2. Study area and data</w:t>
      </w:r>
    </w:p>
    <w:p>
      <w:pPr>
        <w:pStyle w:val="Heading2"/>
        <w:spacing w:after="150" w:before="300"/>
      </w:pPr>
      <w:r>
        <w:t xml:space="preserve">2.1 Study area</w:t>
      </w:r>
    </w:p>
    <w:p>
      <w:pPr>
        <w:spacing w:after="200" w:line="300"/>
        <w:jc w:val="both"/>
      </w:pPr>
      <w:r>
        <w:rPr>
          <w:sz w:val="22"/>
          <w:szCs w:val="22"/>
        </w:rPr>
        <w:t xml:space="preserve">The study area corresponds to the commune of Aix-en-Provence (INSEE code 13001), covering approximately 186 km², located in the Bouches-du-Rhône department, Provence-Alpes-Côte d'Azur region. The commune is characterized by a dense historic centre, inherited from medieval and classical urbanization, surrounded by a residential and suburban periphery that has been continuously expanding for several decades, as well as extensive agricultural and natural areas (garrigue, olive groves, wooded massifs) which occupy a significant share of the municipal territory, particularly in its northern and south-western parts.</w:t>
      </w:r>
    </w:p>
    <w:p>
      <w:pPr>
        <w:spacing w:after="200" w:line="300"/>
        <w:jc w:val="both"/>
      </w:pPr>
      <w:r>
        <w:rPr>
          <w:sz w:val="22"/>
          <w:szCs w:val="22"/>
        </w:rPr>
        <w:t xml:space="preserve">Climatically, Aix-en-Provence is subject to a typical Mediterranean climate, characterized by hot, dry summers that favour the regular occurrence of summer heatwave episodes. This climatic exposure, combined with the coexistence of a very dense old urban fabric and less compact, more recent peri-urban areas, makes it a particularly suitable study area for analysing intra-urban thermal contrasts related to building morphology.</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1 PLACEHOLDER — insert here: location_map_aix.png ]</w:t>
      </w:r>
    </w:p>
    <w:p>
      <w:pPr>
        <w:spacing w:after="300"/>
        <w:jc w:val="center"/>
      </w:pPr>
      <w:r>
        <w:rPr>
          <w:i/>
          <w:iCs/>
          <w:sz w:val="20"/>
          <w:szCs w:val="20"/>
        </w:rPr>
        <w:t xml:space="preserve">Figure 1. Location of Aix-en-Provence in its regional context (Bouches-du-Rhône / PACA).</w:t>
      </w:r>
    </w:p>
    <w:p>
      <w:pPr>
        <w:pStyle w:val="Heading2"/>
        <w:spacing w:after="150" w:before="300"/>
      </w:pPr>
      <w:r>
        <w:t xml:space="preserve">2.2 Data used</w:t>
      </w:r>
    </w:p>
    <w:p>
      <w:pPr>
        <w:spacing w:after="200" w:line="300"/>
        <w:jc w:val="both"/>
      </w:pPr>
      <w:r>
        <w:rPr>
          <w:sz w:val="22"/>
          <w:szCs w:val="22"/>
        </w:rPr>
        <w:t xml:space="preserve">This study relies on four geospatial data sources, combining satellite imagery and national vector reference layers, summarized in Table 1.</w:t>
      </w:r>
    </w:p>
    <w:p>
      <w:pPr>
        <w:spacing w:after="100" w:before="200"/>
      </w:pPr>
      <w:r>
        <w:rPr>
          <w:b/>
          <w:bCs/>
          <w:sz w:val="20"/>
          <w:szCs w:val="20"/>
        </w:rPr>
        <w:t xml:space="preserve">Table 1. </w:t>
      </w:r>
      <w:r>
        <w:rPr>
          <w:i/>
          <w:iCs/>
          <w:sz w:val="20"/>
          <w:szCs w:val="20"/>
        </w:rPr>
        <w:t xml:space="preserve">Data sources used in the study.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2800"/>
      </w:tblGrid>
      <w:tr>
        <w:tc>
          <w:tcPr>
            <w:tcW w:type="dxa" w:w="2400"/>
            <w:shd w:fill="D9D9D9" w:val="clear"/>
          </w:tcPr>
          <w:p>
            <w:r>
              <w:rPr>
                <w:b/>
                <w:bCs/>
                <w:sz w:val="20"/>
                <w:szCs w:val="20"/>
              </w:rPr>
              <w:t xml:space="preserve">Data</w:t>
            </w:r>
          </w:p>
        </w:tc>
        <w:tc>
          <w:tcPr>
            <w:tcW w:type="dxa" w:w="1600"/>
            <w:shd w:fill="D9D9D9" w:val="clear"/>
          </w:tcPr>
          <w:p>
            <w:r>
              <w:rPr>
                <w:b/>
                <w:bCs/>
                <w:sz w:val="20"/>
                <w:szCs w:val="20"/>
              </w:rPr>
              <w:t xml:space="preserve">Source</w:t>
            </w:r>
          </w:p>
        </w:tc>
        <w:tc>
          <w:tcPr>
            <w:tcW w:type="dxa" w:w="1400"/>
            <w:shd w:fill="D9D9D9" w:val="clear"/>
          </w:tcPr>
          <w:p>
            <w:r>
              <w:rPr>
                <w:b/>
                <w:bCs/>
                <w:sz w:val="20"/>
                <w:szCs w:val="20"/>
              </w:rPr>
              <w:t xml:space="preserve">Type</w:t>
            </w:r>
          </w:p>
        </w:tc>
        <w:tc>
          <w:tcPr>
            <w:tcW w:type="dxa" w:w="1400"/>
            <w:shd w:fill="D9D9D9" w:val="clear"/>
          </w:tcPr>
          <w:p>
            <w:r>
              <w:rPr>
                <w:b/>
                <w:bCs/>
                <w:sz w:val="20"/>
                <w:szCs w:val="20"/>
              </w:rPr>
              <w:t xml:space="preserve">Resolution</w:t>
            </w:r>
          </w:p>
        </w:tc>
        <w:tc>
          <w:tcPr>
            <w:tcW w:type="dxa" w:w="2800"/>
            <w:shd w:fill="D9D9D9" w:val="clear"/>
          </w:tcPr>
          <w:p>
            <w:r>
              <w:rPr>
                <w:b/>
                <w:bCs/>
                <w:sz w:val="20"/>
                <w:szCs w:val="20"/>
              </w:rPr>
              <w:t xml:space="preserve">Role in the study</w:t>
            </w:r>
          </w:p>
        </w:tc>
      </w:tr>
      <w:tr>
        <w:tc>
          <w:tcPr>
            <w:tcW w:type="dxa" w:w="2400"/>
          </w:tcPr>
          <w:p>
            <w:r>
              <w:rPr>
                <w:b w:val="false"/>
                <w:bCs w:val="false"/>
                <w:sz w:val="20"/>
                <w:szCs w:val="20"/>
              </w:rPr>
              <w:t xml:space="preserve">Landsat 8 (ST_B10)</w:t>
            </w:r>
          </w:p>
        </w:tc>
        <w:tc>
          <w:tcPr>
            <w:tcW w:type="dxa" w:w="1600"/>
          </w:tcPr>
          <w:p>
            <w:r>
              <w:rPr>
                <w:b w:val="false"/>
                <w:bCs w:val="false"/>
                <w:sz w:val="20"/>
                <w:szCs w:val="20"/>
              </w:rPr>
              <w:t xml:space="preserve">USGS / GEE</w:t>
            </w:r>
          </w:p>
        </w:tc>
        <w:tc>
          <w:tcPr>
            <w:tcW w:type="dxa" w:w="1400"/>
          </w:tcPr>
          <w:p>
            <w:r>
              <w:rPr>
                <w:b w:val="false"/>
                <w:bCs w:val="false"/>
                <w:sz w:val="20"/>
                <w:szCs w:val="20"/>
              </w:rPr>
              <w:t xml:space="preserve">Raster</w:t>
            </w:r>
          </w:p>
        </w:tc>
        <w:tc>
          <w:tcPr>
            <w:tcW w:type="dxa" w:w="1400"/>
          </w:tcPr>
          <w:p>
            <w:r>
              <w:rPr>
                <w:b w:val="false"/>
                <w:bCs w:val="false"/>
                <w:sz w:val="20"/>
                <w:szCs w:val="20"/>
              </w:rPr>
              <w:t xml:space="preserve">30 m</w:t>
            </w:r>
          </w:p>
        </w:tc>
        <w:tc>
          <w:tcPr>
            <w:tcW w:type="dxa" w:w="2800"/>
          </w:tcPr>
          <w:p>
            <w:r>
              <w:rPr>
                <w:b w:val="false"/>
                <w:bCs w:val="false"/>
                <w:sz w:val="20"/>
                <w:szCs w:val="20"/>
              </w:rPr>
              <w:t xml:space="preserve">LST computation</w:t>
            </w:r>
          </w:p>
        </w:tc>
      </w:tr>
      <w:tr>
        <w:tc>
          <w:tcPr>
            <w:tcW w:type="dxa" w:w="2400"/>
          </w:tcPr>
          <w:p>
            <w:r>
              <w:rPr>
                <w:b w:val="false"/>
                <w:bCs w:val="false"/>
                <w:sz w:val="20"/>
                <w:szCs w:val="20"/>
              </w:rPr>
              <w:t xml:space="preserve">Municipal boundary</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Vector</w:t>
            </w:r>
          </w:p>
        </w:tc>
        <w:tc>
          <w:tcPr>
            <w:tcW w:type="dxa" w:w="1400"/>
          </w:tcPr>
          <w:p>
            <w:r>
              <w:rPr>
                <w:b w:val="false"/>
                <w:bCs w:val="false"/>
                <w:sz w:val="20"/>
                <w:szCs w:val="20"/>
              </w:rPr>
              <w:t xml:space="preserve">—</w:t>
            </w:r>
          </w:p>
        </w:tc>
        <w:tc>
          <w:tcPr>
            <w:tcW w:type="dxa" w:w="2800"/>
          </w:tcPr>
          <w:p>
            <w:r>
              <w:rPr>
                <w:b w:val="false"/>
                <w:bCs w:val="false"/>
                <w:sz w:val="20"/>
                <w:szCs w:val="20"/>
              </w:rPr>
              <w:t xml:space="preserve">Delineation of the study area</w:t>
            </w:r>
          </w:p>
        </w:tc>
      </w:tr>
      <w:tr>
        <w:tc>
          <w:tcPr>
            <w:tcW w:type="dxa" w:w="2400"/>
          </w:tcPr>
          <w:p>
            <w:r>
              <w:rPr>
                <w:b w:val="false"/>
                <w:bCs w:val="false"/>
                <w:sz w:val="20"/>
                <w:szCs w:val="20"/>
              </w:rPr>
              <w:t xml:space="preserve">Buildings</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Vector</w:t>
            </w:r>
          </w:p>
        </w:tc>
        <w:tc>
          <w:tcPr>
            <w:tcW w:type="dxa" w:w="1400"/>
          </w:tcPr>
          <w:p>
            <w:r>
              <w:rPr>
                <w:b w:val="false"/>
                <w:bCs w:val="false"/>
                <w:sz w:val="20"/>
                <w:szCs w:val="20"/>
              </w:rPr>
              <w:t xml:space="preserve">—</w:t>
            </w:r>
          </w:p>
        </w:tc>
        <w:tc>
          <w:tcPr>
            <w:tcW w:type="dxa" w:w="2800"/>
          </w:tcPr>
          <w:p>
            <w:r>
              <w:rPr>
                <w:b w:val="false"/>
                <w:bCs w:val="false"/>
                <w:sz w:val="20"/>
                <w:szCs w:val="20"/>
              </w:rPr>
              <w:t xml:space="preserve">Building fraction, mean height</w:t>
            </w:r>
          </w:p>
        </w:tc>
      </w:tr>
      <w:tr>
        <w:tc>
          <w:tcPr>
            <w:tcW w:type="dxa" w:w="2400"/>
          </w:tcPr>
          <w:p>
            <w:r>
              <w:rPr>
                <w:b w:val="false"/>
                <w:bCs w:val="false"/>
                <w:sz w:val="20"/>
                <w:szCs w:val="20"/>
              </w:rPr>
              <w:t xml:space="preserve">Vegetation</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Vector</w:t>
            </w:r>
          </w:p>
        </w:tc>
        <w:tc>
          <w:tcPr>
            <w:tcW w:type="dxa" w:w="1400"/>
          </w:tcPr>
          <w:p>
            <w:r>
              <w:rPr>
                <w:b w:val="false"/>
                <w:bCs w:val="false"/>
                <w:sz w:val="20"/>
                <w:szCs w:val="20"/>
              </w:rPr>
              <w:t xml:space="preserve">—</w:t>
            </w:r>
          </w:p>
        </w:tc>
        <w:tc>
          <w:tcPr>
            <w:tcW w:type="dxa" w:w="2800"/>
          </w:tcPr>
          <w:p>
            <w:r>
              <w:rPr>
                <w:b w:val="false"/>
                <w:bCs w:val="false"/>
                <w:sz w:val="20"/>
                <w:szCs w:val="20"/>
              </w:rPr>
              <w:t xml:space="preserve">Vegetation fraction</w:t>
            </w:r>
          </w:p>
        </w:tc>
      </w:tr>
      <w:tr>
        <w:tc>
          <w:tcPr>
            <w:tcW w:type="dxa" w:w="2400"/>
          </w:tcPr>
          <w:p>
            <w:r>
              <w:rPr>
                <w:b w:val="false"/>
                <w:bCs w:val="false"/>
                <w:sz w:val="20"/>
                <w:szCs w:val="20"/>
              </w:rPr>
              <w:t xml:space="preserve">Road network</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Vector</w:t>
            </w:r>
          </w:p>
        </w:tc>
        <w:tc>
          <w:tcPr>
            <w:tcW w:type="dxa" w:w="1400"/>
          </w:tcPr>
          <w:p>
            <w:r>
              <w:rPr>
                <w:b w:val="false"/>
                <w:bCs w:val="false"/>
                <w:sz w:val="20"/>
                <w:szCs w:val="20"/>
              </w:rPr>
              <w:t xml:space="preserve">—</w:t>
            </w:r>
          </w:p>
        </w:tc>
        <w:tc>
          <w:tcPr>
            <w:tcW w:type="dxa" w:w="2800"/>
          </w:tcPr>
          <w:p>
            <w:r>
              <w:rPr>
                <w:b w:val="false"/>
                <w:bCs w:val="false"/>
                <w:sz w:val="20"/>
                <w:szCs w:val="20"/>
              </w:rPr>
              <w:t xml:space="preserve">Impervious fraction</w:t>
            </w:r>
          </w:p>
        </w:tc>
      </w:tr>
      <w:tr>
        <w:tc>
          <w:tcPr>
            <w:tcW w:type="dxa" w:w="2400"/>
          </w:tcPr>
          <w:p>
            <w:r>
              <w:rPr>
                <w:b w:val="false"/>
                <w:bCs w:val="false"/>
                <w:sz w:val="20"/>
                <w:szCs w:val="20"/>
              </w:rPr>
              <w:t xml:space="preserve">Hydrography</w:t>
            </w:r>
          </w:p>
        </w:tc>
        <w:tc>
          <w:tcPr>
            <w:tcW w:type="dxa" w:w="1600"/>
          </w:tcPr>
          <w:p>
            <w:r>
              <w:rPr>
                <w:b w:val="false"/>
                <w:bCs w:val="false"/>
                <w:sz w:val="20"/>
                <w:szCs w:val="20"/>
              </w:rPr>
              <w:t xml:space="preserve">IGN, BD TOPO</w:t>
            </w:r>
          </w:p>
        </w:tc>
        <w:tc>
          <w:tcPr>
            <w:tcW w:type="dxa" w:w="1400"/>
          </w:tcPr>
          <w:p>
            <w:r>
              <w:rPr>
                <w:b w:val="false"/>
                <w:bCs w:val="false"/>
                <w:sz w:val="20"/>
                <w:szCs w:val="20"/>
              </w:rPr>
              <w:t xml:space="preserve">Vector</w:t>
            </w:r>
          </w:p>
        </w:tc>
        <w:tc>
          <w:tcPr>
            <w:tcW w:type="dxa" w:w="1400"/>
          </w:tcPr>
          <w:p>
            <w:r>
              <w:rPr>
                <w:b w:val="false"/>
                <w:bCs w:val="false"/>
                <w:sz w:val="20"/>
                <w:szCs w:val="20"/>
              </w:rPr>
              <w:t xml:space="preserve">—</w:t>
            </w:r>
          </w:p>
        </w:tc>
        <w:tc>
          <w:tcPr>
            <w:tcW w:type="dxa" w:w="2800"/>
          </w:tcPr>
          <w:p>
            <w:r>
              <w:rPr>
                <w:b w:val="false"/>
                <w:bCs w:val="false"/>
                <w:sz w:val="20"/>
                <w:szCs w:val="20"/>
              </w:rPr>
              <w:t xml:space="preserve">LCZ G (water) correction</w:t>
            </w:r>
          </w:p>
        </w:tc>
      </w:tr>
      <w:tr>
        <w:tc>
          <w:tcPr>
            <w:tcW w:type="dxa" w:w="2400"/>
          </w:tcPr>
          <w:p>
            <w:r>
              <w:rPr>
                <w:b w:val="false"/>
                <w:bCs w:val="false"/>
                <w:sz w:val="20"/>
                <w:szCs w:val="20"/>
              </w:rPr>
              <w:t xml:space="preserve">Corine Land Cover</w:t>
            </w:r>
          </w:p>
        </w:tc>
        <w:tc>
          <w:tcPr>
            <w:tcW w:type="dxa" w:w="1600"/>
          </w:tcPr>
          <w:p>
            <w:r>
              <w:rPr>
                <w:b w:val="false"/>
                <w:bCs w:val="false"/>
                <w:sz w:val="20"/>
                <w:szCs w:val="20"/>
              </w:rPr>
              <w:t xml:space="preserve">Copernicus</w:t>
            </w:r>
          </w:p>
        </w:tc>
        <w:tc>
          <w:tcPr>
            <w:tcW w:type="dxa" w:w="1400"/>
          </w:tcPr>
          <w:p>
            <w:r>
              <w:rPr>
                <w:b w:val="false"/>
                <w:bCs w:val="false"/>
                <w:sz w:val="20"/>
                <w:szCs w:val="20"/>
              </w:rPr>
              <w:t xml:space="preserve">Raster/vector</w:t>
            </w:r>
          </w:p>
        </w:tc>
        <w:tc>
          <w:tcPr>
            <w:tcW w:type="dxa" w:w="1400"/>
          </w:tcPr>
          <w:p>
            <w:r>
              <w:rPr>
                <w:b w:val="false"/>
                <w:bCs w:val="false"/>
                <w:sz w:val="20"/>
                <w:szCs w:val="20"/>
              </w:rPr>
              <w:t xml:space="preserve">100 m</w:t>
            </w:r>
          </w:p>
        </w:tc>
        <w:tc>
          <w:tcPr>
            <w:tcW w:type="dxa" w:w="2800"/>
          </w:tcPr>
          <w:p>
            <w:r>
              <w:rPr>
                <w:b w:val="false"/>
                <w:bCs w:val="false"/>
                <w:sz w:val="20"/>
                <w:szCs w:val="20"/>
              </w:rPr>
              <w:t xml:space="preserve">Correction of BD TOPO gaps</w:t>
            </w:r>
          </w:p>
        </w:tc>
      </w:tr>
    </w:tbl>
    <w:p>
      <w:pPr>
        <w:spacing w:after="200" w:line="300"/>
        <w:jc w:val="both"/>
      </w:pPr>
      <w:r>
        <w:rPr>
          <w:sz w:val="22"/>
          <w:szCs w:val="22"/>
        </w:rPr>
        <w:t xml:space="preserve">All of this data was processed in the Google Colab environment, coupled with Google Earth Engine for the acquisition and processing of raster data, and with the geopandas, rasterstats, and statsmodels libraries for vector processing, zonal extraction, and statistical modelling.</w:t>
      </w:r>
    </w:p>
    <w:p>
      <w:pPr>
        <w:spacing w:after="200" w:line="300"/>
        <w:jc w:val="both"/>
      </w:pPr>
      <w:r>
        <w:rPr>
          <w:sz w:val="22"/>
          <w:szCs w:val="22"/>
        </w:rPr>
        <w:t xml:space="preserve">This choice of environment was motivated by several practical and scientific considerations. On the one hand, Google Earth Engine provides direct, already pre-processed access to Landsat and Sentinel image collections, avoiding the tedious steps of downloading, mosaicking, and manual atmospheric correction that a classic local processing workflow would require. On the other hand, the Python ecosystem (geopandas, rasterstats, statsmodels) enables an entirely scripted and reproducible processing chain, from raw data acquisition to final statistical results, facilitating methodological traceability and the possibility of replaying the entire analysis on another study area or another date.</w:t>
      </w:r>
    </w:p>
    <w:p>
      <w:r>
        <w:br w:type="page"/>
      </w:r>
    </w:p>
    <w:p>
      <w:pPr>
        <w:pStyle w:val="Heading1"/>
        <w:spacing w:after="200" w:before="400"/>
      </w:pPr>
      <w:r>
        <w:t xml:space="preserve">3. Methodology</w:t>
      </w:r>
    </w:p>
    <w:p>
      <w:pPr>
        <w:pStyle w:val="Heading2"/>
        <w:spacing w:after="150" w:before="300"/>
      </w:pPr>
      <w:r>
        <w:t xml:space="preserve">3.1 Land surface temperature (LST) computation</w:t>
      </w:r>
    </w:p>
    <w:p>
      <w:pPr>
        <w:spacing w:after="200" w:line="300"/>
        <w:jc w:val="both"/>
      </w:pPr>
      <w:r>
        <w:rPr>
          <w:sz w:val="22"/>
          <w:szCs w:val="22"/>
        </w:rPr>
        <w:t xml:space="preserve">Satellite and sensor. Land surface temperature was computed from data acquired by the Landsat 8 satellite, equipped with the TIRS (Thermal Infrared Sensor) thermal sensor, coupled with the OLI (Operational Land Imager) optical sensor. The data comes from the USGS Landsat 8 Collection 2, Level-2, Tier 1 collection (LANDSAT/LC08/C02/T1_L2), available on Google Earth Engine.</w:t>
      </w:r>
    </w:p>
    <w:p>
      <w:pPr>
        <w:spacing w:after="200" w:line="300"/>
        <w:jc w:val="both"/>
      </w:pPr>
      <w:r>
        <w:rPr>
          <w:sz w:val="22"/>
          <w:szCs w:val="22"/>
        </w:rPr>
        <w:t xml:space="preserve">Band used. A single thermal band was used: band ST_B10 (Surface Temperature, Band 10), corresponding to the thermal infrared band of the TIRS sensor (wavelength ≈ 10.6–11.19 µm), already pre-processed by the USGS into a Level-2 surface temperature product (atmospheric and emissivity corrections included upstream).</w:t>
      </w:r>
    </w:p>
    <w:p>
      <w:pPr>
        <w:spacing w:after="200" w:line="300"/>
        <w:jc w:val="both"/>
      </w:pPr>
      <w:r>
        <w:rPr>
          <w:sz w:val="22"/>
          <w:szCs w:val="22"/>
        </w:rPr>
        <w:t xml:space="preserve">Spatial resolution. The native acquisition resolution of the TIRS sensor is 100 m, but the Collection 2 Level-2 product is resampled and delivered at a resolution of 30 m, aligned with that of the OLI optical bands — the resolution adopted as the reference for this entire study.</w:t>
      </w:r>
    </w:p>
    <w:p>
      <w:pPr>
        <w:spacing w:after="200" w:line="300"/>
        <w:jc w:val="both"/>
      </w:pPr>
      <w:r>
        <w:rPr>
          <w:sz w:val="22"/>
          <w:szCs w:val="22"/>
        </w:rPr>
        <w:t xml:space="preserve">Methodological note. Unlike indices such as NDVI, which rely on a normalized difference between two spectral bands, the LST computation does not rely on a band difference, but on the direct conversion of a single band (ST_B10) already expressed in radiometric units calibrated by the USGS. The Level-2 product natively incorporates atmospheric and surface emissivity corrections; only the final conversion of digital numbers into physical temperature was performed as part of this study, using the calibration coefficients provided by the USGS.</w:t>
      </w:r>
    </w:p>
    <w:p>
      <w:pPr>
        <w:spacing w:after="200" w:line="300"/>
        <w:jc w:val="both"/>
      </w:pPr>
      <w:r>
        <w:rPr>
          <w:sz w:val="22"/>
          <w:szCs w:val="22"/>
        </w:rPr>
        <w:t xml:space="preserve">Conversion formula:</w:t>
      </w:r>
    </w:p>
    <w:p>
      <w:pPr>
        <w:spacing w:after="150" w:before="150"/>
        <w:jc w:val="center"/>
      </w:pPr>
      <w:r>
        <w:rPr>
          <w:rFonts w:ascii="Cambria Math" w:cs="Cambria Math" w:eastAsia="Cambria Math" w:hAnsi="Cambria Math"/>
          <w:i/>
          <w:iCs/>
          <w:sz w:val="22"/>
          <w:szCs w:val="22"/>
        </w:rPr>
        <w:t xml:space="preserve">T_LST (K) = ST_B10 × 0.00341802 + 149.0</w:t>
      </w:r>
    </w:p>
    <w:p>
      <w:pPr>
        <w:spacing w:after="150" w:before="150"/>
        <w:jc w:val="center"/>
      </w:pPr>
      <w:r>
        <w:rPr>
          <w:rFonts w:ascii="Cambria Math" w:cs="Cambria Math" w:eastAsia="Cambria Math" w:hAnsi="Cambria Math"/>
          <w:i/>
          <w:iCs/>
          <w:sz w:val="22"/>
          <w:szCs w:val="22"/>
        </w:rPr>
        <w:t xml:space="preserve">T_LST (°C) = T_LST (K) − 273.15</w:t>
      </w:r>
    </w:p>
    <w:p>
      <w:pPr>
        <w:spacing w:after="200" w:line="300"/>
        <w:jc w:val="both"/>
      </w:pPr>
      <w:r>
        <w:rPr>
          <w:sz w:val="22"/>
          <w:szCs w:val="22"/>
        </w:rPr>
        <w:t xml:space="preserve">where ST_B10 is the raw digital number of the pixel in the thermal band, 0.00341802 is the multiplicative scale factor, and 149.0 is the additive offset, both specified in the metadata of the Landsat Collection 2 Level-2 product.</w:t>
      </w:r>
    </w:p>
    <w:p>
      <w:pPr>
        <w:spacing w:after="200" w:line="300"/>
        <w:jc w:val="both"/>
      </w:pPr>
      <w:r>
        <w:rPr>
          <w:sz w:val="22"/>
          <w:szCs w:val="22"/>
        </w:rPr>
        <w:t xml:space="preserve">The selected image corresponds to 16 August 2025, chosen after a systematic search over the June–August 2025 period according to three criteria consistent with Oke's (1987) methodological framework: minimal cloud cover (0.01% over the study area), low wind at the time of satellite overpass (~4 km/h), and confirmed heatwave conditions (maximum temperature of 40.1°C recorded by Météo-France).</w:t>
      </w:r>
    </w:p>
    <w:p>
      <w:pPr>
        <w:pStyle w:val="Heading2"/>
        <w:spacing w:after="150" w:before="300"/>
      </w:pPr>
      <w:r>
        <w:t xml:space="preserve">3.2 Construction of the analysis grid and choice of spatial resolution</w:t>
      </w:r>
    </w:p>
    <w:p>
      <w:pPr>
        <w:spacing w:after="200" w:line="300"/>
        <w:jc w:val="both"/>
      </w:pPr>
      <w:r>
        <w:rPr>
          <w:sz w:val="22"/>
          <w:szCs w:val="22"/>
        </w:rPr>
        <w:t xml:space="preserve">In order to cross-reference urban morphological data with surface temperature, a regular grid was built over the entire commune of Aix-en-Provence. A resolution of 30 metres was adopted as the final analysis scale, consistent with the native resolution of the Landsat 8 thermal sensor. This choice avoids any loss of information related to resampling the LST raster, since each grid cell corresponds approximately to one thermal pixel.</w:t>
      </w:r>
    </w:p>
    <w:p>
      <w:pPr>
        <w:spacing w:after="200" w:line="300"/>
        <w:jc w:val="both"/>
      </w:pPr>
      <w:r>
        <w:rPr>
          <w:sz w:val="22"/>
          <w:szCs w:val="22"/>
        </w:rPr>
        <w:t xml:space="preserve">This resolution was preferred over a coarser 100-metre grid, tested in an earlier exploratory phase, which showed excessive spatial smoothing: fine morphological contrasts, particularly those of the dense historic centre, were diluted by averaging with surrounding areas. A finer resolution (10 metres) was also ruled out, as it falls below the neighbourhood scale for which the LCZ classification scheme was designed (Stewart &amp; Oke, 2012), and would entail a disproportionate computational cost relative to the expected gain in precision.</w:t>
      </w:r>
    </w:p>
    <w:p>
      <w:pPr>
        <w:spacing w:after="200" w:line="300"/>
        <w:jc w:val="both"/>
      </w:pPr>
      <w:r>
        <w:rPr>
          <w:sz w:val="22"/>
          <w:szCs w:val="22"/>
        </w:rPr>
        <w:t xml:space="preserve">The final grid comprises 210,418 square cells of 30 m per side, generated by systematically dividing the rectangular extent of the commune, then clipped to the exact administrative boundaries.</w:t>
      </w:r>
    </w:p>
    <w:p>
      <w:pPr>
        <w:pStyle w:val="Heading2"/>
        <w:spacing w:after="150" w:before="300"/>
      </w:pPr>
      <w:r>
        <w:t xml:space="preserve">3.3 Computation of morphological indicators</w:t>
      </w:r>
    </w:p>
    <w:p>
      <w:pPr>
        <w:spacing w:after="200" w:line="300"/>
        <w:jc w:val="both"/>
      </w:pPr>
      <w:r>
        <w:rPr>
          <w:sz w:val="22"/>
          <w:szCs w:val="22"/>
        </w:rPr>
        <w:t xml:space="preserve">For each grid cell i, four morphological indicators were computed through geometric intersection (overlay) with the reference vector layers (BD TOPO).</w:t>
      </w:r>
    </w:p>
    <w:p>
      <w:pPr>
        <w:pStyle w:val="Heading3"/>
        <w:spacing w:after="100" w:before="200"/>
      </w:pPr>
      <w:r>
        <w:t xml:space="preserve">Building surface fraction</w:t>
      </w:r>
    </w:p>
    <w:p>
      <w:pPr>
        <w:spacing w:after="200" w:line="300"/>
        <w:jc w:val="both"/>
      </w:pPr>
      <w:r>
        <w:rPr>
          <w:sz w:val="22"/>
          <w:szCs w:val="22"/>
        </w:rPr>
        <w:t xml:space="preserve">This indicator measures the proportion of a cell's surface occupied by the footprint of buildings — the main descriptor of urban ground density (Building Surface Fraction according to Stewart &amp; Oke, 2012):</w:t>
      </w:r>
    </w:p>
    <w:p>
      <w:pPr>
        <w:spacing w:after="150" w:before="150"/>
        <w:jc w:val="center"/>
      </w:pPr>
      <w:r>
        <w:rPr>
          <w:rFonts w:ascii="Cambria Math" w:cs="Cambria Math" w:eastAsia="Cambria Math" w:hAnsi="Cambria Math"/>
          <w:i/>
          <w:iCs/>
          <w:sz w:val="22"/>
          <w:szCs w:val="22"/>
        </w:rPr>
        <w:t xml:space="preserve">f_bati,i = ( Σⱼ S_bati,j∩i ) / S_i</w:t>
      </w:r>
    </w:p>
    <w:p>
      <w:pPr>
        <w:spacing w:after="200" w:line="300"/>
        <w:jc w:val="both"/>
      </w:pPr>
      <w:r>
        <w:rPr>
          <w:sz w:val="22"/>
          <w:szCs w:val="22"/>
        </w:rPr>
        <w:t xml:space="preserve">where S_bati,j∩i is the intersection area between building j and cell i, and S_i is the total surface area of the cell.</w:t>
      </w:r>
    </w:p>
    <w:p>
      <w:pPr>
        <w:pStyle w:val="Heading3"/>
        <w:spacing w:after="100" w:before="200"/>
      </w:pPr>
      <w:r>
        <w:t xml:space="preserve">Vegetation fraction</w:t>
      </w:r>
    </w:p>
    <w:p>
      <w:pPr>
        <w:spacing w:after="200" w:line="300"/>
        <w:jc w:val="both"/>
      </w:pPr>
      <w:r>
        <w:rPr>
          <w:sz w:val="22"/>
          <w:szCs w:val="22"/>
        </w:rPr>
        <w:t xml:space="preserve">This indicator measures the proportion of vegetation cover within a cell, a key cooling factor through evapotranspiration and shading (Pervious Surface Fraction):</w:t>
      </w:r>
    </w:p>
    <w:p>
      <w:pPr>
        <w:spacing w:after="150" w:before="150"/>
        <w:jc w:val="center"/>
      </w:pPr>
      <w:r>
        <w:rPr>
          <w:rFonts w:ascii="Cambria Math" w:cs="Cambria Math" w:eastAsia="Cambria Math" w:hAnsi="Cambria Math"/>
          <w:i/>
          <w:iCs/>
          <w:sz w:val="22"/>
          <w:szCs w:val="22"/>
        </w:rPr>
        <w:t xml:space="preserve">f_veg,i = ( Σₖ S_veg,k∩i ) / S_i</w:t>
      </w:r>
    </w:p>
    <w:p>
      <w:pPr>
        <w:spacing w:after="200" w:line="300"/>
        <w:jc w:val="both"/>
      </w:pPr>
      <w:r>
        <w:rPr>
          <w:sz w:val="22"/>
          <w:szCs w:val="22"/>
        </w:rPr>
        <w:t xml:space="preserve">where S_veg,k∩i is the intersection area between vegetation polygon k and cell i.</w:t>
      </w:r>
    </w:p>
    <w:p>
      <w:pPr>
        <w:pStyle w:val="Heading3"/>
        <w:spacing w:after="100" w:before="200"/>
      </w:pPr>
      <w:r>
        <w:t xml:space="preserve">Impervious surface fraction</w:t>
      </w:r>
    </w:p>
    <w:p>
      <w:pPr>
        <w:spacing w:after="200" w:line="300"/>
        <w:jc w:val="both"/>
      </w:pPr>
      <w:r>
        <w:rPr>
          <w:sz w:val="22"/>
          <w:szCs w:val="22"/>
        </w:rPr>
        <w:t xml:space="preserve">This indicator combines built and road surfaces to represent all surfaces preventing infiltration and favouring heat accumulation (Impervious Surface Fraction):</w:t>
      </w:r>
    </w:p>
    <w:p>
      <w:pPr>
        <w:spacing w:after="150" w:before="150"/>
        <w:jc w:val="center"/>
      </w:pPr>
      <w:r>
        <w:rPr>
          <w:rFonts w:ascii="Cambria Math" w:cs="Cambria Math" w:eastAsia="Cambria Math" w:hAnsi="Cambria Math"/>
          <w:i/>
          <w:iCs/>
          <w:sz w:val="22"/>
          <w:szCs w:val="22"/>
        </w:rPr>
        <w:t xml:space="preserve">f_imperm,i = f_bati,i + ( Σᵣ S_route,r∩i ) / S_i</w:t>
      </w:r>
    </w:p>
    <w:p>
      <w:pPr>
        <w:spacing w:after="200" w:line="300"/>
        <w:jc w:val="both"/>
      </w:pPr>
      <w:r>
        <w:rPr>
          <w:sz w:val="22"/>
          <w:szCs w:val="22"/>
        </w:rPr>
        <w:t xml:space="preserve">where S_route,r∩i is the intersection area between road segment r (buffered according to its carriageway width) and cell i, the value being capped at 1 to correct geometric overlap artefacts.</w:t>
      </w:r>
    </w:p>
    <w:p>
      <w:pPr>
        <w:pStyle w:val="Heading3"/>
        <w:spacing w:after="100" w:before="200"/>
      </w:pPr>
      <w:r>
        <w:t xml:space="preserve">Mean building height</w:t>
      </w:r>
    </w:p>
    <w:p>
      <w:pPr>
        <w:spacing w:after="200" w:line="300"/>
        <w:jc w:val="both"/>
      </w:pPr>
      <w:r>
        <w:rPr>
          <w:sz w:val="22"/>
          <w:szCs w:val="22"/>
        </w:rPr>
        <w:t xml:space="preserve">This indicator characterizes the vertical morphology of the urban fabric (Height of Roughness Elements), weighted by the surface area of each building:</w:t>
      </w:r>
    </w:p>
    <w:p>
      <w:pPr>
        <w:spacing w:after="150" w:before="150"/>
        <w:jc w:val="center"/>
      </w:pPr>
      <w:r>
        <w:rPr>
          <w:rFonts w:ascii="Cambria Math" w:cs="Cambria Math" w:eastAsia="Cambria Math" w:hAnsi="Cambria Math"/>
          <w:i/>
          <w:iCs/>
          <w:sz w:val="22"/>
          <w:szCs w:val="22"/>
        </w:rPr>
        <w:t xml:space="preserve">h̄_i = ( Σⱼ hⱼ × S_bati,j∩i ) / ( Σⱼ S_bati,j∩i )</w:t>
      </w:r>
    </w:p>
    <w:p>
      <w:pPr>
        <w:spacing w:after="200" w:line="300"/>
        <w:jc w:val="both"/>
      </w:pPr>
      <w:r>
        <w:rPr>
          <w:sz w:val="22"/>
          <w:szCs w:val="22"/>
        </w:rPr>
        <w:t xml:space="preserve">where hⱼ is the height of building j (light constructions excluded), and S_bati,j∩i is the intersection area between this building and cell i.</w:t>
      </w:r>
    </w:p>
    <w:p>
      <w:pPr>
        <w:pStyle w:val="Heading2"/>
        <w:spacing w:after="150" w:before="300"/>
      </w:pPr>
      <w:r>
        <w:t xml:space="preserve">3.4 Local Climate Zone (LCZ) classification</w:t>
      </w:r>
    </w:p>
    <w:p>
      <w:pPr>
        <w:spacing w:after="200" w:line="300"/>
        <w:jc w:val="both"/>
      </w:pPr>
      <w:r>
        <w:rPr>
          <w:sz w:val="22"/>
          <w:szCs w:val="22"/>
        </w:rPr>
        <w:t xml:space="preserve">The Local Climate Zone (LCZ) classification is based on the Stewart &amp; Oke (2012) scheme, which defines 17 standardized classes (10 built classes, 7 natural classes) based on measurable morphological properties. In this study, classification was performed by a decision tree applied to each grid cell, based on the four indicators defined in section 3.3: building fraction, vegetation fraction, impervious fraction, and mean building height.</w:t>
      </w:r>
    </w:p>
    <w:p>
      <w:pPr>
        <w:spacing w:after="200" w:line="300"/>
        <w:jc w:val="both"/>
      </w:pPr>
      <w:r>
        <w:rPr>
          <w:sz w:val="22"/>
          <w:szCs w:val="22"/>
        </w:rPr>
        <w:t xml:space="preserve">The general classification principle first distinguishes predominantly natural cells from predominantly built cells, based on a building fraction threshold (f_bati,i &lt; 0.05). Natural cells are then differentiated according to their vegetation and impervious surface fractions (classes A/B — trees, D — low plants, E — bare rock/paved surface, F — bare soil). Built cells are classified according to a combination of mean height and building density thresholds, corresponding to the eleven standard built LCZ classes.</w:t>
      </w:r>
    </w:p>
    <w:p>
      <w:pPr>
        <w:spacing w:after="200" w:line="300"/>
        <w:jc w:val="both"/>
      </w:pPr>
      <w:r>
        <w:rPr>
          <w:sz w:val="22"/>
          <w:szCs w:val="22"/>
        </w:rPr>
        <w:t xml:space="preserve">Correction using land cover (Corine Land Cover). Since BD TOPO coverage presents localized gaps, a correction was applied to cells initially classified as "F — bare soil" due to a lack of data rather than actual ground conditions. For these cells, the dominant Corine Land Cover class (code_18 variable) was used to reassign a more representative LCZ class, via a CLC → LCZ correspondence table.</w:t>
      </w:r>
    </w:p>
    <w:p>
      <w:pPr>
        <w:spacing w:after="200" w:line="300"/>
        <w:jc w:val="both"/>
      </w:pPr>
      <w:r>
        <w:rPr>
          <w:sz w:val="22"/>
          <w:szCs w:val="22"/>
        </w:rPr>
        <w:t xml:space="preserve">Hydrographic correction. A priority correction was then applied based on the BD TOPO hydrography layer: any cell whose water surface fraction exceeds 50% (f_eau,i &gt; 0.5) was reclassified as "LCZ G — Water", regardless of the result of the previous classification.</w:t>
      </w:r>
    </w:p>
    <w:p>
      <w:pPr>
        <w:pStyle w:val="Heading2"/>
        <w:spacing w:after="150" w:before="300"/>
      </w:pPr>
      <w:r>
        <w:t xml:space="preserve">3.5 Surface roughness classification</w:t>
      </w:r>
    </w:p>
    <w:p>
      <w:pPr>
        <w:spacing w:after="200" w:line="300"/>
        <w:jc w:val="both"/>
      </w:pPr>
      <w:r>
        <w:rPr>
          <w:sz w:val="22"/>
          <w:szCs w:val="22"/>
        </w:rPr>
        <w:t xml:space="preserve">Definition and purpose. Surface roughness characterizes the resistance the urban fabric offers to airflow, as a function of the height and density of the elements composing the surface (buildings, vegetation). It is the fifth of the seven morphological parameters of the Stewart &amp; Oke (2012) theoretical framework integrated into this study. Computed independently of the LCZ classification, it serves as a complementary indicator to verify, through a distinct route, the physical consistency between urban structure and surface temperature.</w:t>
      </w:r>
    </w:p>
    <w:p>
      <w:pPr>
        <w:spacing w:after="200" w:line="300"/>
        <w:jc w:val="both"/>
      </w:pPr>
      <w:r>
        <w:rPr>
          <w:sz w:val="22"/>
          <w:szCs w:val="22"/>
        </w:rPr>
        <w:t xml:space="preserve">Formalization. The roughness class Rᵢ of each cell i was determined by a threshold classification function g, applied to the mean building height h̄ᵢ and the building fraction f_bati,i, following a simplified adaptation of the Davenport roughness classes (Grimmond &amp; Oke, 1999):</w:t>
      </w:r>
    </w:p>
    <w:p>
      <w:pPr>
        <w:spacing w:after="150" w:before="150"/>
        <w:jc w:val="center"/>
      </w:pPr>
      <w:r>
        <w:rPr>
          <w:rFonts w:ascii="Cambria Math" w:cs="Cambria Math" w:eastAsia="Cambria Math" w:hAnsi="Cambria Math"/>
          <w:i/>
          <w:iCs/>
          <w:sz w:val="22"/>
          <w:szCs w:val="22"/>
        </w:rPr>
        <w:t xml:space="preserve">Rᵢ = g(h̄ᵢ, f_bati,i)</w:t>
      </w:r>
    </w:p>
    <w:p>
      <w:pPr>
        <w:spacing w:after="100" w:before="200"/>
      </w:pPr>
      <w:r>
        <w:rPr>
          <w:b/>
          <w:bCs/>
          <w:sz w:val="20"/>
          <w:szCs w:val="20"/>
        </w:rPr>
        <w:t xml:space="preserve">Table 2. </w:t>
      </w:r>
      <w:r>
        <w:rPr>
          <w:i/>
          <w:iCs/>
          <w:sz w:val="20"/>
          <w:szCs w:val="20"/>
        </w:rPr>
        <w:t xml:space="preserve">Surface roughness classification rules.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200"/>
      </w:tblGrid>
      <w:tr>
        <w:tc>
          <w:tcPr>
            <w:tcW w:type="dxa" w:w="3200"/>
            <w:shd w:fill="D9D9D9" w:val="clear"/>
          </w:tcPr>
          <w:p>
            <w:r>
              <w:rPr>
                <w:b/>
                <w:bCs/>
                <w:sz w:val="20"/>
                <w:szCs w:val="20"/>
              </w:rPr>
              <w:t xml:space="preserve">Condition on h̄ᵢ</w:t>
            </w:r>
          </w:p>
        </w:tc>
        <w:tc>
          <w:tcPr>
            <w:tcW w:type="dxa" w:w="3200"/>
            <w:shd w:fill="D9D9D9" w:val="clear"/>
          </w:tcPr>
          <w:p>
            <w:r>
              <w:rPr>
                <w:b/>
                <w:bCs/>
                <w:sz w:val="20"/>
                <w:szCs w:val="20"/>
              </w:rPr>
              <w:t xml:space="preserve">Condition on f_bati,i</w:t>
            </w:r>
          </w:p>
        </w:tc>
        <w:tc>
          <w:tcPr>
            <w:tcW w:type="dxa" w:w="2200"/>
            <w:shd w:fill="D9D9D9" w:val="clear"/>
          </w:tcPr>
          <w:p>
            <w:r>
              <w:rPr>
                <w:b/>
                <w:bCs/>
                <w:sz w:val="20"/>
                <w:szCs w:val="20"/>
              </w:rPr>
              <w:t xml:space="preserve">Class Rᵢ</w:t>
            </w:r>
          </w:p>
        </w:tc>
      </w:tr>
      <w:tr>
        <w:tc>
          <w:tcPr>
            <w:tcW w:type="dxa" w:w="3200"/>
          </w:tcPr>
          <w:p>
            <w:r>
              <w:rPr>
                <w:b w:val="false"/>
                <w:bCs w:val="false"/>
                <w:sz w:val="20"/>
                <w:szCs w:val="20"/>
              </w:rPr>
              <w:t xml:space="preserve">h̄ᵢ = 0</w:t>
            </w:r>
          </w:p>
        </w:tc>
        <w:tc>
          <w:tcPr>
            <w:tcW w:type="dxa" w:w="3200"/>
          </w:tcPr>
          <w:p>
            <w:r>
              <w:rPr>
                <w:b w:val="false"/>
                <w:bCs w:val="false"/>
                <w:sz w:val="20"/>
                <w:szCs w:val="20"/>
              </w:rPr>
              <w:t xml:space="preserve">—</w:t>
            </w:r>
          </w:p>
        </w:tc>
        <w:tc>
          <w:tcPr>
            <w:tcW w:type="dxa" w:w="2200"/>
          </w:tcPr>
          <w:p>
            <w:r>
              <w:rPr>
                <w:b w:val="false"/>
                <w:bCs w:val="false"/>
                <w:sz w:val="20"/>
                <w:szCs w:val="20"/>
              </w:rPr>
              <w:t xml:space="preserve">8 (very smooth)</w:t>
            </w:r>
          </w:p>
        </w:tc>
      </w:tr>
      <w:tr>
        <w:tc>
          <w:tcPr>
            <w:tcW w:type="dxa" w:w="3200"/>
          </w:tcPr>
          <w:p>
            <w:r>
              <w:rPr>
                <w:b w:val="false"/>
                <w:bCs w:val="false"/>
                <w:sz w:val="20"/>
                <w:szCs w:val="20"/>
              </w:rPr>
              <w:t xml:space="preserve">0 &lt; h̄ᵢ &lt; 3</w:t>
            </w:r>
          </w:p>
        </w:tc>
        <w:tc>
          <w:tcPr>
            <w:tcW w:type="dxa" w:w="3200"/>
          </w:tcPr>
          <w:p>
            <w:r>
              <w:rPr>
                <w:b w:val="false"/>
                <w:bCs w:val="false"/>
                <w:sz w:val="20"/>
                <w:szCs w:val="20"/>
              </w:rPr>
              <w:t xml:space="preserve">f_bati,i &lt; 0.1</w:t>
            </w:r>
          </w:p>
        </w:tc>
        <w:tc>
          <w:tcPr>
            <w:tcW w:type="dxa" w:w="2200"/>
          </w:tcPr>
          <w:p>
            <w:r>
              <w:rPr>
                <w:b w:val="false"/>
                <w:bCs w:val="false"/>
                <w:sz w:val="20"/>
                <w:szCs w:val="20"/>
              </w:rPr>
              <w:t xml:space="preserve">7</w:t>
            </w:r>
          </w:p>
        </w:tc>
      </w:tr>
      <w:tr>
        <w:tc>
          <w:tcPr>
            <w:tcW w:type="dxa" w:w="3200"/>
          </w:tcPr>
          <w:p>
            <w:r>
              <w:rPr>
                <w:b w:val="false"/>
                <w:bCs w:val="false"/>
                <w:sz w:val="20"/>
                <w:szCs w:val="20"/>
              </w:rPr>
              <w:t xml:space="preserve">0 &lt; h̄ᵢ &lt; 3</w:t>
            </w:r>
          </w:p>
        </w:tc>
        <w:tc>
          <w:tcPr>
            <w:tcW w:type="dxa" w:w="3200"/>
          </w:tcPr>
          <w:p>
            <w:r>
              <w:rPr>
                <w:b w:val="false"/>
                <w:bCs w:val="false"/>
                <w:sz w:val="20"/>
                <w:szCs w:val="20"/>
              </w:rPr>
              <w:t xml:space="preserve">f_bati,i ≥ 0.1</w:t>
            </w:r>
          </w:p>
        </w:tc>
        <w:tc>
          <w:tcPr>
            <w:tcW w:type="dxa" w:w="2200"/>
          </w:tcPr>
          <w:p>
            <w:r>
              <w:rPr>
                <w:b w:val="false"/>
                <w:bCs w:val="false"/>
                <w:sz w:val="20"/>
                <w:szCs w:val="20"/>
              </w:rPr>
              <w:t xml:space="preserve">6</w:t>
            </w:r>
          </w:p>
        </w:tc>
      </w:tr>
      <w:tr>
        <w:tc>
          <w:tcPr>
            <w:tcW w:type="dxa" w:w="3200"/>
          </w:tcPr>
          <w:p>
            <w:r>
              <w:rPr>
                <w:b w:val="false"/>
                <w:bCs w:val="false"/>
                <w:sz w:val="20"/>
                <w:szCs w:val="20"/>
              </w:rPr>
              <w:t xml:space="preserve">3 ≤ h̄ᵢ &lt; 10</w:t>
            </w:r>
          </w:p>
        </w:tc>
        <w:tc>
          <w:tcPr>
            <w:tcW w:type="dxa" w:w="3200"/>
          </w:tcPr>
          <w:p>
            <w:r>
              <w:rPr>
                <w:b w:val="false"/>
                <w:bCs w:val="false"/>
                <w:sz w:val="20"/>
                <w:szCs w:val="20"/>
              </w:rPr>
              <w:t xml:space="preserve">f_bati,i &lt; 0.2</w:t>
            </w:r>
          </w:p>
        </w:tc>
        <w:tc>
          <w:tcPr>
            <w:tcW w:type="dxa" w:w="2200"/>
          </w:tcPr>
          <w:p>
            <w:r>
              <w:rPr>
                <w:b w:val="false"/>
                <w:bCs w:val="false"/>
                <w:sz w:val="20"/>
                <w:szCs w:val="20"/>
              </w:rPr>
              <w:t xml:space="preserve">5</w:t>
            </w:r>
          </w:p>
        </w:tc>
      </w:tr>
      <w:tr>
        <w:tc>
          <w:tcPr>
            <w:tcW w:type="dxa" w:w="3200"/>
          </w:tcPr>
          <w:p>
            <w:r>
              <w:rPr>
                <w:b w:val="false"/>
                <w:bCs w:val="false"/>
                <w:sz w:val="20"/>
                <w:szCs w:val="20"/>
              </w:rPr>
              <w:t xml:space="preserve">3 ≤ h̄ᵢ &lt; 10</w:t>
            </w:r>
          </w:p>
        </w:tc>
        <w:tc>
          <w:tcPr>
            <w:tcW w:type="dxa" w:w="3200"/>
          </w:tcPr>
          <w:p>
            <w:r>
              <w:rPr>
                <w:b w:val="false"/>
                <w:bCs w:val="false"/>
                <w:sz w:val="20"/>
                <w:szCs w:val="20"/>
              </w:rPr>
              <w:t xml:space="preserve">f_bati,i ≥ 0.2</w:t>
            </w:r>
          </w:p>
        </w:tc>
        <w:tc>
          <w:tcPr>
            <w:tcW w:type="dxa" w:w="2200"/>
          </w:tcPr>
          <w:p>
            <w:r>
              <w:rPr>
                <w:b w:val="false"/>
                <w:bCs w:val="false"/>
                <w:sz w:val="20"/>
                <w:szCs w:val="20"/>
              </w:rPr>
              <w:t xml:space="preserve">4</w:t>
            </w:r>
          </w:p>
        </w:tc>
      </w:tr>
      <w:tr>
        <w:tc>
          <w:tcPr>
            <w:tcW w:type="dxa" w:w="3200"/>
          </w:tcPr>
          <w:p>
            <w:r>
              <w:rPr>
                <w:b w:val="false"/>
                <w:bCs w:val="false"/>
                <w:sz w:val="20"/>
                <w:szCs w:val="20"/>
              </w:rPr>
              <w:t xml:space="preserve">h̄ᵢ ≥ 10</w:t>
            </w:r>
          </w:p>
        </w:tc>
        <w:tc>
          <w:tcPr>
            <w:tcW w:type="dxa" w:w="3200"/>
          </w:tcPr>
          <w:p>
            <w:r>
              <w:rPr>
                <w:b w:val="false"/>
                <w:bCs w:val="false"/>
                <w:sz w:val="20"/>
                <w:szCs w:val="20"/>
              </w:rPr>
              <w:t xml:space="preserve">f_bati,i &lt; 0.4</w:t>
            </w:r>
          </w:p>
        </w:tc>
        <w:tc>
          <w:tcPr>
            <w:tcW w:type="dxa" w:w="2200"/>
          </w:tcPr>
          <w:p>
            <w:r>
              <w:rPr>
                <w:b w:val="false"/>
                <w:bCs w:val="false"/>
                <w:sz w:val="20"/>
                <w:szCs w:val="20"/>
              </w:rPr>
              <w:t xml:space="preserve">3</w:t>
            </w:r>
          </w:p>
        </w:tc>
      </w:tr>
      <w:tr>
        <w:tc>
          <w:tcPr>
            <w:tcW w:type="dxa" w:w="3200"/>
          </w:tcPr>
          <w:p>
            <w:r>
              <w:rPr>
                <w:b w:val="false"/>
                <w:bCs w:val="false"/>
                <w:sz w:val="20"/>
                <w:szCs w:val="20"/>
              </w:rPr>
              <w:t xml:space="preserve">h̄ᵢ ≥ 10</w:t>
            </w:r>
          </w:p>
        </w:tc>
        <w:tc>
          <w:tcPr>
            <w:tcW w:type="dxa" w:w="3200"/>
          </w:tcPr>
          <w:p>
            <w:r>
              <w:rPr>
                <w:b w:val="false"/>
                <w:bCs w:val="false"/>
                <w:sz w:val="20"/>
                <w:szCs w:val="20"/>
              </w:rPr>
              <w:t xml:space="preserve">f_bati,i ≥ 0.4</w:t>
            </w:r>
          </w:p>
        </w:tc>
        <w:tc>
          <w:tcPr>
            <w:tcW w:type="dxa" w:w="2200"/>
          </w:tcPr>
          <w:p>
            <w:r>
              <w:rPr>
                <w:b w:val="false"/>
                <w:bCs w:val="false"/>
                <w:sz w:val="20"/>
                <w:szCs w:val="20"/>
              </w:rPr>
              <w:t xml:space="preserve">2 (very rough)</w:t>
            </w:r>
          </w:p>
        </w:tc>
      </w:tr>
    </w:tbl>
    <w:p>
      <w:pPr>
        <w:spacing w:after="200" w:line="300"/>
        <w:jc w:val="both"/>
      </w:pPr>
      <w:r>
        <w:rPr>
          <w:sz w:val="22"/>
          <w:szCs w:val="22"/>
        </w:rPr>
        <w:t xml:space="preserve">Class 1, reserved for extremely dense and tall urban fabrics in the original Davenport scale, was not observed within the commune of Aix-en-Provence.</w:t>
      </w:r>
    </w:p>
    <w:p>
      <w:pPr>
        <w:pStyle w:val="Heading2"/>
        <w:spacing w:after="150" w:before="300"/>
      </w:pPr>
      <w:r>
        <w:t xml:space="preserve">3.6 Multiple linear regression model</w:t>
      </w:r>
    </w:p>
    <w:p>
      <w:pPr>
        <w:spacing w:after="200" w:line="300"/>
        <w:jc w:val="both"/>
      </w:pPr>
      <w:r>
        <w:rPr>
          <w:sz w:val="22"/>
          <w:szCs w:val="22"/>
        </w:rPr>
        <w:t xml:space="preserve">Objective. In order to quantify the relative contribution of each morphological indicator to the spatial variation of surface temperature, a multiple linear regression model using Ordinary Least Squares (OLS) was estimated.</w:t>
      </w:r>
    </w:p>
    <w:p>
      <w:pPr>
        <w:spacing w:after="200" w:line="300"/>
        <w:jc w:val="both"/>
      </w:pPr>
      <w:r>
        <w:rPr>
          <w:sz w:val="22"/>
          <w:szCs w:val="22"/>
        </w:rPr>
        <w:t xml:space="preserve">Model specification. For each grid cell i:</w:t>
      </w:r>
    </w:p>
    <w:p>
      <w:pPr>
        <w:spacing w:after="150" w:before="150"/>
        <w:jc w:val="center"/>
      </w:pPr>
      <w:r>
        <w:rPr>
          <w:rFonts w:ascii="Cambria Math" w:cs="Cambria Math" w:eastAsia="Cambria Math" w:hAnsi="Cambria Math"/>
          <w:i/>
          <w:iCs/>
          <w:sz w:val="22"/>
          <w:szCs w:val="22"/>
        </w:rPr>
        <w:t xml:space="preserve">T_LST,i = β₀ + β₁f_bati,i + β₂f_veg,i + β₃f_imperm,i + β₄h̄ᵢ + β₅Rᵢ + εᵢ</w:t>
      </w:r>
    </w:p>
    <w:p>
      <w:pPr>
        <w:spacing w:after="200" w:line="300"/>
        <w:jc w:val="both"/>
      </w:pPr>
      <w:r>
        <w:rPr>
          <w:sz w:val="22"/>
          <w:szCs w:val="22"/>
        </w:rPr>
        <w:t xml:space="preserve">where T_LST,i is the observed surface temperature, β₀ is the constant, β₁...β₅ are the estimated coefficients, and εᵢ is the error term (residual) for cell i.</w:t>
      </w:r>
    </w:p>
    <w:p>
      <w:pPr>
        <w:spacing w:after="200" w:line="300"/>
        <w:jc w:val="both"/>
      </w:pPr>
      <w:r>
        <w:rPr>
          <w:sz w:val="22"/>
          <w:szCs w:val="22"/>
        </w:rPr>
        <w:t xml:space="preserve">Estimation. The coefficients were estimated by minimizing the sum of squared residuals:</w:t>
      </w:r>
    </w:p>
    <w:p>
      <w:pPr>
        <w:spacing w:after="150" w:before="150"/>
        <w:jc w:val="center"/>
      </w:pPr>
      <w:r>
        <w:rPr>
          <w:rFonts w:ascii="Cambria Math" w:cs="Cambria Math" w:eastAsia="Cambria Math" w:hAnsi="Cambria Math"/>
          <w:i/>
          <w:iCs/>
          <w:sz w:val="22"/>
          <w:szCs w:val="22"/>
        </w:rPr>
        <w:t xml:space="preserve">β̂ = argmin_β Σᵢ ( T_LST,i − T̂_LST,i )²</w:t>
      </w:r>
    </w:p>
    <w:p>
      <w:pPr>
        <w:spacing w:after="200" w:line="300"/>
        <w:jc w:val="both"/>
      </w:pPr>
      <w:r>
        <w:rPr>
          <w:sz w:val="22"/>
          <w:szCs w:val="22"/>
        </w:rPr>
        <w:t xml:space="preserve">where T̂_LST,i is the temperature value predicted by the model (modelled LST), and n = 210,036 is the number of valid cells after filtering.</w:t>
      </w:r>
    </w:p>
    <w:p>
      <w:pPr>
        <w:spacing w:after="200" w:line="300"/>
        <w:jc w:val="both"/>
      </w:pPr>
      <w:r>
        <w:rPr>
          <w:sz w:val="22"/>
          <w:szCs w:val="22"/>
        </w:rPr>
        <w:t xml:space="preserve">Goodness of fit:</w:t>
      </w:r>
    </w:p>
    <w:p>
      <w:pPr>
        <w:spacing w:after="150" w:before="150"/>
        <w:jc w:val="center"/>
      </w:pPr>
      <w:r>
        <w:rPr>
          <w:rFonts w:ascii="Cambria Math" w:cs="Cambria Math" w:eastAsia="Cambria Math" w:hAnsi="Cambria Math"/>
          <w:i/>
          <w:iCs/>
          <w:sz w:val="22"/>
          <w:szCs w:val="22"/>
        </w:rPr>
        <w:t xml:space="preserve">R² = 1 − [ Σᵢ(T_LST,i − T̂_LST,i)² / Σᵢ(T_LST,i − T̄_LST)² ]</w:t>
      </w:r>
    </w:p>
    <w:p>
      <w:pPr>
        <w:spacing w:after="200" w:line="300"/>
        <w:jc w:val="both"/>
      </w:pPr>
      <w:r>
        <w:rPr>
          <w:sz w:val="22"/>
          <w:szCs w:val="22"/>
        </w:rPr>
        <w:t xml:space="preserve">Residuals. For each cell, the residual represents the difference between observed and modelled temperature:</w:t>
      </w:r>
    </w:p>
    <w:p>
      <w:pPr>
        <w:spacing w:after="150" w:before="150"/>
        <w:jc w:val="center"/>
      </w:pPr>
      <w:r>
        <w:rPr>
          <w:rFonts w:ascii="Cambria Math" w:cs="Cambria Math" w:eastAsia="Cambria Math" w:hAnsi="Cambria Math"/>
          <w:i/>
          <w:iCs/>
          <w:sz w:val="22"/>
          <w:szCs w:val="22"/>
        </w:rPr>
        <w:t xml:space="preserve">εᵢ = T_LST,i − T̂_LST,i</w:t>
      </w:r>
    </w:p>
    <w:p>
      <w:pPr>
        <w:spacing w:after="200" w:line="300"/>
        <w:jc w:val="both"/>
      </w:pPr>
      <w:r>
        <w:rPr>
          <w:sz w:val="22"/>
          <w:szCs w:val="22"/>
        </w:rPr>
        <w:t xml:space="preserve">A positive residual indicates that the model underestimates temperature, whereas a negative residual indicates overestimation. Mapping these residuals allows the identification of areas where the retained morphological indicators do not fully explain the observed thermal variability.</w:t>
      </w:r>
    </w:p>
    <w:p>
      <w:pPr>
        <w:pStyle w:val="Heading2"/>
        <w:spacing w:after="150" w:before="300"/>
      </w:pPr>
      <w:r>
        <w:t xml:space="preserve">3.7 Urban heat island (UHI) intensity computation</w:t>
      </w:r>
    </w:p>
    <w:p>
      <w:pPr>
        <w:spacing w:after="200" w:line="300"/>
        <w:jc w:val="both"/>
      </w:pPr>
      <w:r>
        <w:rPr>
          <w:sz w:val="22"/>
          <w:szCs w:val="22"/>
        </w:rPr>
        <w:t xml:space="preserve">Definition and principle. Urban heat island intensity (ΔT_UHI) measures the temperature difference between a given land cover class and a rural reference class, in line with Oke's (1982) classic definition.</w:t>
      </w:r>
    </w:p>
    <w:p>
      <w:pPr>
        <w:spacing w:after="200" w:line="300"/>
        <w:jc w:val="both"/>
      </w:pPr>
      <w:r>
        <w:rPr>
          <w:sz w:val="22"/>
          <w:szCs w:val="22"/>
        </w:rPr>
        <w:t xml:space="preserve">Reference class. The LCZ D class (Low plants — low vegetation, agricultural and natural areas) was chosen as the rural reference (n = 69,846 cells).</w:t>
      </w:r>
    </w:p>
    <w:p>
      <w:pPr>
        <w:spacing w:after="200" w:line="300"/>
        <w:jc w:val="both"/>
      </w:pPr>
      <w:r>
        <w:rPr>
          <w:sz w:val="22"/>
          <w:szCs w:val="22"/>
        </w:rPr>
        <w:t xml:space="preserve">Formalization. For each LCZ class c, the mean temperature is computed as:</w:t>
      </w:r>
    </w:p>
    <w:p>
      <w:pPr>
        <w:spacing w:after="150" w:before="150"/>
        <w:jc w:val="center"/>
      </w:pPr>
      <w:r>
        <w:rPr>
          <w:rFonts w:ascii="Cambria Math" w:cs="Cambria Math" w:eastAsia="Cambria Math" w:hAnsi="Cambria Math"/>
          <w:i/>
          <w:iCs/>
          <w:sz w:val="22"/>
          <w:szCs w:val="22"/>
        </w:rPr>
        <w:t xml:space="preserve">T̄_c = (1/n_c) Σᵢ∈c T_LST,i</w:t>
      </w:r>
    </w:p>
    <w:p>
      <w:pPr>
        <w:spacing w:after="200" w:line="300"/>
        <w:jc w:val="both"/>
      </w:pPr>
      <w:r>
        <w:rPr>
          <w:sz w:val="22"/>
          <w:szCs w:val="22"/>
        </w:rPr>
        <w:t xml:space="preserve">Urban heat island intensity for class c is then computed as:</w:t>
      </w:r>
    </w:p>
    <w:p>
      <w:pPr>
        <w:spacing w:after="150" w:before="150"/>
        <w:jc w:val="center"/>
      </w:pPr>
      <w:r>
        <w:rPr>
          <w:rFonts w:ascii="Cambria Math" w:cs="Cambria Math" w:eastAsia="Cambria Math" w:hAnsi="Cambria Math"/>
          <w:i/>
          <w:iCs/>
          <w:sz w:val="22"/>
          <w:szCs w:val="22"/>
        </w:rPr>
        <w:t xml:space="preserve">ΔT_UHI,c = T̄_c − T̄_D</w:t>
      </w:r>
    </w:p>
    <w:p>
      <w:pPr>
        <w:spacing w:after="200" w:line="300"/>
        <w:jc w:val="both"/>
      </w:pPr>
      <w:r>
        <w:rPr>
          <w:sz w:val="22"/>
          <w:szCs w:val="22"/>
        </w:rPr>
        <w:t xml:space="preserve">where T̄_D is the mean temperature of the rural reference class (LCZ D). A positive value indicates relative warming, a negative value indicates relative cooling.</w:t>
      </w:r>
    </w:p>
    <w:p>
      <w:r>
        <w:br w:type="page"/>
      </w:r>
    </w:p>
    <w:p>
      <w:pPr>
        <w:pStyle w:val="Heading1"/>
        <w:spacing w:after="200" w:before="400"/>
      </w:pPr>
      <w:r>
        <w:t xml:space="preserve">4. Results</w:t>
      </w:r>
    </w:p>
    <w:p>
      <w:pPr>
        <w:pStyle w:val="Heading2"/>
        <w:spacing w:after="150" w:before="300"/>
      </w:pPr>
      <w:r>
        <w:t xml:space="preserve">4.1 Validation of surface temperature</w:t>
      </w:r>
    </w:p>
    <w:p>
      <w:pPr>
        <w:spacing w:after="200" w:line="300"/>
        <w:jc w:val="both"/>
      </w:pPr>
      <w:r>
        <w:rPr>
          <w:sz w:val="22"/>
          <w:szCs w:val="22"/>
        </w:rPr>
        <w:t xml:space="preserve">The statistical distribution of LST values extracted over the commune of Aix-en-Provence shows a unimodal shape, centred between 47 and 48°C, with a range of variation from 39 to 65°C (Figure 2). This distribution, consistent with the heatwave conditions confirmed on 16 August 2025, shows no major statistical anomaly that would call into question the reliability of the source raster. Filtering was applied to exclude cells with temperature values below 25°C, corresponding to isolated artefacts (1 cell excluded out of 210,037, i.e. 0.0005%).</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2 PLACEHOLDER — insert here: LST_histogram.png ]</w:t>
      </w:r>
    </w:p>
    <w:p>
      <w:pPr>
        <w:spacing w:after="300"/>
        <w:jc w:val="center"/>
      </w:pPr>
      <w:r>
        <w:rPr>
          <w:i/>
          <w:iCs/>
          <w:sz w:val="20"/>
          <w:szCs w:val="20"/>
        </w:rPr>
        <w:t xml:space="preserve">Figure 2. Histogram of the distribution of observed land surface temperature (LST).</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3 PLACEHOLDER — insert here: map_LST_observed_30m_turbo.png ]</w:t>
      </w:r>
    </w:p>
    <w:p>
      <w:pPr>
        <w:spacing w:after="300"/>
        <w:jc w:val="center"/>
      </w:pPr>
      <w:r>
        <w:rPr>
          <w:i/>
          <w:iCs/>
          <w:sz w:val="20"/>
          <w:szCs w:val="20"/>
        </w:rPr>
        <w:t xml:space="preserve">Figure 3. Map of observed land surface temperature (LST) — 30 m grid.</w:t>
      </w:r>
    </w:p>
    <w:p>
      <w:pPr>
        <w:pStyle w:val="Heading2"/>
        <w:spacing w:after="150" w:before="300"/>
      </w:pPr>
      <w:r>
        <w:t xml:space="preserve">4.2 Local Climate Zone classification</w:t>
      </w:r>
    </w:p>
    <w:p>
      <w:pPr>
        <w:spacing w:after="200" w:line="300"/>
        <w:jc w:val="both"/>
      </w:pPr>
      <w:r>
        <w:rPr>
          <w:sz w:val="22"/>
          <w:szCs w:val="22"/>
        </w:rPr>
        <w:t xml:space="preserve">The LCZ classification at 30 m resolution (Figure 4) reveals a spatial organization consistent with the known urban structure of the commune: classes A/B (trees) and D (low plants) dominate the territory very largely (42.4% and 33.3% of cells respectively), reflecting the predominance of natural and agricultural spaces at the municipal scale. Dense built classes (LCZ 2, LCZ 3) and the historic centre (LCZ 1) occupy a much more restricted surface area, but one that is geographically concentrated in the urban core.</w:t>
      </w:r>
    </w:p>
    <w:p>
      <w:pPr>
        <w:spacing w:after="200" w:line="300"/>
        <w:jc w:val="both"/>
      </w:pPr>
      <w:r>
        <w:rPr>
          <w:sz w:val="22"/>
          <w:szCs w:val="22"/>
        </w:rPr>
        <w:t xml:space="preserve">A notable result of the 30 m analysis is the emergence of the LCZ 1 class (Compact high-rise), absent at the coarser 100 m resolution tested in the exploratory phase, where the historic centre's signal was diluted by spatial averaging. This emergence of 56 LCZ 1 cells validates the value of a resolution aligned with the native Landsat pixel for capturing fine morphological contrasts.</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4 PLACEHOLDER — insert here: LCZ_map_30m.png ]</w:t>
      </w:r>
    </w:p>
    <w:p>
      <w:pPr>
        <w:spacing w:after="300"/>
        <w:jc w:val="center"/>
      </w:pPr>
      <w:r>
        <w:rPr>
          <w:i/>
          <w:iCs/>
          <w:sz w:val="20"/>
          <w:szCs w:val="20"/>
        </w:rPr>
        <w:t xml:space="preserve">Figure 4. Local Climate Zone (LCZ) classification map — 30 m grid.</w:t>
      </w:r>
    </w:p>
    <w:p>
      <w:pPr>
        <w:pStyle w:val="Heading2"/>
        <w:spacing w:after="150" w:before="300"/>
      </w:pPr>
      <w:r>
        <w:t xml:space="preserve">4.3 Surface temperature by LCZ class and urban heat island intensity</w:t>
      </w:r>
    </w:p>
    <w:p>
      <w:pPr>
        <w:spacing w:after="200" w:line="300"/>
        <w:jc w:val="both"/>
      </w:pPr>
      <w:r>
        <w:rPr>
          <w:sz w:val="22"/>
          <w:szCs w:val="22"/>
        </w:rPr>
        <w:t xml:space="preserve">Cross-referencing the LCZ classification with surface temperature (Table 3, Figure 5) reveals a thermal gradient consistent with the morphological structure of the classes considered. The LCZ 8 class (Large low-rise) shows the highest mean temperature (51.94°C), followed by classes LCZ 3 (Compact low-rise) and LCZ 2 (Compact mid-rise) (51.11°C and 50.56°C respectively). Conversely, the LCZ G class (Water) shows the lowest temperature (42.40°C), followed by class A/B (Dense/scattered trees) (45.68°C).</w:t>
      </w:r>
    </w:p>
    <w:p>
      <w:pPr>
        <w:spacing w:after="200" w:line="300"/>
        <w:jc w:val="both"/>
      </w:pPr>
      <w:r>
        <w:rPr>
          <w:sz w:val="22"/>
          <w:szCs w:val="22"/>
        </w:rPr>
        <w:t xml:space="preserve">Taking class D (low plants, 49.04°C) as the rural reference, urban heat island intensity reaches its maximum for class LCZ 8 (+2.90°C), followed by LCZ 3 (+2.07°C) and LCZ 2 (+1.52°C). Vegetated and aquatic classes conversely show negative intensity: -3.36°C for trees, and -6.64°C for water.</w:t>
      </w:r>
    </w:p>
    <w:p>
      <w:pPr>
        <w:spacing w:after="200" w:line="300"/>
        <w:jc w:val="both"/>
      </w:pPr>
      <w:r>
        <w:rPr>
          <w:sz w:val="22"/>
          <w:szCs w:val="22"/>
        </w:rPr>
        <w:t xml:space="preserve">Notable result — LCZ 1 (Compact high-rise). Contrary to the initial hypothesis that the dense, tall historic centre would constitute the hottest class, LCZ 1 shows a mean temperature of 48.91°C, i.e. a near-zero UHI intensity (-0.13°C) — a result discussed in detail in section 5.1.</w:t>
      </w:r>
    </w:p>
    <w:p>
      <w:pPr>
        <w:spacing w:after="100" w:before="200"/>
      </w:pPr>
      <w:r>
        <w:rPr>
          <w:b/>
          <w:bCs/>
          <w:sz w:val="20"/>
          <w:szCs w:val="20"/>
        </w:rPr>
        <w:t xml:space="preserve">Table 3. </w:t>
      </w:r>
      <w:r>
        <w:rPr>
          <w:i/>
          <w:iCs/>
          <w:sz w:val="20"/>
          <w:szCs w:val="20"/>
        </w:rPr>
        <w:t xml:space="preserve">Mean surface temperature (LST), standard deviation, and UHI intensity by LCZ class, 30 m grid (rural reference: LCZ 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1300"/>
        <w:gridCol w:w="1800"/>
      </w:tblGrid>
      <w:tr>
        <w:tc>
          <w:tcPr>
            <w:tcW w:type="dxa" w:w="2600"/>
            <w:shd w:fill="D9D9D9" w:val="clear"/>
          </w:tcPr>
          <w:p>
            <w:r>
              <w:rPr>
                <w:b/>
                <w:bCs/>
                <w:sz w:val="20"/>
                <w:szCs w:val="20"/>
              </w:rPr>
              <w:t xml:space="preserve">LCZ class</w:t>
            </w:r>
          </w:p>
        </w:tc>
        <w:tc>
          <w:tcPr>
            <w:tcW w:type="dxa" w:w="1400"/>
            <w:shd w:fill="D9D9D9" w:val="clear"/>
          </w:tcPr>
          <w:p>
            <w:r>
              <w:rPr>
                <w:b/>
                <w:bCs/>
                <w:sz w:val="20"/>
                <w:szCs w:val="20"/>
              </w:rPr>
              <w:t xml:space="preserve">Mean LST (°C)</w:t>
            </w:r>
          </w:p>
        </w:tc>
        <w:tc>
          <w:tcPr>
            <w:tcW w:type="dxa" w:w="1300"/>
            <w:shd w:fill="D9D9D9" w:val="clear"/>
          </w:tcPr>
          <w:p>
            <w:r>
              <w:rPr>
                <w:b/>
                <w:bCs/>
                <w:sz w:val="20"/>
                <w:szCs w:val="20"/>
              </w:rPr>
              <w:t xml:space="preserve">Std dev.</w:t>
            </w:r>
          </w:p>
        </w:tc>
        <w:tc>
          <w:tcPr>
            <w:tcW w:type="dxa" w:w="1300"/>
            <w:shd w:fill="D9D9D9" w:val="clear"/>
          </w:tcPr>
          <w:p>
            <w:r>
              <w:rPr>
                <w:b/>
                <w:bCs/>
                <w:sz w:val="20"/>
                <w:szCs w:val="20"/>
              </w:rPr>
              <w:t xml:space="preserve">n cells</w:t>
            </w:r>
          </w:p>
        </w:tc>
        <w:tc>
          <w:tcPr>
            <w:tcW w:type="dxa" w:w="1800"/>
            <w:shd w:fill="D9D9D9" w:val="clear"/>
          </w:tcPr>
          <w:p>
            <w:r>
              <w:rPr>
                <w:b/>
                <w:bCs/>
                <w:sz w:val="20"/>
                <w:szCs w:val="20"/>
              </w:rPr>
              <w:t xml:space="preserve">UHI intensity (°C)</w:t>
            </w:r>
          </w:p>
        </w:tc>
      </w:tr>
      <w:tr>
        <w:tc>
          <w:tcPr>
            <w:tcW w:type="dxa" w:w="2600"/>
          </w:tcPr>
          <w:p>
            <w:r>
              <w:rPr>
                <w:b w:val="false"/>
                <w:bCs w:val="false"/>
                <w:sz w:val="20"/>
                <w:szCs w:val="20"/>
              </w:rPr>
              <w:t xml:space="preserve">LCZ 8 — Large low-rise</w:t>
            </w:r>
          </w:p>
        </w:tc>
        <w:tc>
          <w:tcPr>
            <w:tcW w:type="dxa" w:w="1400"/>
          </w:tcPr>
          <w:p>
            <w:r>
              <w:rPr>
                <w:b w:val="false"/>
                <w:bCs w:val="false"/>
                <w:sz w:val="20"/>
                <w:szCs w:val="20"/>
              </w:rPr>
              <w:t xml:space="preserve">51.94</w:t>
            </w:r>
          </w:p>
        </w:tc>
        <w:tc>
          <w:tcPr>
            <w:tcW w:type="dxa" w:w="1300"/>
          </w:tcPr>
          <w:p>
            <w:r>
              <w:rPr>
                <w:b w:val="false"/>
                <w:bCs w:val="false"/>
                <w:sz w:val="20"/>
                <w:szCs w:val="20"/>
              </w:rPr>
              <w:t xml:space="preserve">3.69</w:t>
            </w:r>
          </w:p>
        </w:tc>
        <w:tc>
          <w:tcPr>
            <w:tcW w:type="dxa" w:w="1300"/>
          </w:tcPr>
          <w:p>
            <w:r>
              <w:rPr>
                <w:b w:val="false"/>
                <w:bCs w:val="false"/>
                <w:sz w:val="20"/>
                <w:szCs w:val="20"/>
              </w:rPr>
              <w:t xml:space="preserve">5,575</w:t>
            </w:r>
          </w:p>
        </w:tc>
        <w:tc>
          <w:tcPr>
            <w:tcW w:type="dxa" w:w="1800"/>
          </w:tcPr>
          <w:p>
            <w:r>
              <w:rPr>
                <w:b w:val="false"/>
                <w:bCs w:val="false"/>
                <w:sz w:val="20"/>
                <w:szCs w:val="20"/>
              </w:rPr>
              <w:t xml:space="preserve">+2.90</w:t>
            </w:r>
          </w:p>
        </w:tc>
      </w:tr>
      <w:tr>
        <w:tc>
          <w:tcPr>
            <w:tcW w:type="dxa" w:w="2600"/>
          </w:tcPr>
          <w:p>
            <w:r>
              <w:rPr>
                <w:b w:val="false"/>
                <w:bCs w:val="false"/>
                <w:sz w:val="20"/>
                <w:szCs w:val="20"/>
              </w:rPr>
              <w:t xml:space="preserve">LCZ 3 — Compact low-rise</w:t>
            </w:r>
          </w:p>
        </w:tc>
        <w:tc>
          <w:tcPr>
            <w:tcW w:type="dxa" w:w="1400"/>
          </w:tcPr>
          <w:p>
            <w:r>
              <w:rPr>
                <w:b w:val="false"/>
                <w:bCs w:val="false"/>
                <w:sz w:val="20"/>
                <w:szCs w:val="20"/>
              </w:rPr>
              <w:t xml:space="preserve">51.11</w:t>
            </w:r>
          </w:p>
        </w:tc>
        <w:tc>
          <w:tcPr>
            <w:tcW w:type="dxa" w:w="1300"/>
          </w:tcPr>
          <w:p>
            <w:r>
              <w:rPr>
                <w:b w:val="false"/>
                <w:bCs w:val="false"/>
                <w:sz w:val="20"/>
                <w:szCs w:val="20"/>
              </w:rPr>
              <w:t xml:space="preserve">3.73</w:t>
            </w:r>
          </w:p>
        </w:tc>
        <w:tc>
          <w:tcPr>
            <w:tcW w:type="dxa" w:w="1300"/>
          </w:tcPr>
          <w:p>
            <w:r>
              <w:rPr>
                <w:b w:val="false"/>
                <w:bCs w:val="false"/>
                <w:sz w:val="20"/>
                <w:szCs w:val="20"/>
              </w:rPr>
              <w:t xml:space="preserve">2,311</w:t>
            </w:r>
          </w:p>
        </w:tc>
        <w:tc>
          <w:tcPr>
            <w:tcW w:type="dxa" w:w="1800"/>
          </w:tcPr>
          <w:p>
            <w:r>
              <w:rPr>
                <w:b w:val="false"/>
                <w:bCs w:val="false"/>
                <w:sz w:val="20"/>
                <w:szCs w:val="20"/>
              </w:rPr>
              <w:t xml:space="preserve">+2.07</w:t>
            </w:r>
          </w:p>
        </w:tc>
      </w:tr>
      <w:tr>
        <w:tc>
          <w:tcPr>
            <w:tcW w:type="dxa" w:w="2600"/>
          </w:tcPr>
          <w:p>
            <w:r>
              <w:rPr>
                <w:b w:val="false"/>
                <w:bCs w:val="false"/>
                <w:sz w:val="20"/>
                <w:szCs w:val="20"/>
              </w:rPr>
              <w:t xml:space="preserve">LCZ 2 — Compact mid-rise</w:t>
            </w:r>
          </w:p>
        </w:tc>
        <w:tc>
          <w:tcPr>
            <w:tcW w:type="dxa" w:w="1400"/>
          </w:tcPr>
          <w:p>
            <w:r>
              <w:rPr>
                <w:b w:val="false"/>
                <w:bCs w:val="false"/>
                <w:sz w:val="20"/>
                <w:szCs w:val="20"/>
              </w:rPr>
              <w:t xml:space="preserve">50.56</w:t>
            </w:r>
          </w:p>
        </w:tc>
        <w:tc>
          <w:tcPr>
            <w:tcW w:type="dxa" w:w="1300"/>
          </w:tcPr>
          <w:p>
            <w:r>
              <w:rPr>
                <w:b w:val="false"/>
                <w:bCs w:val="false"/>
                <w:sz w:val="20"/>
                <w:szCs w:val="20"/>
              </w:rPr>
              <w:t xml:space="preserve">3.65</w:t>
            </w:r>
          </w:p>
        </w:tc>
        <w:tc>
          <w:tcPr>
            <w:tcW w:type="dxa" w:w="1300"/>
          </w:tcPr>
          <w:p>
            <w:r>
              <w:rPr>
                <w:b w:val="false"/>
                <w:bCs w:val="false"/>
                <w:sz w:val="20"/>
                <w:szCs w:val="20"/>
              </w:rPr>
              <w:t xml:space="preserve">2,227</w:t>
            </w:r>
          </w:p>
        </w:tc>
        <w:tc>
          <w:tcPr>
            <w:tcW w:type="dxa" w:w="1800"/>
          </w:tcPr>
          <w:p>
            <w:r>
              <w:rPr>
                <w:b w:val="false"/>
                <w:bCs w:val="false"/>
                <w:sz w:val="20"/>
                <w:szCs w:val="20"/>
              </w:rPr>
              <w:t xml:space="preserve">+1.52</w:t>
            </w:r>
          </w:p>
        </w:tc>
      </w:tr>
      <w:tr>
        <w:tc>
          <w:tcPr>
            <w:tcW w:type="dxa" w:w="2600"/>
          </w:tcPr>
          <w:p>
            <w:r>
              <w:rPr>
                <w:b w:val="false"/>
                <w:bCs w:val="false"/>
                <w:sz w:val="20"/>
                <w:szCs w:val="20"/>
              </w:rPr>
              <w:t xml:space="preserve">E — Bare rock/paved</w:t>
            </w:r>
          </w:p>
        </w:tc>
        <w:tc>
          <w:tcPr>
            <w:tcW w:type="dxa" w:w="1400"/>
          </w:tcPr>
          <w:p>
            <w:r>
              <w:rPr>
                <w:b w:val="false"/>
                <w:bCs w:val="false"/>
                <w:sz w:val="20"/>
                <w:szCs w:val="20"/>
              </w:rPr>
              <w:t xml:space="preserve">49.65</w:t>
            </w:r>
          </w:p>
        </w:tc>
        <w:tc>
          <w:tcPr>
            <w:tcW w:type="dxa" w:w="1300"/>
          </w:tcPr>
          <w:p>
            <w:r>
              <w:rPr>
                <w:b w:val="false"/>
                <w:bCs w:val="false"/>
                <w:sz w:val="20"/>
                <w:szCs w:val="20"/>
              </w:rPr>
              <w:t xml:space="preserve">2.31</w:t>
            </w:r>
          </w:p>
        </w:tc>
        <w:tc>
          <w:tcPr>
            <w:tcW w:type="dxa" w:w="1300"/>
          </w:tcPr>
          <w:p>
            <w:r>
              <w:rPr>
                <w:b w:val="false"/>
                <w:bCs w:val="false"/>
                <w:sz w:val="20"/>
                <w:szCs w:val="20"/>
              </w:rPr>
              <w:t xml:space="preserve">1,232</w:t>
            </w:r>
          </w:p>
        </w:tc>
        <w:tc>
          <w:tcPr>
            <w:tcW w:type="dxa" w:w="1800"/>
          </w:tcPr>
          <w:p>
            <w:r>
              <w:rPr>
                <w:b w:val="false"/>
                <w:bCs w:val="false"/>
                <w:sz w:val="20"/>
                <w:szCs w:val="20"/>
              </w:rPr>
              <w:t xml:space="preserve">+0.61</w:t>
            </w:r>
          </w:p>
        </w:tc>
      </w:tr>
      <w:tr>
        <w:tc>
          <w:tcPr>
            <w:tcW w:type="dxa" w:w="2600"/>
          </w:tcPr>
          <w:p>
            <w:r>
              <w:rPr>
                <w:b w:val="false"/>
                <w:bCs w:val="false"/>
                <w:sz w:val="20"/>
                <w:szCs w:val="20"/>
              </w:rPr>
              <w:t xml:space="preserve">D — Low plants (reference)</w:t>
            </w:r>
          </w:p>
        </w:tc>
        <w:tc>
          <w:tcPr>
            <w:tcW w:type="dxa" w:w="1400"/>
          </w:tcPr>
          <w:p>
            <w:r>
              <w:rPr>
                <w:b w:val="false"/>
                <w:bCs w:val="false"/>
                <w:sz w:val="20"/>
                <w:szCs w:val="20"/>
              </w:rPr>
              <w:t xml:space="preserve">49.04</w:t>
            </w:r>
          </w:p>
        </w:tc>
        <w:tc>
          <w:tcPr>
            <w:tcW w:type="dxa" w:w="1300"/>
          </w:tcPr>
          <w:p>
            <w:r>
              <w:rPr>
                <w:b w:val="false"/>
                <w:bCs w:val="false"/>
                <w:sz w:val="20"/>
                <w:szCs w:val="20"/>
              </w:rPr>
              <w:t xml:space="preserve">3.46</w:t>
            </w:r>
          </w:p>
        </w:tc>
        <w:tc>
          <w:tcPr>
            <w:tcW w:type="dxa" w:w="1300"/>
          </w:tcPr>
          <w:p>
            <w:r>
              <w:rPr>
                <w:b w:val="false"/>
                <w:bCs w:val="false"/>
                <w:sz w:val="20"/>
                <w:szCs w:val="20"/>
              </w:rPr>
              <w:t xml:space="preserve">69,846</w:t>
            </w:r>
          </w:p>
        </w:tc>
        <w:tc>
          <w:tcPr>
            <w:tcW w:type="dxa" w:w="1800"/>
          </w:tcPr>
          <w:p>
            <w:r>
              <w:rPr>
                <w:b w:val="false"/>
                <w:bCs w:val="false"/>
                <w:sz w:val="20"/>
                <w:szCs w:val="20"/>
              </w:rPr>
              <w:t xml:space="preserve">0.00</w:t>
            </w:r>
          </w:p>
        </w:tc>
      </w:tr>
      <w:tr>
        <w:tc>
          <w:tcPr>
            <w:tcW w:type="dxa" w:w="2600"/>
          </w:tcPr>
          <w:p>
            <w:r>
              <w:rPr>
                <w:b w:val="false"/>
                <w:bCs w:val="false"/>
                <w:sz w:val="20"/>
                <w:szCs w:val="20"/>
              </w:rPr>
              <w:t xml:space="preserve">LCZ 5 — Open mid-rise</w:t>
            </w:r>
          </w:p>
        </w:tc>
        <w:tc>
          <w:tcPr>
            <w:tcW w:type="dxa" w:w="1400"/>
          </w:tcPr>
          <w:p>
            <w:r>
              <w:rPr>
                <w:b w:val="false"/>
                <w:bCs w:val="false"/>
                <w:sz w:val="20"/>
                <w:szCs w:val="20"/>
              </w:rPr>
              <w:t xml:space="preserve">48.96</w:t>
            </w:r>
          </w:p>
        </w:tc>
        <w:tc>
          <w:tcPr>
            <w:tcW w:type="dxa" w:w="1300"/>
          </w:tcPr>
          <w:p>
            <w:r>
              <w:rPr>
                <w:b w:val="false"/>
                <w:bCs w:val="false"/>
                <w:sz w:val="20"/>
                <w:szCs w:val="20"/>
              </w:rPr>
              <w:t xml:space="preserve">2.50</w:t>
            </w:r>
          </w:p>
        </w:tc>
        <w:tc>
          <w:tcPr>
            <w:tcW w:type="dxa" w:w="1300"/>
          </w:tcPr>
          <w:p>
            <w:r>
              <w:rPr>
                <w:b w:val="false"/>
                <w:bCs w:val="false"/>
                <w:sz w:val="20"/>
                <w:szCs w:val="20"/>
              </w:rPr>
              <w:t xml:space="preserve">4,389</w:t>
            </w:r>
          </w:p>
        </w:tc>
        <w:tc>
          <w:tcPr>
            <w:tcW w:type="dxa" w:w="1800"/>
          </w:tcPr>
          <w:p>
            <w:r>
              <w:rPr>
                <w:b w:val="false"/>
                <w:bCs w:val="false"/>
                <w:sz w:val="20"/>
                <w:szCs w:val="20"/>
              </w:rPr>
              <w:t xml:space="preserve">-0.08</w:t>
            </w:r>
          </w:p>
        </w:tc>
      </w:tr>
      <w:tr>
        <w:tc>
          <w:tcPr>
            <w:tcW w:type="dxa" w:w="2600"/>
          </w:tcPr>
          <w:p>
            <w:r>
              <w:rPr>
                <w:b w:val="false"/>
                <w:bCs w:val="false"/>
                <w:sz w:val="20"/>
                <w:szCs w:val="20"/>
              </w:rPr>
              <w:t xml:space="preserve">LCZ 1 — Compact high-rise</w:t>
            </w:r>
          </w:p>
        </w:tc>
        <w:tc>
          <w:tcPr>
            <w:tcW w:type="dxa" w:w="1400"/>
          </w:tcPr>
          <w:p>
            <w:r>
              <w:rPr>
                <w:b w:val="false"/>
                <w:bCs w:val="false"/>
                <w:sz w:val="20"/>
                <w:szCs w:val="20"/>
              </w:rPr>
              <w:t xml:space="preserve">48.91</w:t>
            </w:r>
          </w:p>
        </w:tc>
        <w:tc>
          <w:tcPr>
            <w:tcW w:type="dxa" w:w="1300"/>
          </w:tcPr>
          <w:p>
            <w:r>
              <w:rPr>
                <w:b w:val="false"/>
                <w:bCs w:val="false"/>
                <w:sz w:val="20"/>
                <w:szCs w:val="20"/>
              </w:rPr>
              <w:t xml:space="preserve">1.19</w:t>
            </w:r>
          </w:p>
        </w:tc>
        <w:tc>
          <w:tcPr>
            <w:tcW w:type="dxa" w:w="1300"/>
          </w:tcPr>
          <w:p>
            <w:r>
              <w:rPr>
                <w:b w:val="false"/>
                <w:bCs w:val="false"/>
                <w:sz w:val="20"/>
                <w:szCs w:val="20"/>
              </w:rPr>
              <w:t xml:space="preserve">56</w:t>
            </w:r>
          </w:p>
        </w:tc>
        <w:tc>
          <w:tcPr>
            <w:tcW w:type="dxa" w:w="1800"/>
          </w:tcPr>
          <w:p>
            <w:r>
              <w:rPr>
                <w:b w:val="false"/>
                <w:bCs w:val="false"/>
                <w:sz w:val="20"/>
                <w:szCs w:val="20"/>
              </w:rPr>
              <w:t xml:space="preserve">-0.13</w:t>
            </w:r>
          </w:p>
        </w:tc>
      </w:tr>
      <w:tr>
        <w:tc>
          <w:tcPr>
            <w:tcW w:type="dxa" w:w="2600"/>
          </w:tcPr>
          <w:p>
            <w:r>
              <w:rPr>
                <w:b w:val="false"/>
                <w:bCs w:val="false"/>
                <w:sz w:val="20"/>
                <w:szCs w:val="20"/>
              </w:rPr>
              <w:t xml:space="preserve">LCZ 4 — Open high-rise</w:t>
            </w:r>
          </w:p>
        </w:tc>
        <w:tc>
          <w:tcPr>
            <w:tcW w:type="dxa" w:w="1400"/>
          </w:tcPr>
          <w:p>
            <w:r>
              <w:rPr>
                <w:b w:val="false"/>
                <w:bCs w:val="false"/>
                <w:sz w:val="20"/>
                <w:szCs w:val="20"/>
              </w:rPr>
              <w:t xml:space="preserve">48.11</w:t>
            </w:r>
          </w:p>
        </w:tc>
        <w:tc>
          <w:tcPr>
            <w:tcW w:type="dxa" w:w="1300"/>
          </w:tcPr>
          <w:p>
            <w:r>
              <w:rPr>
                <w:b w:val="false"/>
                <w:bCs w:val="false"/>
                <w:sz w:val="20"/>
                <w:szCs w:val="20"/>
              </w:rPr>
              <w:t xml:space="preserve">1.64</w:t>
            </w:r>
          </w:p>
        </w:tc>
        <w:tc>
          <w:tcPr>
            <w:tcW w:type="dxa" w:w="1300"/>
          </w:tcPr>
          <w:p>
            <w:r>
              <w:rPr>
                <w:b w:val="false"/>
                <w:bCs w:val="false"/>
                <w:sz w:val="20"/>
                <w:szCs w:val="20"/>
              </w:rPr>
              <w:t xml:space="preserve">57</w:t>
            </w:r>
          </w:p>
        </w:tc>
        <w:tc>
          <w:tcPr>
            <w:tcW w:type="dxa" w:w="1800"/>
          </w:tcPr>
          <w:p>
            <w:r>
              <w:rPr>
                <w:b w:val="false"/>
                <w:bCs w:val="false"/>
                <w:sz w:val="20"/>
                <w:szCs w:val="20"/>
              </w:rPr>
              <w:t xml:space="preserve">-0.93</w:t>
            </w:r>
          </w:p>
        </w:tc>
      </w:tr>
      <w:tr>
        <w:tc>
          <w:tcPr>
            <w:tcW w:type="dxa" w:w="2600"/>
          </w:tcPr>
          <w:p>
            <w:r>
              <w:rPr>
                <w:b w:val="false"/>
                <w:bCs w:val="false"/>
                <w:sz w:val="20"/>
                <w:szCs w:val="20"/>
              </w:rPr>
              <w:t xml:space="preserve">LCZ 6 — Open low-rise</w:t>
            </w:r>
          </w:p>
        </w:tc>
        <w:tc>
          <w:tcPr>
            <w:tcW w:type="dxa" w:w="1400"/>
          </w:tcPr>
          <w:p>
            <w:r>
              <w:rPr>
                <w:b w:val="false"/>
                <w:bCs w:val="false"/>
                <w:sz w:val="20"/>
                <w:szCs w:val="20"/>
              </w:rPr>
              <w:t xml:space="preserve">47.98</w:t>
            </w:r>
          </w:p>
        </w:tc>
        <w:tc>
          <w:tcPr>
            <w:tcW w:type="dxa" w:w="1300"/>
          </w:tcPr>
          <w:p>
            <w:r>
              <w:rPr>
                <w:b w:val="false"/>
                <w:bCs w:val="false"/>
                <w:sz w:val="20"/>
                <w:szCs w:val="20"/>
              </w:rPr>
              <w:t xml:space="preserve">2.77</w:t>
            </w:r>
          </w:p>
        </w:tc>
        <w:tc>
          <w:tcPr>
            <w:tcW w:type="dxa" w:w="1300"/>
          </w:tcPr>
          <w:p>
            <w:r>
              <w:rPr>
                <w:b w:val="false"/>
                <w:bCs w:val="false"/>
                <w:sz w:val="20"/>
                <w:szCs w:val="20"/>
              </w:rPr>
              <w:t xml:space="preserve">19,404</w:t>
            </w:r>
          </w:p>
        </w:tc>
        <w:tc>
          <w:tcPr>
            <w:tcW w:type="dxa" w:w="1800"/>
          </w:tcPr>
          <w:p>
            <w:r>
              <w:rPr>
                <w:b w:val="false"/>
                <w:bCs w:val="false"/>
                <w:sz w:val="20"/>
                <w:szCs w:val="20"/>
              </w:rPr>
              <w:t xml:space="preserve">-1.06</w:t>
            </w:r>
          </w:p>
        </w:tc>
      </w:tr>
      <w:tr>
        <w:tc>
          <w:tcPr>
            <w:tcW w:type="dxa" w:w="2600"/>
          </w:tcPr>
          <w:p>
            <w:r>
              <w:rPr>
                <w:b w:val="false"/>
                <w:bCs w:val="false"/>
                <w:sz w:val="20"/>
                <w:szCs w:val="20"/>
              </w:rPr>
              <w:t xml:space="preserve">LCZ 9 — Sparsely built</w:t>
            </w:r>
          </w:p>
        </w:tc>
        <w:tc>
          <w:tcPr>
            <w:tcW w:type="dxa" w:w="1400"/>
          </w:tcPr>
          <w:p>
            <w:r>
              <w:rPr>
                <w:b w:val="false"/>
                <w:bCs w:val="false"/>
                <w:sz w:val="20"/>
                <w:szCs w:val="20"/>
              </w:rPr>
              <w:t xml:space="preserve">47.24</w:t>
            </w:r>
          </w:p>
        </w:tc>
        <w:tc>
          <w:tcPr>
            <w:tcW w:type="dxa" w:w="1300"/>
          </w:tcPr>
          <w:p>
            <w:r>
              <w:rPr>
                <w:b w:val="false"/>
                <w:bCs w:val="false"/>
                <w:sz w:val="20"/>
                <w:szCs w:val="20"/>
              </w:rPr>
              <w:t xml:space="preserve">2.81</w:t>
            </w:r>
          </w:p>
        </w:tc>
        <w:tc>
          <w:tcPr>
            <w:tcW w:type="dxa" w:w="1300"/>
          </w:tcPr>
          <w:p>
            <w:r>
              <w:rPr>
                <w:b w:val="false"/>
                <w:bCs w:val="false"/>
                <w:sz w:val="20"/>
                <w:szCs w:val="20"/>
              </w:rPr>
              <w:t xml:space="preserve">15,401</w:t>
            </w:r>
          </w:p>
        </w:tc>
        <w:tc>
          <w:tcPr>
            <w:tcW w:type="dxa" w:w="1800"/>
          </w:tcPr>
          <w:p>
            <w:r>
              <w:rPr>
                <w:b w:val="false"/>
                <w:bCs w:val="false"/>
                <w:sz w:val="20"/>
                <w:szCs w:val="20"/>
              </w:rPr>
              <w:t xml:space="preserve">-1.80</w:t>
            </w:r>
          </w:p>
        </w:tc>
      </w:tr>
      <w:tr>
        <w:tc>
          <w:tcPr>
            <w:tcW w:type="dxa" w:w="2600"/>
          </w:tcPr>
          <w:p>
            <w:r>
              <w:rPr>
                <w:b w:val="false"/>
                <w:bCs w:val="false"/>
                <w:sz w:val="20"/>
                <w:szCs w:val="20"/>
              </w:rPr>
              <w:t xml:space="preserve">A/B — Dense/scattered trees</w:t>
            </w:r>
          </w:p>
        </w:tc>
        <w:tc>
          <w:tcPr>
            <w:tcW w:type="dxa" w:w="1400"/>
          </w:tcPr>
          <w:p>
            <w:r>
              <w:rPr>
                <w:b w:val="false"/>
                <w:bCs w:val="false"/>
                <w:sz w:val="20"/>
                <w:szCs w:val="20"/>
              </w:rPr>
              <w:t xml:space="preserve">45.68</w:t>
            </w:r>
          </w:p>
        </w:tc>
        <w:tc>
          <w:tcPr>
            <w:tcW w:type="dxa" w:w="1300"/>
          </w:tcPr>
          <w:p>
            <w:r>
              <w:rPr>
                <w:b w:val="false"/>
                <w:bCs w:val="false"/>
                <w:sz w:val="20"/>
                <w:szCs w:val="20"/>
              </w:rPr>
              <w:t xml:space="preserve">2.95</w:t>
            </w:r>
          </w:p>
        </w:tc>
        <w:tc>
          <w:tcPr>
            <w:tcW w:type="dxa" w:w="1300"/>
          </w:tcPr>
          <w:p>
            <w:r>
              <w:rPr>
                <w:b w:val="false"/>
                <w:bCs w:val="false"/>
                <w:sz w:val="20"/>
                <w:szCs w:val="20"/>
              </w:rPr>
              <w:t xml:space="preserve">89,169</w:t>
            </w:r>
          </w:p>
        </w:tc>
        <w:tc>
          <w:tcPr>
            <w:tcW w:type="dxa" w:w="1800"/>
          </w:tcPr>
          <w:p>
            <w:r>
              <w:rPr>
                <w:b w:val="false"/>
                <w:bCs w:val="false"/>
                <w:sz w:val="20"/>
                <w:szCs w:val="20"/>
              </w:rPr>
              <w:t xml:space="preserve">-3.36</w:t>
            </w:r>
          </w:p>
        </w:tc>
      </w:tr>
      <w:tr>
        <w:tc>
          <w:tcPr>
            <w:tcW w:type="dxa" w:w="2600"/>
          </w:tcPr>
          <w:p>
            <w:r>
              <w:rPr>
                <w:b w:val="false"/>
                <w:bCs w:val="false"/>
                <w:sz w:val="20"/>
                <w:szCs w:val="20"/>
              </w:rPr>
              <w:t xml:space="preserve">LCZ G — Water</w:t>
            </w:r>
          </w:p>
        </w:tc>
        <w:tc>
          <w:tcPr>
            <w:tcW w:type="dxa" w:w="1400"/>
          </w:tcPr>
          <w:p>
            <w:r>
              <w:rPr>
                <w:b w:val="false"/>
                <w:bCs w:val="false"/>
                <w:sz w:val="20"/>
                <w:szCs w:val="20"/>
              </w:rPr>
              <w:t xml:space="preserve">42.40</w:t>
            </w:r>
          </w:p>
        </w:tc>
        <w:tc>
          <w:tcPr>
            <w:tcW w:type="dxa" w:w="1300"/>
          </w:tcPr>
          <w:p>
            <w:r>
              <w:rPr>
                <w:b w:val="false"/>
                <w:bCs w:val="false"/>
                <w:sz w:val="20"/>
                <w:szCs w:val="20"/>
              </w:rPr>
              <w:t xml:space="preserve">5.36</w:t>
            </w:r>
          </w:p>
        </w:tc>
        <w:tc>
          <w:tcPr>
            <w:tcW w:type="dxa" w:w="1300"/>
          </w:tcPr>
          <w:p>
            <w:r>
              <w:rPr>
                <w:b w:val="false"/>
                <w:bCs w:val="false"/>
                <w:sz w:val="20"/>
                <w:szCs w:val="20"/>
              </w:rPr>
              <w:t xml:space="preserve">368</w:t>
            </w:r>
          </w:p>
        </w:tc>
        <w:tc>
          <w:tcPr>
            <w:tcW w:type="dxa" w:w="1800"/>
          </w:tcPr>
          <w:p>
            <w:r>
              <w:rPr>
                <w:b w:val="false"/>
                <w:bCs w:val="false"/>
                <w:sz w:val="20"/>
                <w:szCs w:val="20"/>
              </w:rPr>
              <w:t xml:space="preserve">-6.64</w:t>
            </w:r>
          </w:p>
        </w:tc>
      </w:tr>
    </w:tbl>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5 PLACEHOLDER — insert here: boxplot_LCZ_LST_aix_30m.png ]</w:t>
      </w:r>
    </w:p>
    <w:p>
      <w:pPr>
        <w:spacing w:after="300"/>
        <w:jc w:val="center"/>
      </w:pPr>
      <w:r>
        <w:rPr>
          <w:i/>
          <w:iCs/>
          <w:sz w:val="20"/>
          <w:szCs w:val="20"/>
        </w:rPr>
        <w:t xml:space="preserve">Figure 5. Distribution of surface temperature by LCZ class (boxplot), with rural reference.</w:t>
      </w:r>
    </w:p>
    <w:p>
      <w:pPr>
        <w:pStyle w:val="Heading2"/>
        <w:spacing w:after="150" w:before="300"/>
      </w:pPr>
      <w:r>
        <w:t xml:space="preserve">4.4 Regression model and explanatory factors of surface temperature</w:t>
      </w:r>
    </w:p>
    <w:p>
      <w:pPr>
        <w:spacing w:after="200" w:line="300"/>
        <w:jc w:val="both"/>
      </w:pPr>
      <w:r>
        <w:rPr>
          <w:sz w:val="22"/>
          <w:szCs w:val="22"/>
        </w:rPr>
        <w:t xml:space="preserve">The multiple linear regression model explains 24.7% of the spatial variance of surface temperature (R² = 0.247), based on 210,036 observations. The overall model is statistically significant (F = 1.377 × 10⁴, p &lt; 0.001).</w:t>
      </w:r>
    </w:p>
    <w:p>
      <w:pPr>
        <w:spacing w:after="100" w:before="200"/>
      </w:pPr>
      <w:r>
        <w:rPr>
          <w:b/>
          <w:bCs/>
          <w:sz w:val="20"/>
          <w:szCs w:val="20"/>
        </w:rPr>
        <w:t xml:space="preserve">Table 4. </w:t>
      </w:r>
      <w:r>
        <w:rPr>
          <w:i/>
          <w:iCs/>
          <w:sz w:val="20"/>
          <w:szCs w:val="20"/>
        </w:rPr>
        <w:t xml:space="preserve">Multiple linear regression results explaining LST by morphological indicators, 30 m grid.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1200"/>
        <w:gridCol w:w="1300"/>
      </w:tblGrid>
      <w:tr>
        <w:tc>
          <w:tcPr>
            <w:tcW w:type="dxa" w:w="2800"/>
            <w:shd w:fill="D9D9D9" w:val="clear"/>
          </w:tcPr>
          <w:p>
            <w:r>
              <w:rPr>
                <w:b/>
                <w:bCs/>
                <w:sz w:val="20"/>
                <w:szCs w:val="20"/>
              </w:rPr>
              <w:t xml:space="preserve">Variable</w:t>
            </w:r>
          </w:p>
        </w:tc>
        <w:tc>
          <w:tcPr>
            <w:tcW w:type="dxa" w:w="1600"/>
            <w:shd w:fill="D9D9D9" w:val="clear"/>
          </w:tcPr>
          <w:p>
            <w:r>
              <w:rPr>
                <w:b/>
                <w:bCs/>
                <w:sz w:val="20"/>
                <w:szCs w:val="20"/>
              </w:rPr>
              <w:t xml:space="preserve">Coefficient</w:t>
            </w:r>
          </w:p>
        </w:tc>
        <w:tc>
          <w:tcPr>
            <w:tcW w:type="dxa" w:w="1900"/>
            <w:shd w:fill="D9D9D9" w:val="clear"/>
          </w:tcPr>
          <w:p>
            <w:r>
              <w:rPr>
                <w:b/>
                <w:bCs/>
                <w:sz w:val="20"/>
                <w:szCs w:val="20"/>
              </w:rPr>
              <w:t xml:space="preserve">Std. error</w:t>
            </w:r>
          </w:p>
        </w:tc>
        <w:tc>
          <w:tcPr>
            <w:tcW w:type="dxa" w:w="1200"/>
            <w:shd w:fill="D9D9D9" w:val="clear"/>
          </w:tcPr>
          <w:p>
            <w:r>
              <w:rPr>
                <w:b/>
                <w:bCs/>
                <w:sz w:val="20"/>
                <w:szCs w:val="20"/>
              </w:rPr>
              <w:t xml:space="preserve">t</w:t>
            </w:r>
          </w:p>
        </w:tc>
        <w:tc>
          <w:tcPr>
            <w:tcW w:type="dxa" w:w="1300"/>
            <w:shd w:fill="D9D9D9" w:val="clear"/>
          </w:tcPr>
          <w:p>
            <w:r>
              <w:rPr>
                <w:b/>
                <w:bCs/>
                <w:sz w:val="20"/>
                <w:szCs w:val="20"/>
              </w:rPr>
              <w:t xml:space="preserve">p-value</w:t>
            </w:r>
          </w:p>
        </w:tc>
      </w:tr>
      <w:tr>
        <w:tc>
          <w:tcPr>
            <w:tcW w:type="dxa" w:w="2800"/>
          </w:tcPr>
          <w:p>
            <w:r>
              <w:rPr>
                <w:b w:val="false"/>
                <w:bCs w:val="false"/>
                <w:sz w:val="20"/>
                <w:szCs w:val="20"/>
              </w:rPr>
              <w:t xml:space="preserve">Constant</w:t>
            </w:r>
          </w:p>
        </w:tc>
        <w:tc>
          <w:tcPr>
            <w:tcW w:type="dxa" w:w="1600"/>
          </w:tcPr>
          <w:p>
            <w:r>
              <w:rPr>
                <w:b w:val="false"/>
                <w:bCs w:val="false"/>
                <w:sz w:val="20"/>
                <w:szCs w:val="20"/>
              </w:rPr>
              <w:t xml:space="preserve">43.919</w:t>
            </w:r>
          </w:p>
        </w:tc>
        <w:tc>
          <w:tcPr>
            <w:tcW w:type="dxa" w:w="1900"/>
          </w:tcPr>
          <w:p>
            <w:r>
              <w:rPr>
                <w:b w:val="false"/>
                <w:bCs w:val="false"/>
                <w:sz w:val="20"/>
                <w:szCs w:val="20"/>
              </w:rPr>
              <w:t xml:space="preserve">0.106</w:t>
            </w:r>
          </w:p>
        </w:tc>
        <w:tc>
          <w:tcPr>
            <w:tcW w:type="dxa" w:w="1200"/>
          </w:tcPr>
          <w:p>
            <w:r>
              <w:rPr>
                <w:b w:val="false"/>
                <w:bCs w:val="false"/>
                <w:sz w:val="20"/>
                <w:szCs w:val="20"/>
              </w:rPr>
              <w:t xml:space="preserve">415.02</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Building fraction</w:t>
            </w:r>
          </w:p>
        </w:tc>
        <w:tc>
          <w:tcPr>
            <w:tcW w:type="dxa" w:w="1600"/>
          </w:tcPr>
          <w:p>
            <w:r>
              <w:rPr>
                <w:b w:val="false"/>
                <w:bCs w:val="false"/>
                <w:sz w:val="20"/>
                <w:szCs w:val="20"/>
              </w:rPr>
              <w:t xml:space="preserve">+4.927</w:t>
            </w:r>
          </w:p>
        </w:tc>
        <w:tc>
          <w:tcPr>
            <w:tcW w:type="dxa" w:w="1900"/>
          </w:tcPr>
          <w:p>
            <w:r>
              <w:rPr>
                <w:b w:val="false"/>
                <w:bCs w:val="false"/>
                <w:sz w:val="20"/>
                <w:szCs w:val="20"/>
              </w:rPr>
              <w:t xml:space="preserve">0.113</w:t>
            </w:r>
          </w:p>
        </w:tc>
        <w:tc>
          <w:tcPr>
            <w:tcW w:type="dxa" w:w="1200"/>
          </w:tcPr>
          <w:p>
            <w:r>
              <w:rPr>
                <w:b w:val="false"/>
                <w:bCs w:val="false"/>
                <w:sz w:val="20"/>
                <w:szCs w:val="20"/>
              </w:rPr>
              <w:t xml:space="preserve">43.73</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Vegetation fraction</w:t>
            </w:r>
          </w:p>
        </w:tc>
        <w:tc>
          <w:tcPr>
            <w:tcW w:type="dxa" w:w="1600"/>
          </w:tcPr>
          <w:p>
            <w:r>
              <w:rPr>
                <w:b w:val="false"/>
                <w:bCs w:val="false"/>
                <w:sz w:val="20"/>
                <w:szCs w:val="20"/>
              </w:rPr>
              <w:t xml:space="preserve">-4.121</w:t>
            </w:r>
          </w:p>
        </w:tc>
        <w:tc>
          <w:tcPr>
            <w:tcW w:type="dxa" w:w="1900"/>
          </w:tcPr>
          <w:p>
            <w:r>
              <w:rPr>
                <w:b w:val="false"/>
                <w:bCs w:val="false"/>
                <w:sz w:val="20"/>
                <w:szCs w:val="20"/>
              </w:rPr>
              <w:t xml:space="preserve">0.017</w:t>
            </w:r>
          </w:p>
        </w:tc>
        <w:tc>
          <w:tcPr>
            <w:tcW w:type="dxa" w:w="1200"/>
          </w:tcPr>
          <w:p>
            <w:r>
              <w:rPr>
                <w:b w:val="false"/>
                <w:bCs w:val="false"/>
                <w:sz w:val="20"/>
                <w:szCs w:val="20"/>
              </w:rPr>
              <w:t xml:space="preserve">-246.89</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Impervious fraction</w:t>
            </w:r>
          </w:p>
        </w:tc>
        <w:tc>
          <w:tcPr>
            <w:tcW w:type="dxa" w:w="1600"/>
          </w:tcPr>
          <w:p>
            <w:r>
              <w:rPr>
                <w:b w:val="false"/>
                <w:bCs w:val="false"/>
                <w:sz w:val="20"/>
                <w:szCs w:val="20"/>
              </w:rPr>
              <w:t xml:space="preserve">+0.119</w:t>
            </w:r>
          </w:p>
        </w:tc>
        <w:tc>
          <w:tcPr>
            <w:tcW w:type="dxa" w:w="1900"/>
          </w:tcPr>
          <w:p>
            <w:r>
              <w:rPr>
                <w:b w:val="false"/>
                <w:bCs w:val="false"/>
                <w:sz w:val="20"/>
                <w:szCs w:val="20"/>
              </w:rPr>
              <w:t xml:space="preserve">0.071</w:t>
            </w:r>
          </w:p>
        </w:tc>
        <w:tc>
          <w:tcPr>
            <w:tcW w:type="dxa" w:w="1200"/>
          </w:tcPr>
          <w:p>
            <w:r>
              <w:rPr>
                <w:b w:val="false"/>
                <w:bCs w:val="false"/>
                <w:sz w:val="20"/>
                <w:szCs w:val="20"/>
              </w:rPr>
              <w:t xml:space="preserve">1.67</w:t>
            </w:r>
          </w:p>
        </w:tc>
        <w:tc>
          <w:tcPr>
            <w:tcW w:type="dxa" w:w="1300"/>
          </w:tcPr>
          <w:p>
            <w:r>
              <w:rPr>
                <w:b w:val="false"/>
                <w:bCs w:val="false"/>
                <w:sz w:val="20"/>
                <w:szCs w:val="20"/>
              </w:rPr>
              <w:t xml:space="preserve">0.095</w:t>
            </w:r>
          </w:p>
        </w:tc>
      </w:tr>
      <w:tr>
        <w:tc>
          <w:tcPr>
            <w:tcW w:type="dxa" w:w="2800"/>
          </w:tcPr>
          <w:p>
            <w:r>
              <w:rPr>
                <w:b w:val="false"/>
                <w:bCs w:val="false"/>
                <w:sz w:val="20"/>
                <w:szCs w:val="20"/>
              </w:rPr>
              <w:t xml:space="preserve">Mean height</w:t>
            </w:r>
          </w:p>
        </w:tc>
        <w:tc>
          <w:tcPr>
            <w:tcW w:type="dxa" w:w="1600"/>
          </w:tcPr>
          <w:p>
            <w:r>
              <w:rPr>
                <w:b w:val="false"/>
                <w:bCs w:val="false"/>
                <w:sz w:val="20"/>
                <w:szCs w:val="20"/>
              </w:rPr>
              <w:t xml:space="preserve">+0.148</w:t>
            </w:r>
          </w:p>
        </w:tc>
        <w:tc>
          <w:tcPr>
            <w:tcW w:type="dxa" w:w="1900"/>
          </w:tcPr>
          <w:p>
            <w:r>
              <w:rPr>
                <w:b w:val="false"/>
                <w:bCs w:val="false"/>
                <w:sz w:val="20"/>
                <w:szCs w:val="20"/>
              </w:rPr>
              <w:t xml:space="preserve">0.005</w:t>
            </w:r>
          </w:p>
        </w:tc>
        <w:tc>
          <w:tcPr>
            <w:tcW w:type="dxa" w:w="1200"/>
          </w:tcPr>
          <w:p>
            <w:r>
              <w:rPr>
                <w:b w:val="false"/>
                <w:bCs w:val="false"/>
                <w:sz w:val="20"/>
                <w:szCs w:val="20"/>
              </w:rPr>
              <w:t xml:space="preserve">27.44</w:t>
            </w:r>
          </w:p>
        </w:tc>
        <w:tc>
          <w:tcPr>
            <w:tcW w:type="dxa" w:w="1300"/>
          </w:tcPr>
          <w:p>
            <w:r>
              <w:rPr>
                <w:b w:val="false"/>
                <w:bCs w:val="false"/>
                <w:sz w:val="20"/>
                <w:szCs w:val="20"/>
              </w:rPr>
              <w:t xml:space="preserve">&lt; 0.001</w:t>
            </w:r>
          </w:p>
        </w:tc>
      </w:tr>
      <w:tr>
        <w:tc>
          <w:tcPr>
            <w:tcW w:type="dxa" w:w="2800"/>
          </w:tcPr>
          <w:p>
            <w:r>
              <w:rPr>
                <w:b w:val="false"/>
                <w:bCs w:val="false"/>
                <w:sz w:val="20"/>
                <w:szCs w:val="20"/>
              </w:rPr>
              <w:t xml:space="preserve">Roughness class</w:t>
            </w:r>
          </w:p>
        </w:tc>
        <w:tc>
          <w:tcPr>
            <w:tcW w:type="dxa" w:w="1600"/>
          </w:tcPr>
          <w:p>
            <w:r>
              <w:rPr>
                <w:b w:val="false"/>
                <w:bCs w:val="false"/>
                <w:sz w:val="20"/>
                <w:szCs w:val="20"/>
              </w:rPr>
              <w:t xml:space="preserve">+0.723</w:t>
            </w:r>
          </w:p>
        </w:tc>
        <w:tc>
          <w:tcPr>
            <w:tcW w:type="dxa" w:w="1900"/>
          </w:tcPr>
          <w:p>
            <w:r>
              <w:rPr>
                <w:b w:val="false"/>
                <w:bCs w:val="false"/>
                <w:sz w:val="20"/>
                <w:szCs w:val="20"/>
              </w:rPr>
              <w:t xml:space="preserve">0.013</w:t>
            </w:r>
          </w:p>
        </w:tc>
        <w:tc>
          <w:tcPr>
            <w:tcW w:type="dxa" w:w="1200"/>
          </w:tcPr>
          <w:p>
            <w:r>
              <w:rPr>
                <w:b w:val="false"/>
                <w:bCs w:val="false"/>
                <w:sz w:val="20"/>
                <w:szCs w:val="20"/>
              </w:rPr>
              <w:t xml:space="preserve">53.64</w:t>
            </w:r>
          </w:p>
        </w:tc>
        <w:tc>
          <w:tcPr>
            <w:tcW w:type="dxa" w:w="1300"/>
          </w:tcPr>
          <w:p>
            <w:r>
              <w:rPr>
                <w:b w:val="false"/>
                <w:bCs w:val="false"/>
                <w:sz w:val="20"/>
                <w:szCs w:val="20"/>
              </w:rPr>
              <w:t xml:space="preserve">&lt; 0.001</w:t>
            </w:r>
          </w:p>
        </w:tc>
      </w:tr>
    </w:tbl>
    <w:p>
      <w:pPr>
        <w:spacing w:after="200" w:line="300"/>
        <w:jc w:val="both"/>
      </w:pPr>
      <w:r>
        <w:rPr>
          <w:sz w:val="22"/>
          <w:szCs w:val="22"/>
        </w:rPr>
        <w:t xml:space="preserve">Four of the five explanatory variables show a statistically significant effect (p &lt; 0.001). The building fraction exerts the strongest positive effect (+4.93°C per unit of fraction), confirming the central role of building density in local temperature increases. Symmetrically, the vegetation fraction exerts the strongest negative effect (-4.12°C per unit of fraction), confirming the cooling effect of vegetation. Mean building height and roughness class show more modest but significant positive effects (+0.15°C and +0.72°C respectively).</w:t>
      </w:r>
    </w:p>
    <w:p>
      <w:pPr>
        <w:spacing w:after="200" w:line="300"/>
        <w:jc w:val="both"/>
      </w:pPr>
      <w:r>
        <w:rPr>
          <w:sz w:val="22"/>
          <w:szCs w:val="22"/>
        </w:rPr>
        <w:t xml:space="preserve">The case of impervious fraction. This variable shows no statistically significant effect at the conventional 5% threshold (p = 0.095). This result is explained by a collinearity effect: since impervious fraction is constructed as the sum of building fraction and road fraction, it shares a substantial part of its variance with the building fraction already present in the model. This point is revisited in section 5.2 as a methodological limitation of the model.</w:t>
      </w:r>
    </w:p>
    <w:p>
      <w:pPr>
        <w:pStyle w:val="Heading2"/>
        <w:spacing w:after="150" w:before="300"/>
      </w:pPr>
      <w:r>
        <w:t xml:space="preserve">4.5 Modelled surface temperature and regression residuals</w:t>
      </w:r>
    </w:p>
    <w:p>
      <w:pPr>
        <w:spacing w:after="200" w:line="300"/>
        <w:jc w:val="both"/>
      </w:pPr>
      <w:r>
        <w:rPr>
          <w:sz w:val="22"/>
          <w:szCs w:val="22"/>
        </w:rPr>
        <w:t xml:space="preserve">The modelled surface temperature map (Figure 6), reconstructed solely from the morphological variables of the regression model, reproduces the main spatial contrasts observed on the actual LST map (Figure 3), albeit with a notable smoothing effect: extreme values, both high and low, are attenuated, since the model only captures the portion of variance explained by the five retained indicators.</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6 PLACEHOLDER — insert here: map_LST_modeled_30m.png ]</w:t>
      </w:r>
    </w:p>
    <w:p>
      <w:pPr>
        <w:spacing w:after="300"/>
        <w:jc w:val="center"/>
      </w:pPr>
      <w:r>
        <w:rPr>
          <w:i/>
          <w:iCs/>
          <w:sz w:val="20"/>
          <w:szCs w:val="20"/>
        </w:rPr>
        <w:t xml:space="preserve">Figure 6. Map of surface temperature modelled from morphological indicators — 30 m grid.</w:t>
      </w:r>
    </w:p>
    <w:p>
      <w:pPr>
        <w:spacing w:after="200" w:line="300"/>
        <w:jc w:val="both"/>
      </w:pPr>
      <w:r>
        <w:rPr>
          <w:sz w:val="22"/>
          <w:szCs w:val="22"/>
        </w:rPr>
        <w:t xml:space="preserve">The residuals map (Figure 7), computed as the difference between observed and modelled LST for each cell, identifies areas where the model underestimates (positive residuals) or overestimates (negative residuals) actual temperature. This map serves as a complementary diagnostic tool to the model's statistics alone, revealing potential spatial structures in prediction errors.</w:t>
      </w:r>
    </w:p>
    <w:p>
      <w:pPr>
        <w:pBdr>
          <w:top w:val="single" w:color="999999" w:sz="4"/>
          <w:bottom w:val="single" w:color="999999" w:sz="4"/>
          <w:left w:val="single" w:color="999999" w:sz="4"/>
          <w:right w:val="single" w:color="999999" w:sz="4"/>
        </w:pBdr>
        <w:spacing w:after="100" w:before="300"/>
        <w:jc w:val="center"/>
      </w:pPr>
      <w:r>
        <w:rPr>
          <w:i/>
          <w:iCs/>
          <w:color w:val="888888"/>
          <w:sz w:val="20"/>
          <w:szCs w:val="20"/>
        </w:rPr>
        <w:t xml:space="preserve">[ FIGURE 7 PLACEHOLDER — insert here: map_residuals_30m.png ]</w:t>
      </w:r>
    </w:p>
    <w:p>
      <w:pPr>
        <w:spacing w:after="300"/>
        <w:jc w:val="center"/>
      </w:pPr>
      <w:r>
        <w:rPr>
          <w:i/>
          <w:iCs/>
          <w:sz w:val="20"/>
          <w:szCs w:val="20"/>
        </w:rPr>
        <w:t xml:space="preserve">Figure 7. Regression residuals map (observed LST − modelled LST) — 30 m grid.</w:t>
      </w:r>
    </w:p>
    <w:p>
      <w:r>
        <w:br w:type="page"/>
      </w:r>
    </w:p>
    <w:p>
      <w:pPr>
        <w:pStyle w:val="Heading1"/>
        <w:spacing w:after="200" w:before="400"/>
      </w:pPr>
      <w:r>
        <w:t xml:space="preserve">5. Discussion</w:t>
      </w:r>
    </w:p>
    <w:p>
      <w:pPr>
        <w:pStyle w:val="Heading2"/>
        <w:spacing w:after="150" w:before="300"/>
      </w:pPr>
      <w:r>
        <w:t xml:space="preserve">5.1 Divergence between surface and canopy-layer urban heat islands</w:t>
      </w:r>
    </w:p>
    <w:p>
      <w:pPr>
        <w:spacing w:after="200" w:line="300"/>
        <w:jc w:val="both"/>
      </w:pPr>
      <w:r>
        <w:rPr>
          <w:sz w:val="22"/>
          <w:szCs w:val="22"/>
        </w:rPr>
        <w:t xml:space="preserve">The most significant result of this study concerns the LCZ 1 class (Compact high-rise), corresponding to the dense historic centre of Aix-en-Provence. Contrary to the initial hypothesis that this class, characterized by high building density and tall height, would constitute the hottest area of the commune, it actually shows a near-zero UHI intensity (-0.13°C), markedly lower than that of the LCZ 8 class (Large low-rise, +2.90°C).</w:t>
      </w:r>
    </w:p>
    <w:p>
      <w:pPr>
        <w:spacing w:after="200" w:line="300"/>
        <w:jc w:val="both"/>
      </w:pPr>
      <w:r>
        <w:rPr>
          <w:sz w:val="22"/>
          <w:szCs w:val="22"/>
        </w:rPr>
        <w:t xml:space="preserve">This result is explained by a fundamental distinction, well documented in the urban heat island literature: that between the surface urban heat island (SUHI), measured by thermal remote sensing, and the canopy-layer urban heat island, experienced at pedestrian level in the streets (Oke, 1982; Oke et al., 2017). Landsat-derived surface temperature only captures radiation emitted by surfaces directly visible from the satellite — rooftops, street canyon tops — and not the heat trapped within the narrow urban canyons that characterize the old fabric.</w:t>
      </w:r>
    </w:p>
    <w:p>
      <w:pPr>
        <w:spacing w:after="200" w:line="300"/>
        <w:jc w:val="both"/>
      </w:pPr>
      <w:r>
        <w:rPr>
          <w:sz w:val="22"/>
          <w:szCs w:val="22"/>
        </w:rPr>
        <w:t xml:space="preserve">Several physical mechanisms could explain this attenuated signal in LCZ 1: (i) shading cast by tall buildings on adjacent streets at the time of satellite overpass (10 a.m.–11 a.m.), which cools the fraction of surface visible to the sensor; (ii) the nature of roofing materials in the historic centre (tiles, stone), whose thermal properties potentially differ from the flat, dark roofs typical of the LCZ 8 class; (iii) a spectral mixing effect, as some 30 m pixels may still combine roofs, narrow streets, and vegetated inner courtyards.</w:t>
      </w:r>
    </w:p>
    <w:p>
      <w:pPr>
        <w:spacing w:after="200" w:line="300"/>
        <w:jc w:val="both"/>
      </w:pPr>
      <w:r>
        <w:rPr>
          <w:sz w:val="22"/>
          <w:szCs w:val="22"/>
        </w:rPr>
        <w:t xml:space="preserve">Conversely, the LCZ 8 class, comprising commercial and industrial buildings with flat roofs, largely exposed to direct solar radiation and little shaded, shows a surface signal consistent with strong heat accumulation, without the geometric masking effects typical of a compact, tall urban fabric.</w:t>
      </w:r>
    </w:p>
    <w:p>
      <w:pPr>
        <w:pStyle w:val="Heading2"/>
        <w:spacing w:after="150" w:before="300"/>
      </w:pPr>
      <w:r>
        <w:t xml:space="preserve">5.2 Explanatory factors of thermal variability</w:t>
      </w:r>
    </w:p>
    <w:p>
      <w:pPr>
        <w:spacing w:after="200" w:line="300"/>
        <w:jc w:val="both"/>
      </w:pPr>
      <w:r>
        <w:rPr>
          <w:sz w:val="22"/>
          <w:szCs w:val="22"/>
        </w:rPr>
        <w:t xml:space="preserve">The regression model statistically confirms the trends observed by LCZ class: building fraction and vegetation fraction are the two most determining factors of surface temperature, with opposite-signed effects of comparable magnitude (approximately ±4 to 5°C per unit of fraction). This result is consistent with the body of literature on urban surfaces, where imperviousness and de-mineralization constitute the two structuring levers of urban thermal regulation.</w:t>
      </w:r>
    </w:p>
    <w:p>
      <w:pPr>
        <w:spacing w:after="200" w:line="300"/>
        <w:jc w:val="both"/>
      </w:pPr>
      <w:r>
        <w:rPr>
          <w:sz w:val="22"/>
          <w:szCs w:val="22"/>
        </w:rPr>
        <w:t xml:space="preserve">The non-significant effect of impervious fraction, due to its collinearity with building fraction, constitutes a methodological limitation worth noting: reformulating the model by substituting impervious fraction for building fraction, rather than including both simultaneously, would resolve this statistical ambiguity in future work.</w:t>
      </w:r>
    </w:p>
    <w:p>
      <w:pPr>
        <w:spacing w:after="200" w:line="300"/>
        <w:jc w:val="both"/>
      </w:pPr>
      <w:r>
        <w:rPr>
          <w:sz w:val="22"/>
          <w:szCs w:val="22"/>
        </w:rPr>
        <w:t xml:space="preserve">The moderate coefficient of determination (R² = 0.247) indicates that a substantial share (75.3%) of the variance in surface temperature remains unexplained by the morphological indicators alone. This limitation is consistent with the multifactorial nature of the urban heat island phenomenon, which also depends on properties not integrated into this study, such as surface albedo and thermal admittance of materials, or the three-dimensional configuration of buildings (sky view factor).</w:t>
      </w:r>
    </w:p>
    <w:p>
      <w:pPr>
        <w:spacing w:after="200" w:line="300"/>
        <w:jc w:val="both"/>
      </w:pPr>
      <w:r>
        <w:rPr>
          <w:sz w:val="22"/>
          <w:szCs w:val="22"/>
        </w:rPr>
        <w:t xml:space="preserve">This level of R², although lower than that reported in some international studies using a broader set of variables (notably including surface albedo, soil moisture, or sky view factor), remains consistent with results obtained in comparable methodological configurations limited to morphological variables derived from vector reference layers alone. It nonetheless underlines the value of future model extensions incorporating complementary radiometric variables, such as surface albedo derived from Landsat's reflective bands, or the NDVI vegetation index mentioned in the perspectives (section 6.3), which could help account for part of the unexplained variance.</w:t>
      </w:r>
    </w:p>
    <w:p>
      <w:pPr>
        <w:spacing w:after="200" w:line="300"/>
        <w:jc w:val="both"/>
      </w:pPr>
      <w:r>
        <w:rPr>
          <w:sz w:val="22"/>
          <w:szCs w:val="22"/>
        </w:rPr>
        <w:t xml:space="preserve">It is also worth noting that the regression model, due to its linear nature, assumes an additive and constant relationship between each morphological indicator and surface temperature, independent of local spatial context. However, it is plausible that non-linear interactions exist between variables — for example, the cooling effect of vegetation could be more pronounced in areas with high surrounding building density than in already largely vegetated areas, due to a local thermal contrast effect. Exploring non-linear models or models including interaction terms would constitute a relevant methodological avenue for future work.</w:t>
      </w:r>
    </w:p>
    <w:p>
      <w:pPr>
        <w:pStyle w:val="Heading2"/>
        <w:spacing w:after="150" w:before="300"/>
      </w:pPr>
      <w:r>
        <w:t xml:space="preserve">5.3 Methodological limitations</w:t>
      </w:r>
    </w:p>
    <w:p>
      <w:pPr>
        <w:spacing w:after="200" w:line="300"/>
        <w:jc w:val="both"/>
      </w:pPr>
      <w:r>
        <w:rPr>
          <w:sz w:val="22"/>
          <w:szCs w:val="22"/>
        </w:rPr>
        <w:t xml:space="preserve">Two of the seven morphological parameters of the Stewart &amp; Oke (2012) framework were not integrated into this study: the sky view factor, which would require building a digital surface model (DSM) incorporating buildings and vegetation, unavailable within the reference layers used; and surface thermal admittance, which would require a correspondence table between construction materials and reference thermal admittance values, not built as part of this work.</w:t>
      </w:r>
    </w:p>
    <w:p>
      <w:pPr>
        <w:spacing w:after="200" w:line="300"/>
        <w:jc w:val="both"/>
      </w:pPr>
      <w:r>
        <w:rPr>
          <w:sz w:val="22"/>
          <w:szCs w:val="22"/>
        </w:rPr>
        <w:t xml:space="preserve">Furthermore, this study relies on a single observation date (16 August 2025), which does not allow verification of the temporal stability of the results obtained. Finally, the absence of a field validation campaign (in-situ measurements of air or surface temperature) constitutes a limitation for the independent validation of satellite-derived results, particularly for substantiating the SUHI/canopy divergence hypothesis put forward in section 5.1.</w:t>
      </w:r>
    </w:p>
    <w:p>
      <w:r>
        <w:br w:type="page"/>
      </w:r>
    </w:p>
    <w:p>
      <w:pPr>
        <w:pStyle w:val="Heading1"/>
        <w:spacing w:after="200" w:before="400"/>
      </w:pPr>
      <w:r>
        <w:t xml:space="preserve">6. Conclusion and perspectives</w:t>
      </w:r>
    </w:p>
    <w:p>
      <w:pPr>
        <w:pStyle w:val="Heading2"/>
        <w:spacing w:after="150" w:before="300"/>
      </w:pPr>
      <w:r>
        <w:t xml:space="preserve">6.1 Summary of contributions</w:t>
      </w:r>
    </w:p>
    <w:p>
      <w:pPr>
        <w:spacing w:after="200" w:line="300"/>
        <w:jc w:val="both"/>
      </w:pPr>
      <w:r>
        <w:rPr>
          <w:sz w:val="22"/>
          <w:szCs w:val="22"/>
        </w:rPr>
        <w:t xml:space="preserve">This study has mapped and characterized the urban heat island of the commune of Aix-en-Provence at a resolution of 30 metres, combining Landsat 8 satellite imagery with a Local Climate Zone (LCZ) classification following the Stewart &amp; Oke (2012) framework. The methodological approach integrated five of the seven morphological parameters of the reference theoretical framework, and statistically quantified their contribution to the spatial variability of surface temperature through a multiple linear regression model.</w:t>
      </w:r>
    </w:p>
    <w:p>
      <w:pPr>
        <w:spacing w:after="200" w:line="300"/>
        <w:jc w:val="both"/>
      </w:pPr>
      <w:r>
        <w:rPr>
          <w:sz w:val="22"/>
          <w:szCs w:val="22"/>
        </w:rPr>
        <w:t xml:space="preserve">The results highlight a thermal gradient consistent with urban morphological structure, with the LCZ 8 class showing the most pronounced heat island intensity (+2.90°C), while water surfaces and tree-covered areas exert the strongest cooling effect. A specific contribution of this study lies in the fine-scale analysis at 30 metres, which revealed the emergence of the LCZ 1 class and its surprisingly low surface thermal intensity, interpreted in light of the distinction between surface and canopy-layer urban heat islands.</w:t>
      </w:r>
    </w:p>
    <w:p>
      <w:pPr>
        <w:spacing w:after="200" w:line="300"/>
        <w:jc w:val="both"/>
      </w:pPr>
      <w:r>
        <w:rPr>
          <w:sz w:val="22"/>
          <w:szCs w:val="22"/>
        </w:rPr>
        <w:t xml:space="preserve">Beyond its scientific contribution, this study also offers potentially useful lessons for urban planning at the municipal scale. Precise identification of the LCZ classes most exposed to surface overheating, particularly flat-roofed commercial and industrial areas (LCZ 8), could guide targeted actions such as de-sealing, greening, or roof treatments (reflective coatings, green roofs) as part of local climate change adaptation strategies, such as those envisaged in municipal or inter-municipal urban planning documents.</w:t>
      </w:r>
    </w:p>
    <w:p>
      <w:pPr>
        <w:pStyle w:val="Heading2"/>
        <w:spacing w:after="150" w:before="300"/>
      </w:pPr>
      <w:r>
        <w:t xml:space="preserve">6.2 Limitations</w:t>
      </w:r>
    </w:p>
    <w:p>
      <w:pPr>
        <w:spacing w:after="200" w:line="300"/>
        <w:jc w:val="both"/>
      </w:pPr>
      <w:r>
        <w:rPr>
          <w:sz w:val="22"/>
          <w:szCs w:val="22"/>
        </w:rPr>
        <w:t xml:space="preserve">The main limitations of this study stem from the lack of integration of the sky view factor and surface thermal admittance, the use of a single observation date, and the absence of a field validation campaign, all of which restrict the temporal and physical generalizability of the results obtained.</w:t>
      </w:r>
    </w:p>
    <w:p>
      <w:pPr>
        <w:pStyle w:val="Heading2"/>
        <w:spacing w:after="150" w:before="300"/>
      </w:pPr>
      <w:r>
        <w:t xml:space="preserve">6.3 Perspectives</w:t>
      </w:r>
    </w:p>
    <w:p>
      <w:pPr>
        <w:spacing w:after="200" w:line="300"/>
        <w:jc w:val="both"/>
      </w:pPr>
      <w:r>
        <w:rPr>
          <w:sz w:val="22"/>
          <w:szCs w:val="22"/>
        </w:rPr>
        <w:t xml:space="preserve">Several avenues could strengthen and enrich the results of this study:</w:t>
      </w:r>
    </w:p>
    <w:p>
      <w:pPr>
        <w:pStyle w:val="ListParagraph"/>
        <w:numPr>
          <w:ilvl w:val="0"/>
          <w:numId w:val="3"/>
        </w:numPr>
        <w:spacing w:after="100"/>
      </w:pPr>
      <w:r>
        <w:rPr>
          <w:sz w:val="22"/>
          <w:szCs w:val="22"/>
        </w:rPr>
        <w:t xml:space="preserve">Computing a vegetation index (NDVI) from Sentinel-2 imagery, allowing continuous characterization of vegetation vigour;</w:t>
      </w:r>
    </w:p>
    <w:p>
      <w:pPr>
        <w:pStyle w:val="ListParagraph"/>
        <w:numPr>
          <w:ilvl w:val="0"/>
          <w:numId w:val="3"/>
        </w:numPr>
        <w:spacing w:after="100"/>
      </w:pPr>
      <w:r>
        <w:rPr>
          <w:sz w:val="22"/>
          <w:szCs w:val="22"/>
        </w:rPr>
        <w:t xml:space="preserve">Analysing a second observation date, to assess the temporal robustness of the identified heat island pattern;</w:t>
      </w:r>
    </w:p>
    <w:p>
      <w:pPr>
        <w:pStyle w:val="ListParagraph"/>
        <w:numPr>
          <w:ilvl w:val="0"/>
          <w:numId w:val="3"/>
        </w:numPr>
        <w:spacing w:after="100"/>
      </w:pPr>
      <w:r>
        <w:rPr>
          <w:sz w:val="22"/>
          <w:szCs w:val="22"/>
        </w:rPr>
        <w:t xml:space="preserve">Implementing a field validation campaign (mobile transects or fixed sensors), the only approach allowing direct measurement of the canopy-layer urban heat island;</w:t>
      </w:r>
    </w:p>
    <w:p>
      <w:pPr>
        <w:pStyle w:val="ListParagraph"/>
        <w:numPr>
          <w:ilvl w:val="0"/>
          <w:numId w:val="3"/>
        </w:numPr>
        <w:spacing w:after="200"/>
      </w:pPr>
      <w:r>
        <w:rPr>
          <w:sz w:val="22"/>
          <w:szCs w:val="22"/>
        </w:rPr>
        <w:t xml:space="preserve">Integrating the sky view factor, based on building a digital surface model, to complete the framework of the seven Stewart &amp; Oke parameters.</w:t>
      </w:r>
    </w:p>
    <w:p>
      <w:r>
        <w:br w:type="page"/>
      </w:r>
    </w:p>
    <w:p>
      <w:pPr>
        <w:pStyle w:val="Heading1"/>
        <w:spacing w:after="200" w:before="400"/>
      </w:pPr>
      <w:r>
        <w:t xml:space="preserve">References</w:t>
      </w:r>
    </w:p>
    <w:p>
      <w:pPr>
        <w:spacing w:after="200" w:line="276"/>
        <w:ind w:left="400" w:hanging="400"/>
      </w:pPr>
      <w:r>
        <w:rPr>
          <w:sz w:val="22"/>
          <w:szCs w:val="22"/>
        </w:rPr>
        <w:t xml:space="preserve">Grimmond, C. S. B., &amp; Oke, T. R. (1999). Aerodynamic properties of urban areas derived from analysis of surface form. Journal of Applied Meteorology, 38(9), 1262–1292.</w:t>
      </w:r>
    </w:p>
    <w:p>
      <w:pPr>
        <w:spacing w:after="200" w:line="276"/>
        <w:ind w:left="400" w:hanging="400"/>
      </w:pPr>
      <w:r>
        <w:rPr>
          <w:sz w:val="22"/>
          <w:szCs w:val="22"/>
        </w:rPr>
        <w:t xml:space="preserve">Oke, T. R. (1982). The energetic basis of the urban heat island. Quarterly Journal of the Royal Meteorological Society, 108(455), 1–24.</w:t>
      </w:r>
    </w:p>
    <w:p>
      <w:pPr>
        <w:spacing w:after="200" w:line="276"/>
        <w:ind w:left="400" w:hanging="400"/>
      </w:pPr>
      <w:r>
        <w:rPr>
          <w:sz w:val="22"/>
          <w:szCs w:val="22"/>
        </w:rPr>
        <w:t xml:space="preserve">Oke, T. R., Mills, G., Christen, A., &amp; Voogt, J. A. (2017). Urban Climates. Cambridge University Press.</w:t>
      </w:r>
    </w:p>
    <w:p>
      <w:pPr>
        <w:spacing w:after="200" w:line="276"/>
        <w:ind w:left="400" w:hanging="400"/>
      </w:pPr>
      <w:r>
        <w:rPr>
          <w:sz w:val="22"/>
          <w:szCs w:val="22"/>
        </w:rPr>
        <w:t xml:space="preserve">Stewart, I. D., &amp; Oke, T. R. (2012). Local climate zones for urban temperature studies. Bulletin of the American Meteorological Society, 93(12), 1879–1900.</w:t>
      </w:r>
    </w:p>
    <w:p>
      <w:pPr>
        <w:spacing w:after="200" w:line="276"/>
        <w:ind w:left="400" w:hanging="400"/>
      </w:pPr>
      <w:r>
        <w:rPr>
          <w:sz w:val="22"/>
          <w:szCs w:val="22"/>
        </w:rPr>
        <w:t xml:space="preserve">U.S. Geological Survey (USGS). (2021). Landsat 8 Collection 2 (C2) Level-2 Science Product Guide. United States Department of the Interior.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UHI Aix-en-Provence — LCZ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2026-08-30T21:34:23.969Z</dcterms:created>
  <dcterms:modified xsi:type="dcterms:W3CDTF">2026-08-30T21:34:23.971Z</dcterms:modified>
</cp:coreProperties>
</file>

<file path=docProps/custom.xml><?xml version="1.0" encoding="utf-8"?>
<Properties xmlns="http://schemas.openxmlformats.org/officeDocument/2006/custom-properties" xmlns:vt="http://schemas.openxmlformats.org/officeDocument/2006/docPropsVTypes"/>
</file>