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Breed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Reference</w:t>
            </w:r>
          </w:p>
        </w:tc>
      </w:tr>
      <w:tr>
        <w:tc>
          <w:tcPr>
            <w:tcW w:type="dxa" w:w="2880"/>
          </w:tcPr>
          <w:p>
            <w:r>
              <w:t>Mature weight (bull)</w:t>
            </w:r>
          </w:p>
        </w:tc>
        <w:tc>
          <w:tcPr>
            <w:tcW w:type="dxa" w:w="2880"/>
          </w:tcPr>
          <w:p>
            <w:r>
              <w:t>≈ 500 kg</w:t>
            </w:r>
          </w:p>
        </w:tc>
        <w:tc>
          <w:tcPr>
            <w:tcW w:type="dxa" w:w="2880"/>
          </w:tcPr>
          <w:p>
            <w:r>
              <w:t>Sam (2022)</w:t>
            </w:r>
          </w:p>
        </w:tc>
      </w:tr>
      <w:tr>
        <w:tc>
          <w:tcPr>
            <w:tcW w:type="dxa" w:w="2880"/>
          </w:tcPr>
          <w:p>
            <w:r>
              <w:t>Mature weight (cow)</w:t>
            </w:r>
          </w:p>
        </w:tc>
        <w:tc>
          <w:tcPr>
            <w:tcW w:type="dxa" w:w="2880"/>
          </w:tcPr>
          <w:p>
            <w:r>
              <w:t>≈ 325 kg</w:t>
            </w:r>
          </w:p>
        </w:tc>
        <w:tc>
          <w:tcPr>
            <w:tcW w:type="dxa" w:w="2880"/>
          </w:tcPr>
          <w:p>
            <w:r>
              <w:t>Sam (2022)</w:t>
            </w:r>
          </w:p>
        </w:tc>
      </w:tr>
      <w:tr>
        <w:tc>
          <w:tcPr>
            <w:tcW w:type="dxa" w:w="2880"/>
          </w:tcPr>
          <w:p>
            <w:r>
              <w:t>Primary uses</w:t>
            </w:r>
          </w:p>
        </w:tc>
        <w:tc>
          <w:tcPr>
            <w:tcW w:type="dxa" w:w="2880"/>
          </w:tcPr>
          <w:p>
            <w:r>
              <w:t>Meat, milk, draught</w:t>
            </w:r>
          </w:p>
        </w:tc>
        <w:tc>
          <w:tcPr>
            <w:tcW w:type="dxa" w:w="2880"/>
          </w:tcPr>
          <w:p>
            <w:r>
              <w:t>Tawah &amp; Rege (2021)</w:t>
            </w:r>
          </w:p>
        </w:tc>
      </w:tr>
      <w:tr>
        <w:tc>
          <w:tcPr>
            <w:tcW w:type="dxa" w:w="2880"/>
          </w:tcPr>
          <w:p>
            <w:r>
              <w:t>Horn length</w:t>
            </w:r>
          </w:p>
        </w:tc>
        <w:tc>
          <w:tcPr>
            <w:tcW w:type="dxa" w:w="2880"/>
          </w:tcPr>
          <w:p>
            <w:r>
              <w:t>80–105 cm</w:t>
            </w:r>
          </w:p>
        </w:tc>
        <w:tc>
          <w:tcPr>
            <w:tcW w:type="dxa" w:w="2880"/>
          </w:tcPr>
          <w:p>
            <w:r>
              <w:t>Yakubu et al. (2019)</w:t>
            </w:r>
          </w:p>
        </w:tc>
      </w:tr>
      <w:tr>
        <w:tc>
          <w:tcPr>
            <w:tcW w:type="dxa" w:w="2880"/>
          </w:tcPr>
          <w:p>
            <w:r>
              <w:t>Genetic heterozygosity</w:t>
            </w:r>
          </w:p>
        </w:tc>
        <w:tc>
          <w:tcPr>
            <w:tcW w:type="dxa" w:w="2880"/>
          </w:tcPr>
          <w:p>
            <w:r>
              <w:t>&gt; 70 %</w:t>
            </w:r>
          </w:p>
        </w:tc>
        <w:tc>
          <w:tcPr>
            <w:tcW w:type="dxa" w:w="2880"/>
          </w:tcPr>
          <w:p>
            <w:r>
              <w:t>Yousuf et al. (2020)</w:t>
            </w:r>
          </w:p>
        </w:tc>
      </w:tr>
      <w:tr>
        <w:tc>
          <w:tcPr>
            <w:tcW w:type="dxa" w:w="2880"/>
          </w:tcPr>
          <w:p>
            <w:r>
              <w:t>Heat tolerance</w:t>
            </w:r>
          </w:p>
        </w:tc>
        <w:tc>
          <w:tcPr>
            <w:tcW w:type="dxa" w:w="2880"/>
          </w:tcPr>
          <w:p>
            <w:r>
              <w:t>Superior to taurine breeds</w:t>
            </w:r>
          </w:p>
        </w:tc>
        <w:tc>
          <w:tcPr>
            <w:tcW w:type="dxa" w:w="2880"/>
          </w:tcPr>
          <w:p>
            <w:r>
              <w:t>Yousuf et al. (2020)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