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BE193" w14:textId="29456C33" w:rsidR="00227645" w:rsidRPr="000041BB" w:rsidRDefault="00AA22DB" w:rsidP="000041BB">
      <w:pPr>
        <w:shd w:val="clear" w:color="auto" w:fill="FFFFFF"/>
        <w:spacing w:after="0" w:line="324" w:lineRule="auto"/>
        <w:jc w:val="right"/>
        <w:rPr>
          <w:rFonts w:ascii="Times New Roman" w:eastAsia="Times New Roman" w:hAnsi="Times New Roman" w:cs="Times New Roman"/>
          <w:bCs/>
          <w:i/>
          <w:lang w:eastAsia="es-AR"/>
        </w:rPr>
      </w:pPr>
      <w:r>
        <w:rPr>
          <w:rFonts w:ascii="Times New Roman" w:eastAsia="Times New Roman" w:hAnsi="Times New Roman" w:cs="Times New Roman"/>
          <w:bCs/>
          <w:i/>
          <w:lang w:eastAsia="es-AR"/>
        </w:rPr>
        <w:t>Río Tercero, 07</w:t>
      </w:r>
      <w:r w:rsidR="00227645" w:rsidRPr="000041BB">
        <w:rPr>
          <w:rFonts w:ascii="Times New Roman" w:eastAsia="Times New Roman" w:hAnsi="Times New Roman" w:cs="Times New Roman"/>
          <w:bCs/>
          <w:i/>
          <w:lang w:eastAsia="es-AR"/>
        </w:rPr>
        <w:t xml:space="preserve"> de </w:t>
      </w:r>
      <w:r>
        <w:rPr>
          <w:rFonts w:ascii="Times New Roman" w:eastAsia="Times New Roman" w:hAnsi="Times New Roman" w:cs="Times New Roman"/>
          <w:bCs/>
          <w:i/>
          <w:lang w:eastAsia="es-AR"/>
        </w:rPr>
        <w:t>julio</w:t>
      </w:r>
      <w:r w:rsidR="00227645" w:rsidRPr="000041BB">
        <w:rPr>
          <w:rFonts w:ascii="Times New Roman" w:eastAsia="Times New Roman" w:hAnsi="Times New Roman" w:cs="Times New Roman"/>
          <w:bCs/>
          <w:i/>
          <w:lang w:eastAsia="es-AR"/>
        </w:rPr>
        <w:t xml:space="preserve"> de 2021</w:t>
      </w:r>
    </w:p>
    <w:p w14:paraId="18ADE7BB" w14:textId="5980AF93" w:rsidR="00AE350D" w:rsidRPr="000041BB" w:rsidRDefault="000041BB" w:rsidP="000041BB">
      <w:pPr>
        <w:shd w:val="clear" w:color="auto" w:fill="FFFFFF"/>
        <w:spacing w:before="360" w:after="360" w:line="324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</w:pP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PROYECTO DE ORDENANZA</w:t>
      </w:r>
    </w:p>
    <w:p w14:paraId="0FD52895" w14:textId="635C587B" w:rsidR="000041BB" w:rsidRPr="000041BB" w:rsidRDefault="000041BB" w:rsidP="000041BB">
      <w:pPr>
        <w:shd w:val="clear" w:color="auto" w:fill="FFFFFF"/>
        <w:spacing w:before="360" w:after="360" w:line="324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s-AR"/>
        </w:rPr>
      </w:pPr>
      <w:r w:rsidRPr="000041BB">
        <w:rPr>
          <w:rFonts w:ascii="Times New Roman" w:hAnsi="Times New Roman" w:cs="Times New Roman"/>
          <w:b/>
          <w:i/>
          <w:sz w:val="24"/>
          <w:szCs w:val="24"/>
        </w:rPr>
        <w:t>Programa Municipal de Capacitación en Técnicas de Reanimación Cardiopulmonar Básicas (RCP) y manejo de Desfibrilador Externo Automático (DEA)</w:t>
      </w:r>
    </w:p>
    <w:p w14:paraId="2F0E260C" w14:textId="3F037446" w:rsidR="00227645" w:rsidRPr="000041BB" w:rsidRDefault="00227645" w:rsidP="000041BB">
      <w:pPr>
        <w:shd w:val="clear" w:color="auto" w:fill="FFFFFF"/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VISTO</w:t>
      </w:r>
      <w:r w:rsidRPr="000041BB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: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Lo establecido por la Ley Nacional 28</w:t>
      </w:r>
      <w:r w:rsidR="000041BB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.635 sobre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prom</w:t>
      </w:r>
      <w:bookmarkStart w:id="0" w:name="_GoBack"/>
      <w:bookmarkEnd w:id="0"/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oción y capacitación en las técnicas de Reanimación Cardiopulmonar (RCP) básicas y la Ley Provincial sobre la enseñanza de Reanimación Cardiorrespirat</w:t>
      </w:r>
      <w:r w:rsidR="000041BB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oria </w:t>
      </w:r>
      <w:proofErr w:type="spellStart"/>
      <w:r w:rsidR="000041BB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intra</w:t>
      </w:r>
      <w:proofErr w:type="spellEnd"/>
      <w:r w:rsidR="000041BB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extra </w:t>
      </w:r>
      <w:proofErr w:type="spellStart"/>
      <w:r w:rsidR="000041BB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hospitalariA</w:t>
      </w:r>
      <w:proofErr w:type="spellEnd"/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C19B502" w14:textId="77777777" w:rsidR="000041BB" w:rsidRPr="000041BB" w:rsidRDefault="00227645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 xml:space="preserve">Y </w:t>
      </w:r>
      <w:r w:rsidR="00AE350D" w:rsidRPr="000041B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CONSIDERANDO</w:t>
      </w:r>
      <w:r w:rsidR="00AE350D" w:rsidRPr="000041BB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: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Q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ue según las estadísticas de la Organización Mundial de la Salud (OMS), las enfermedades cardiovasculares representan en la actualidad uno de los mayores problemas de salud pública mundial.</w:t>
      </w:r>
    </w:p>
    <w:p w14:paraId="59483F30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Que la enfermedad cardiovascular es la primera causa de muerte en todo el mundo. En nuestro país, el paro cardiorrespiratorio produce entre 30.000 y 40.000 muertes al año. Esto representa alrededor de 4 muertes por hora.</w:t>
      </w:r>
    </w:p>
    <w:p w14:paraId="5B7581FF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sería de suma importancia capacitar y entrenar a </w:t>
      </w:r>
      <w:r w:rsidR="007132DF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población en las maniobras de RCP ya que no solo brinda el conocimiento necesario para reconocer estos tipos de ataques, sino que posibilita enfrentar situaciones de sofocación, atragantamientos</w:t>
      </w:r>
      <w:r w:rsidR="00227645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, etcétera.</w:t>
      </w:r>
    </w:p>
    <w:p w14:paraId="63F2F774" w14:textId="77777777" w:rsid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227645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Que es importante que el Municipio organice cursos de capacitación en conjunto con instituciones intermedias a los fines de que colaboren con el accionar municipal y permitan una mejor tarea.</w:t>
      </w:r>
    </w:p>
    <w:p w14:paraId="3C226097" w14:textId="5C11717A" w:rsidR="00B60B54" w:rsidRPr="000041BB" w:rsidRDefault="00B60B54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Que en el país se realizan constantemente campañas de concientización sobre la temática, en especial las que abogan por la reglamentación de la ley </w:t>
      </w:r>
      <w:r w:rsidRPr="00B60B54">
        <w:rPr>
          <w:rFonts w:ascii="Times New Roman" w:eastAsia="Times New Roman" w:hAnsi="Times New Roman" w:cs="Times New Roman"/>
          <w:sz w:val="24"/>
          <w:szCs w:val="24"/>
          <w:lang w:eastAsia="es-AR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B60B54">
        <w:rPr>
          <w:rFonts w:ascii="Times New Roman" w:eastAsia="Times New Roman" w:hAnsi="Times New Roman" w:cs="Times New Roman"/>
          <w:sz w:val="24"/>
          <w:szCs w:val="24"/>
          <w:lang w:eastAsia="es-AR"/>
        </w:rPr>
        <w:t>159 de Muerte Súbita y Sistema de Prevención Integral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 habiendo declarado este cuerpo</w:t>
      </w:r>
      <w:r w:rsidRPr="00B60B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interés municipal, sanitario y comunitario a las Segundas J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ornadas Nacionales de RCP, realizadas en el mes de febrero por la agrupación “</w:t>
      </w:r>
      <w:r w:rsidRPr="00B60B54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>Argentina Reanima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”.</w:t>
      </w:r>
    </w:p>
    <w:p w14:paraId="7482CBDA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Que l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a muerte súbita, tal como se denomina a la situación que produce el fallecimiento de la víctima en forma inesperada, es causada -en un 90% a 95% de lo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s casos- por un ataque cardíaco y el porcentaje restante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tiene su origen en una multiplicidad de causas también frecuentes, tales como asfixia, intoxicación por gases tóxicos, electrocución, sobredosis de droga, traumatismos, accidentes cerebro-vasculares, atragantam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iento, ahogo por inmersión, etcétera.</w:t>
      </w:r>
    </w:p>
    <w:p w14:paraId="03DBAF56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ab/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La emergencia que surge de un paro cardiorrespiratorio es tal que, por cada minuto que un paciente transcurre sin atención, disminuye un 10% su posibilidad de sobrevida. En esta situación, entre 3 y 5 minutos después de producido el paro, comienza la muerte cerebral.</w:t>
      </w:r>
    </w:p>
    <w:p w14:paraId="4ACC8D90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Que p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or estas razones, la aplicación inmediata de técnicas de reanimación cardiopulmonar resulta fundamental hasta el arribo del auxilio de emergencia médica especializada, que realiza entonces resucitación cardiopulmonar avanzada y </w:t>
      </w:r>
      <w:proofErr w:type="spellStart"/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cardiodefibrilación</w:t>
      </w:r>
      <w:proofErr w:type="spellEnd"/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627548B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Está demostrado que la reanimación cardiopulmonar precoz y efectiva aumenta entre 2 y 3 veces la posibilidad de sobrevida de una víctima de paro cardíaco y sólo puede ser realizada por la persona que se encuentra circunstancialmente próxima a la víctima.</w:t>
      </w:r>
    </w:p>
    <w:p w14:paraId="5A344887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Que entendemos que la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instrucción en técnicas de RCP es una acción solidaria, cultural, simple y económica.</w:t>
      </w:r>
    </w:p>
    <w:p w14:paraId="1C918E12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Que en nuestra ciudad se ha avanzado en cursos de RCP en el ámbito de</w:t>
      </w:r>
      <w:r w:rsidR="00256FE9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algunos deportes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entre otros, promovido por la Liga </w:t>
      </w:r>
      <w:r w:rsidR="00256FE9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Riotercerense 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de Futbol, siendo obligatorio para todos los técnicos y ayudantes de campos que ingresen a un campo de juego.</w:t>
      </w:r>
    </w:p>
    <w:p w14:paraId="730A6AF9" w14:textId="77777777" w:rsidR="000041BB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es indudable la cantidad de </w:t>
      </w:r>
      <w:r w:rsidR="00256FE9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muertes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podrían evitar de generar co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nciencia ciudadana en este tema, constituyendo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responsabilidad de su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población ser partícipe de capacitaciones</w:t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, siendo necesario generar herramientas de comunicación eficaces para incentivar a su realización, informando las bondades del mismo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9C705F9" w14:textId="0BD0F0B9" w:rsidR="00AE350D" w:rsidRPr="000041BB" w:rsidRDefault="000041BB" w:rsidP="000041BB">
      <w:pPr>
        <w:shd w:val="clear" w:color="auto" w:fill="FFFFFF"/>
        <w:tabs>
          <w:tab w:val="left" w:pos="2410"/>
        </w:tabs>
        <w:spacing w:before="120" w:after="12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AE350D"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>Que es de suma importancia hacer extensivo la invitación a adherir a las diferentes reparticiones públicas Provinciales y Nacionales,</w:t>
      </w: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así también a los clubes, gimnasios, centros de danza y demás instituciones intermedias.</w:t>
      </w:r>
    </w:p>
    <w:p w14:paraId="71F44723" w14:textId="03485855" w:rsidR="000041BB" w:rsidRPr="000041BB" w:rsidRDefault="000041BB" w:rsidP="000041BB">
      <w:pPr>
        <w:shd w:val="clear" w:color="auto" w:fill="FFFFFF"/>
        <w:tabs>
          <w:tab w:val="left" w:pos="1276"/>
        </w:tabs>
        <w:spacing w:before="120" w:after="240" w:line="32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Atento a ello;</w:t>
      </w:r>
    </w:p>
    <w:p w14:paraId="09716D74" w14:textId="2B276E54" w:rsidR="000041BB" w:rsidRPr="000041BB" w:rsidRDefault="000041BB" w:rsidP="000041BB">
      <w:pPr>
        <w:shd w:val="clear" w:color="auto" w:fill="FFFFFF"/>
        <w:tabs>
          <w:tab w:val="left" w:pos="1276"/>
        </w:tabs>
        <w:spacing w:before="360" w:after="360" w:line="324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0041BB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EL CONCEJO DELIBERANTE DE LA CIUDAD DE RÍO TERCERO SANCIONA CON FUERZA DE:</w:t>
      </w:r>
    </w:p>
    <w:p w14:paraId="333CE80A" w14:textId="0F225CB3" w:rsidR="00AE350D" w:rsidRPr="000041BB" w:rsidRDefault="00AE350D" w:rsidP="000041BB">
      <w:pPr>
        <w:shd w:val="clear" w:color="auto" w:fill="FFFFFF"/>
        <w:spacing w:before="360" w:after="360" w:line="32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O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R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D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E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N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A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N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Z</w:t>
      </w:r>
      <w:r w:rsidR="000041BB"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 xml:space="preserve"> </w:t>
      </w:r>
      <w:r w:rsidRPr="00004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A</w:t>
      </w:r>
    </w:p>
    <w:p w14:paraId="4B1DCF78" w14:textId="59D9BC26" w:rsidR="005519A8" w:rsidRPr="00227645" w:rsidRDefault="005519A8" w:rsidP="00227645">
      <w:pPr>
        <w:spacing w:before="120" w:after="120" w:line="324" w:lineRule="auto"/>
        <w:rPr>
          <w:rFonts w:ascii="Times New Roman" w:hAnsi="Times New Roman" w:cs="Times New Roman"/>
          <w:sz w:val="24"/>
          <w:szCs w:val="24"/>
        </w:rPr>
      </w:pPr>
      <w:r w:rsidRPr="00227645">
        <w:rPr>
          <w:rFonts w:ascii="Times New Roman" w:hAnsi="Times New Roman" w:cs="Times New Roman"/>
          <w:b/>
          <w:sz w:val="24"/>
          <w:szCs w:val="24"/>
          <w:u w:val="single"/>
        </w:rPr>
        <w:t>Art.1)-</w:t>
      </w:r>
      <w:r w:rsidRPr="00227645">
        <w:rPr>
          <w:rFonts w:ascii="Times New Roman" w:hAnsi="Times New Roman" w:cs="Times New Roman"/>
          <w:sz w:val="24"/>
          <w:szCs w:val="24"/>
        </w:rPr>
        <w:t xml:space="preserve"> Créase el</w:t>
      </w:r>
      <w:r w:rsidRPr="00227645">
        <w:rPr>
          <w:rFonts w:ascii="Times New Roman" w:hAnsi="Times New Roman" w:cs="Times New Roman"/>
          <w:b/>
          <w:i/>
          <w:sz w:val="24"/>
          <w:szCs w:val="24"/>
        </w:rPr>
        <w:t xml:space="preserve"> Programa Municipal de Capacitación en Técnicas de Reanimación Cardiopulmonar Básicas (RCP) y manejo de Desfibrilador Externo Automático (DEA)</w:t>
      </w:r>
      <w:r w:rsidRPr="00227645">
        <w:rPr>
          <w:rFonts w:ascii="Times New Roman" w:hAnsi="Times New Roman" w:cs="Times New Roman"/>
          <w:sz w:val="24"/>
          <w:szCs w:val="24"/>
        </w:rPr>
        <w:t>, con el ob</w:t>
      </w:r>
      <w:r w:rsidR="002B3F4C" w:rsidRPr="00227645">
        <w:rPr>
          <w:rFonts w:ascii="Times New Roman" w:hAnsi="Times New Roman" w:cs="Times New Roman"/>
          <w:sz w:val="24"/>
          <w:szCs w:val="24"/>
        </w:rPr>
        <w:t xml:space="preserve">jetivo de promover la enseñanza </w:t>
      </w:r>
      <w:r w:rsidRPr="00227645">
        <w:rPr>
          <w:rFonts w:ascii="Times New Roman" w:hAnsi="Times New Roman" w:cs="Times New Roman"/>
          <w:sz w:val="24"/>
          <w:szCs w:val="24"/>
        </w:rPr>
        <w:t xml:space="preserve">de maniobras de reanimación a diferentes actores </w:t>
      </w:r>
      <w:r w:rsidRPr="00227645">
        <w:rPr>
          <w:rFonts w:ascii="Times New Roman" w:hAnsi="Times New Roman" w:cs="Times New Roman"/>
          <w:sz w:val="24"/>
          <w:szCs w:val="24"/>
        </w:rPr>
        <w:lastRenderedPageBreak/>
        <w:t>sociales</w:t>
      </w:r>
      <w:r w:rsidR="002B3F4C" w:rsidRPr="00227645">
        <w:rPr>
          <w:rFonts w:ascii="Times New Roman" w:hAnsi="Times New Roman" w:cs="Times New Roman"/>
          <w:sz w:val="24"/>
          <w:szCs w:val="24"/>
        </w:rPr>
        <w:t xml:space="preserve">, de manera gratuita, </w:t>
      </w:r>
      <w:r w:rsidRPr="00227645">
        <w:rPr>
          <w:rFonts w:ascii="Times New Roman" w:hAnsi="Times New Roman" w:cs="Times New Roman"/>
          <w:sz w:val="24"/>
          <w:szCs w:val="24"/>
        </w:rPr>
        <w:t>que p</w:t>
      </w:r>
      <w:r w:rsidR="002B3F4C" w:rsidRPr="00227645">
        <w:rPr>
          <w:rFonts w:ascii="Times New Roman" w:hAnsi="Times New Roman" w:cs="Times New Roman"/>
          <w:sz w:val="24"/>
          <w:szCs w:val="24"/>
        </w:rPr>
        <w:t>ermitan una acción rápida que permita</w:t>
      </w:r>
      <w:r w:rsidRPr="00227645">
        <w:rPr>
          <w:rFonts w:ascii="Times New Roman" w:hAnsi="Times New Roman" w:cs="Times New Roman"/>
          <w:sz w:val="24"/>
          <w:szCs w:val="24"/>
        </w:rPr>
        <w:t xml:space="preserve"> extender la sobrevida de pacientes victimas de paro cardíaco. </w:t>
      </w:r>
    </w:p>
    <w:p w14:paraId="780C4644" w14:textId="11FFE708" w:rsidR="005519A8" w:rsidRPr="00227645" w:rsidRDefault="005519A8" w:rsidP="00227645">
      <w:pPr>
        <w:spacing w:before="120" w:after="0" w:line="324" w:lineRule="auto"/>
        <w:rPr>
          <w:rFonts w:ascii="Times New Roman" w:hAnsi="Times New Roman" w:cs="Times New Roman"/>
          <w:sz w:val="24"/>
          <w:szCs w:val="24"/>
        </w:rPr>
      </w:pPr>
      <w:r w:rsidRPr="00227645">
        <w:rPr>
          <w:rFonts w:ascii="Times New Roman" w:hAnsi="Times New Roman" w:cs="Times New Roman"/>
          <w:b/>
          <w:sz w:val="24"/>
          <w:szCs w:val="24"/>
          <w:u w:val="single"/>
        </w:rPr>
        <w:t>Art.2)-</w:t>
      </w:r>
      <w:r w:rsidR="002249C0" w:rsidRPr="00227645">
        <w:rPr>
          <w:rFonts w:ascii="Times New Roman" w:hAnsi="Times New Roman" w:cs="Times New Roman"/>
          <w:sz w:val="24"/>
          <w:szCs w:val="24"/>
        </w:rPr>
        <w:t xml:space="preserve"> </w:t>
      </w:r>
      <w:r w:rsidR="00517E4A" w:rsidRPr="00227645">
        <w:rPr>
          <w:rFonts w:ascii="Times New Roman" w:hAnsi="Times New Roman" w:cs="Times New Roman"/>
          <w:sz w:val="24"/>
          <w:szCs w:val="24"/>
          <w:u w:val="single"/>
        </w:rPr>
        <w:t>Órgano de Aplicación</w:t>
      </w:r>
      <w:r w:rsidR="00517E4A" w:rsidRPr="00227645">
        <w:rPr>
          <w:rFonts w:ascii="Times New Roman" w:hAnsi="Times New Roman" w:cs="Times New Roman"/>
          <w:sz w:val="24"/>
          <w:szCs w:val="24"/>
        </w:rPr>
        <w:t xml:space="preserve">. </w:t>
      </w:r>
      <w:r w:rsidRPr="00227645">
        <w:rPr>
          <w:rFonts w:ascii="Times New Roman" w:hAnsi="Times New Roman" w:cs="Times New Roman"/>
          <w:sz w:val="24"/>
          <w:szCs w:val="24"/>
        </w:rPr>
        <w:t>El órgano de aplicación de la presente ordenanza será la Secretaría de Salud con la asistencia de la Secretaría de Seguridad o las que en el futuro las reemplacen.</w:t>
      </w:r>
    </w:p>
    <w:p w14:paraId="57E2E3DC" w14:textId="5C3BCAAE" w:rsidR="005519A8" w:rsidRPr="00227645" w:rsidRDefault="005519A8" w:rsidP="00227645">
      <w:pPr>
        <w:spacing w:after="120" w:line="324" w:lineRule="auto"/>
        <w:rPr>
          <w:rFonts w:ascii="Times New Roman" w:hAnsi="Times New Roman" w:cs="Times New Roman"/>
          <w:sz w:val="24"/>
          <w:szCs w:val="24"/>
        </w:rPr>
      </w:pPr>
      <w:r w:rsidRPr="00227645">
        <w:rPr>
          <w:rFonts w:ascii="Times New Roman" w:hAnsi="Times New Roman" w:cs="Times New Roman"/>
          <w:sz w:val="24"/>
          <w:szCs w:val="24"/>
        </w:rPr>
        <w:t>Para asegurar los objetivos de la presente ordenanza</w:t>
      </w:r>
      <w:r w:rsidR="002249C0" w:rsidRPr="00227645">
        <w:rPr>
          <w:rFonts w:ascii="Times New Roman" w:hAnsi="Times New Roman" w:cs="Times New Roman"/>
          <w:sz w:val="24"/>
          <w:szCs w:val="24"/>
        </w:rPr>
        <w:t>,</w:t>
      </w:r>
      <w:r w:rsidRPr="00227645">
        <w:rPr>
          <w:rFonts w:ascii="Times New Roman" w:hAnsi="Times New Roman" w:cs="Times New Roman"/>
          <w:sz w:val="24"/>
          <w:szCs w:val="24"/>
        </w:rPr>
        <w:t xml:space="preserve"> el órgano de aplicación podrá realizar convenios con organizaciones no gubernamentales, particulares y con diferentes </w:t>
      </w:r>
      <w:r w:rsidR="002249C0" w:rsidRPr="00227645">
        <w:rPr>
          <w:rFonts w:ascii="Times New Roman" w:hAnsi="Times New Roman" w:cs="Times New Roman"/>
          <w:sz w:val="24"/>
          <w:szCs w:val="24"/>
        </w:rPr>
        <w:t>órganos y niveles del gobierno.</w:t>
      </w:r>
    </w:p>
    <w:p w14:paraId="1CF68770" w14:textId="2E862A27" w:rsidR="00517E4A" w:rsidRPr="00227645" w:rsidRDefault="002804FA" w:rsidP="00227645">
      <w:pPr>
        <w:spacing w:before="120" w:after="0" w:line="324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7645">
        <w:rPr>
          <w:rFonts w:ascii="Times New Roman" w:hAnsi="Times New Roman" w:cs="Times New Roman"/>
          <w:b/>
          <w:sz w:val="24"/>
          <w:szCs w:val="24"/>
          <w:u w:val="single"/>
        </w:rPr>
        <w:t>Art.3°)-</w:t>
      </w:r>
      <w:r w:rsidR="00517E4A" w:rsidRPr="00227645">
        <w:rPr>
          <w:rFonts w:ascii="Times New Roman" w:hAnsi="Times New Roman" w:cs="Times New Roman"/>
          <w:sz w:val="24"/>
          <w:szCs w:val="24"/>
        </w:rPr>
        <w:t xml:space="preserve"> </w:t>
      </w:r>
      <w:r w:rsidR="00227645">
        <w:rPr>
          <w:rFonts w:ascii="Times New Roman" w:hAnsi="Times New Roman" w:cs="Times New Roman"/>
          <w:sz w:val="24"/>
          <w:szCs w:val="24"/>
          <w:u w:val="single"/>
        </w:rPr>
        <w:t>Contenido</w:t>
      </w:r>
      <w:r w:rsidR="00517E4A" w:rsidRPr="00227645">
        <w:rPr>
          <w:rFonts w:ascii="Times New Roman" w:hAnsi="Times New Roman" w:cs="Times New Roman"/>
          <w:sz w:val="24"/>
          <w:szCs w:val="24"/>
        </w:rPr>
        <w:t xml:space="preserve">. El Programa deberá arbitrar los </w:t>
      </w:r>
      <w:r w:rsidR="00517E4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medios necesarios para la individualización de los destinatarios de la presente ordenanza, su capacitación, seguimiento y control, como así también la organización de campañas de concientización masivas respecto de las ventajas de adquirir los conocimientos básicos para efectuar las prácticas de resucitación cardiopulmonar.</w:t>
      </w:r>
    </w:p>
    <w:p w14:paraId="2355C371" w14:textId="4C4DE308" w:rsidR="002804FA" w:rsidRPr="00227645" w:rsidRDefault="00517E4A" w:rsidP="00227645">
      <w:pPr>
        <w:spacing w:after="120" w:line="324" w:lineRule="auto"/>
        <w:rPr>
          <w:rFonts w:ascii="Times New Roman" w:hAnsi="Times New Roman" w:cs="Times New Roman"/>
          <w:sz w:val="24"/>
          <w:szCs w:val="24"/>
        </w:rPr>
      </w:pPr>
      <w:r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Para lograr la capacitación el programa deberá ofrecer cursos que impartan básicamente los conocimientos teórico-prácticos sobre maniobras de resucitación a través de profesionales o personal capacitado en la materia. El órgano de aplicación seleccionará el personal adecuado según el público al cual se destine y determinará lugar y fecha para su dictado.</w:t>
      </w:r>
    </w:p>
    <w:p w14:paraId="3462C719" w14:textId="1BDF3102" w:rsidR="002804FA" w:rsidRPr="00227645" w:rsidRDefault="002804FA" w:rsidP="00B60B54">
      <w:pPr>
        <w:spacing w:before="240" w:after="240" w:line="324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7645">
        <w:rPr>
          <w:rFonts w:ascii="Times New Roman" w:hAnsi="Times New Roman" w:cs="Times New Roman"/>
          <w:b/>
          <w:sz w:val="24"/>
          <w:szCs w:val="24"/>
          <w:u w:val="single"/>
        </w:rPr>
        <w:t>De</w:t>
      </w:r>
      <w:r w:rsidR="00517E4A" w:rsidRPr="00227645">
        <w:rPr>
          <w:rFonts w:ascii="Times New Roman" w:hAnsi="Times New Roman" w:cs="Times New Roman"/>
          <w:b/>
          <w:sz w:val="24"/>
          <w:szCs w:val="24"/>
          <w:u w:val="single"/>
        </w:rPr>
        <w:t>stinatarios</w:t>
      </w:r>
    </w:p>
    <w:p w14:paraId="481BE28F" w14:textId="5029DF4F" w:rsidR="000869F9" w:rsidRPr="00227645" w:rsidRDefault="00227645" w:rsidP="00227645">
      <w:pPr>
        <w:pStyle w:val="Prrafodelista"/>
        <w:spacing w:before="120" w:after="0" w:line="324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Art.4</w:t>
      </w:r>
      <w:r w:rsidR="000869F9" w:rsidRPr="00227645">
        <w:rPr>
          <w:rFonts w:ascii="Times New Roman" w:hAnsi="Times New Roman" w:cs="Times New Roman"/>
          <w:b/>
          <w:sz w:val="24"/>
          <w:szCs w:val="24"/>
          <w:u w:val="single"/>
        </w:rPr>
        <w:t>°)-</w:t>
      </w:r>
      <w:r w:rsidR="000869F9" w:rsidRPr="00227645">
        <w:rPr>
          <w:rFonts w:ascii="Times New Roman" w:hAnsi="Times New Roman" w:cs="Times New Roman"/>
          <w:sz w:val="24"/>
          <w:szCs w:val="24"/>
        </w:rPr>
        <w:t xml:space="preserve"> </w:t>
      </w:r>
      <w:r w:rsidR="000869F9" w:rsidRPr="00227645">
        <w:rPr>
          <w:rFonts w:ascii="Times New Roman" w:hAnsi="Times New Roman" w:cs="Times New Roman"/>
          <w:sz w:val="24"/>
          <w:szCs w:val="24"/>
          <w:u w:val="single"/>
        </w:rPr>
        <w:t>Personal Municipal</w:t>
      </w:r>
      <w:r w:rsidR="000869F9" w:rsidRPr="00227645">
        <w:rPr>
          <w:rFonts w:ascii="Times New Roman" w:hAnsi="Times New Roman" w:cs="Times New Roman"/>
          <w:sz w:val="24"/>
          <w:szCs w:val="24"/>
        </w:rPr>
        <w:t xml:space="preserve">. </w:t>
      </w:r>
      <w:r w:rsidR="002804FA" w:rsidRPr="00227645">
        <w:rPr>
          <w:rFonts w:ascii="Times New Roman" w:hAnsi="Times New Roman" w:cs="Times New Roman"/>
          <w:sz w:val="24"/>
          <w:szCs w:val="24"/>
        </w:rPr>
        <w:t>E</w:t>
      </w:r>
      <w:r w:rsidR="000869F9" w:rsidRPr="00227645">
        <w:rPr>
          <w:rFonts w:ascii="Times New Roman" w:hAnsi="Times New Roman" w:cs="Times New Roman"/>
          <w:sz w:val="24"/>
          <w:szCs w:val="24"/>
        </w:rPr>
        <w:t xml:space="preserve">l personal municipal, cualquiera fuere su modalidad de contratación y </w:t>
      </w:r>
      <w:r w:rsidR="002804FA" w:rsidRPr="00227645">
        <w:rPr>
          <w:rFonts w:ascii="Times New Roman" w:hAnsi="Times New Roman" w:cs="Times New Roman"/>
          <w:sz w:val="24"/>
          <w:szCs w:val="24"/>
        </w:rPr>
        <w:t>órgano en el que se desempeñe</w:t>
      </w:r>
      <w:r w:rsidR="000869F9" w:rsidRPr="00227645">
        <w:rPr>
          <w:rFonts w:ascii="Times New Roman" w:hAnsi="Times New Roman" w:cs="Times New Roman"/>
          <w:sz w:val="24"/>
          <w:szCs w:val="24"/>
        </w:rPr>
        <w:t>, incluyendo al personal de planta política, ya sean cargos de designación o electivos</w:t>
      </w:r>
      <w:r w:rsidR="002804FA" w:rsidRPr="00227645">
        <w:rPr>
          <w:rFonts w:ascii="Times New Roman" w:hAnsi="Times New Roman" w:cs="Times New Roman"/>
          <w:sz w:val="24"/>
          <w:szCs w:val="24"/>
        </w:rPr>
        <w:t xml:space="preserve"> deberá</w:t>
      </w:r>
      <w:r w:rsidR="00517E4A" w:rsidRPr="00227645">
        <w:rPr>
          <w:rFonts w:ascii="Times New Roman" w:hAnsi="Times New Roman" w:cs="Times New Roman"/>
          <w:sz w:val="24"/>
          <w:szCs w:val="24"/>
        </w:rPr>
        <w:t>n</w:t>
      </w:r>
      <w:r w:rsidR="002804FA" w:rsidRPr="00227645">
        <w:rPr>
          <w:rFonts w:ascii="Times New Roman" w:hAnsi="Times New Roman" w:cs="Times New Roman"/>
          <w:sz w:val="24"/>
          <w:szCs w:val="24"/>
        </w:rPr>
        <w:t xml:space="preserve"> </w:t>
      </w:r>
      <w:r w:rsidR="00517E4A" w:rsidRPr="00227645">
        <w:rPr>
          <w:rFonts w:ascii="Times New Roman" w:hAnsi="Times New Roman" w:cs="Times New Roman"/>
          <w:sz w:val="24"/>
          <w:szCs w:val="24"/>
        </w:rPr>
        <w:t>recibir</w:t>
      </w:r>
      <w:r w:rsidR="002804FA" w:rsidRPr="00227645">
        <w:rPr>
          <w:rFonts w:ascii="Times New Roman" w:hAnsi="Times New Roman" w:cs="Times New Roman"/>
          <w:sz w:val="24"/>
          <w:szCs w:val="24"/>
        </w:rPr>
        <w:t xml:space="preserve"> capacitación en técnicas de RCP y manejo de DEA</w:t>
      </w:r>
      <w:r w:rsidR="00517E4A" w:rsidRPr="00227645">
        <w:rPr>
          <w:rFonts w:ascii="Times New Roman" w:hAnsi="Times New Roman" w:cs="Times New Roman"/>
          <w:sz w:val="24"/>
          <w:szCs w:val="24"/>
        </w:rPr>
        <w:t xml:space="preserve"> de forma obligatoria</w:t>
      </w:r>
      <w:r w:rsidR="002804FA" w:rsidRPr="00227645">
        <w:rPr>
          <w:rFonts w:ascii="Times New Roman" w:hAnsi="Times New Roman" w:cs="Times New Roman"/>
          <w:sz w:val="24"/>
          <w:szCs w:val="24"/>
        </w:rPr>
        <w:t>. Será considerado personal prioritario para recibir la capacitación</w:t>
      </w:r>
      <w:r w:rsidR="000869F9" w:rsidRPr="00227645">
        <w:rPr>
          <w:rFonts w:ascii="Times New Roman" w:hAnsi="Times New Roman" w:cs="Times New Roman"/>
          <w:sz w:val="24"/>
          <w:szCs w:val="24"/>
        </w:rPr>
        <w:t>: inspectores dependientes del área de tránsito; miembros de Defensa Civil; quienes trabajan en atención al público; y personal de salud.</w:t>
      </w:r>
    </w:p>
    <w:p w14:paraId="5626F20D" w14:textId="088C322B" w:rsidR="00517E4A" w:rsidRPr="00227645" w:rsidRDefault="00517E4A" w:rsidP="00227645">
      <w:pPr>
        <w:pStyle w:val="Prrafodelista"/>
        <w:spacing w:after="120" w:line="324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27645">
        <w:rPr>
          <w:rFonts w:ascii="Times New Roman" w:hAnsi="Times New Roman" w:cs="Times New Roman"/>
          <w:sz w:val="24"/>
          <w:szCs w:val="24"/>
        </w:rPr>
        <w:t>A los fines del cumplimiento del presente artículo, el órgano de aplicación deberá lograr acuerdo con los gremios que representan al personal municipal para facilitar la tarea de brindar las capacitaciones.</w:t>
      </w:r>
    </w:p>
    <w:p w14:paraId="3A11E99C" w14:textId="671CE5BA" w:rsidR="002249C0" w:rsidRPr="00227645" w:rsidRDefault="00227645" w:rsidP="00227645">
      <w:pPr>
        <w:spacing w:before="120" w:after="120"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Art.5</w:t>
      </w:r>
      <w:r w:rsidR="002249C0" w:rsidRPr="00227645">
        <w:rPr>
          <w:rFonts w:ascii="Times New Roman" w:hAnsi="Times New Roman" w:cs="Times New Roman"/>
          <w:b/>
          <w:sz w:val="24"/>
          <w:szCs w:val="24"/>
          <w:u w:val="single"/>
        </w:rPr>
        <w:t>)-</w:t>
      </w:r>
      <w:r w:rsidR="002249C0" w:rsidRPr="00227645">
        <w:rPr>
          <w:rFonts w:ascii="Times New Roman" w:hAnsi="Times New Roman" w:cs="Times New Roman"/>
          <w:sz w:val="24"/>
          <w:szCs w:val="24"/>
        </w:rPr>
        <w:t xml:space="preserve"> </w:t>
      </w:r>
      <w:r w:rsidR="002804FA" w:rsidRPr="00227645">
        <w:rPr>
          <w:rFonts w:ascii="Times New Roman" w:hAnsi="Times New Roman" w:cs="Times New Roman"/>
          <w:sz w:val="24"/>
          <w:szCs w:val="24"/>
          <w:u w:val="single"/>
        </w:rPr>
        <w:t>Alumnos</w:t>
      </w:r>
      <w:r w:rsidR="002804FA" w:rsidRPr="00227645">
        <w:rPr>
          <w:rFonts w:ascii="Times New Roman" w:hAnsi="Times New Roman" w:cs="Times New Roman"/>
          <w:sz w:val="24"/>
          <w:szCs w:val="24"/>
        </w:rPr>
        <w:t>. L</w:t>
      </w:r>
      <w:r w:rsidR="000869F9" w:rsidRPr="00227645">
        <w:rPr>
          <w:rFonts w:ascii="Times New Roman" w:hAnsi="Times New Roman" w:cs="Times New Roman"/>
          <w:sz w:val="24"/>
          <w:szCs w:val="24"/>
        </w:rPr>
        <w:t>os a</w:t>
      </w:r>
      <w:r w:rsidR="002249C0" w:rsidRPr="00227645">
        <w:rPr>
          <w:rFonts w:ascii="Times New Roman" w:hAnsi="Times New Roman" w:cs="Times New Roman"/>
          <w:sz w:val="24"/>
          <w:szCs w:val="24"/>
        </w:rPr>
        <w:t>lumnos de quinto grado de las instituciones educativas primarias y de cuarto año de las secundarias de la ciudad, se</w:t>
      </w:r>
      <w:r w:rsidR="000869F9" w:rsidRPr="00227645">
        <w:rPr>
          <w:rFonts w:ascii="Times New Roman" w:hAnsi="Times New Roman" w:cs="Times New Roman"/>
          <w:sz w:val="24"/>
          <w:szCs w:val="24"/>
        </w:rPr>
        <w:t xml:space="preserve">an de </w:t>
      </w:r>
      <w:r w:rsidR="002804FA" w:rsidRPr="00227645">
        <w:rPr>
          <w:rFonts w:ascii="Times New Roman" w:hAnsi="Times New Roman" w:cs="Times New Roman"/>
          <w:sz w:val="24"/>
          <w:szCs w:val="24"/>
        </w:rPr>
        <w:t>gestión pública o privada, deberán participar de cursos de capacitación</w:t>
      </w:r>
      <w:r w:rsidR="00517E4A" w:rsidRPr="00227645">
        <w:rPr>
          <w:rFonts w:ascii="Times New Roman" w:hAnsi="Times New Roman" w:cs="Times New Roman"/>
          <w:sz w:val="24"/>
          <w:szCs w:val="24"/>
        </w:rPr>
        <w:t xml:space="preserve"> de manera obligatoria, según lo organice y determine el órgano de aplicación</w:t>
      </w:r>
      <w:r w:rsidR="002804FA" w:rsidRPr="00227645">
        <w:rPr>
          <w:rFonts w:ascii="Times New Roman" w:hAnsi="Times New Roman" w:cs="Times New Roman"/>
          <w:sz w:val="24"/>
          <w:szCs w:val="24"/>
        </w:rPr>
        <w:t>.</w:t>
      </w:r>
    </w:p>
    <w:p w14:paraId="39C94830" w14:textId="2003FA96" w:rsidR="00517E4A" w:rsidRPr="00227645" w:rsidRDefault="00517E4A" w:rsidP="00227645">
      <w:pPr>
        <w:pStyle w:val="Prrafodelista"/>
        <w:spacing w:before="120" w:after="120" w:line="324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2764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Art.6)-</w:t>
      </w:r>
      <w:r w:rsidR="00227645" w:rsidRPr="0022764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</w:t>
      </w:r>
      <w:r w:rsidRPr="00227645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Docentes</w:t>
      </w:r>
      <w:r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. El órgano de aplicación deberá realizar gestiones con el Gobierno de la Provincia de Córdoba a fin de que todos los d</w:t>
      </w:r>
      <w:r w:rsidRPr="00227645">
        <w:rPr>
          <w:rFonts w:ascii="Times New Roman" w:hAnsi="Times New Roman" w:cs="Times New Roman"/>
          <w:sz w:val="24"/>
          <w:szCs w:val="24"/>
        </w:rPr>
        <w:t>ocentes y directivos de instituciones educativas de la ciudad bajo su órbita participen de capacitaciones en técnicas de RCP y manejo de DEA.</w:t>
      </w:r>
    </w:p>
    <w:p w14:paraId="2AA7504C" w14:textId="54DC982D" w:rsidR="002804FA" w:rsidRPr="00227645" w:rsidRDefault="00227645" w:rsidP="00227645">
      <w:pPr>
        <w:pStyle w:val="Prrafodelista"/>
        <w:spacing w:before="120" w:after="0" w:line="324" w:lineRule="auto"/>
        <w:ind w:left="0"/>
        <w:contextualSpacing w:val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76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Art.7</w:t>
      </w:r>
      <w:r w:rsidR="002804FA" w:rsidRPr="00227645">
        <w:rPr>
          <w:rFonts w:ascii="Times New Roman" w:hAnsi="Times New Roman" w:cs="Times New Roman"/>
          <w:b/>
          <w:sz w:val="24"/>
          <w:szCs w:val="24"/>
          <w:u w:val="single"/>
        </w:rPr>
        <w:t>)-</w:t>
      </w:r>
      <w:r w:rsidR="002804F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27645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Actividades deportivas, físicas, danzas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r w:rsidR="002804F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Profesores, entrenadores, instructores, árbitros, dirigentes, preparadores físicos ya sean en actividades al aire libre o lugares cerrados, en actividades físicas, deportivas o del rubro de cualquiera de las danzas, deberán contar</w:t>
      </w:r>
      <w:r w:rsidR="00517E4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, de manera obligatoria para desempeñar sus actividades,</w:t>
      </w:r>
      <w:r w:rsidR="002804F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capacitación en técnicas de RCP y manejo de DEA. </w:t>
      </w:r>
      <w:r w:rsidR="00517E4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="002804F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 </w:t>
      </w:r>
      <w:r w:rsidR="00517E4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aprobarse la presente ordenanza, los obligados</w:t>
      </w:r>
      <w:r w:rsidR="002804F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contarán con un plazo de seis meses para el cumplimiento de la misma</w:t>
      </w:r>
      <w:r w:rsidR="00517E4A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En caso de no cumplir con el presente artículo, quedarán suspendidas las habilitaciones </w:t>
      </w:r>
      <w:r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para la realización de actividades.</w:t>
      </w:r>
    </w:p>
    <w:p w14:paraId="7D74ABF6" w14:textId="52B1A247" w:rsidR="002804FA" w:rsidRPr="00227645" w:rsidRDefault="002804FA" w:rsidP="00227645">
      <w:pPr>
        <w:pStyle w:val="Prrafodelista"/>
        <w:spacing w:after="120" w:line="324" w:lineRule="auto"/>
        <w:ind w:left="0"/>
        <w:contextualSpacing w:val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La Secretaría de Deportes deberá asistir al órgano de aplicación a los fines del cumplimiento y control del presente artículo.</w:t>
      </w:r>
    </w:p>
    <w:p w14:paraId="1B247734" w14:textId="10E762EB" w:rsidR="005519A8" w:rsidRPr="00227645" w:rsidRDefault="00227645" w:rsidP="00227645">
      <w:pPr>
        <w:spacing w:before="120" w:after="120"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Art. 8</w:t>
      </w:r>
      <w:r w:rsidRPr="00227645">
        <w:rPr>
          <w:rFonts w:ascii="Times New Roman" w:hAnsi="Times New Roman" w:cs="Times New Roman"/>
          <w:b/>
          <w:sz w:val="24"/>
          <w:szCs w:val="24"/>
          <w:u w:val="single"/>
        </w:rPr>
        <w:t>)-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9A8" w:rsidRPr="00227645">
        <w:rPr>
          <w:rFonts w:ascii="Times New Roman" w:hAnsi="Times New Roman" w:cs="Times New Roman"/>
          <w:sz w:val="24"/>
          <w:szCs w:val="24"/>
        </w:rPr>
        <w:t>Invítese a toda la comunidad a participar de</w:t>
      </w:r>
      <w:r>
        <w:rPr>
          <w:rFonts w:ascii="Times New Roman" w:hAnsi="Times New Roman" w:cs="Times New Roman"/>
          <w:sz w:val="24"/>
          <w:szCs w:val="24"/>
        </w:rPr>
        <w:t>l presente p</w:t>
      </w:r>
      <w:r w:rsidR="005519A8" w:rsidRPr="00227645">
        <w:rPr>
          <w:rFonts w:ascii="Times New Roman" w:hAnsi="Times New Roman" w:cs="Times New Roman"/>
          <w:sz w:val="24"/>
          <w:szCs w:val="24"/>
        </w:rPr>
        <w:t xml:space="preserve">rograma. </w:t>
      </w:r>
    </w:p>
    <w:p w14:paraId="5FE24DBA" w14:textId="2494125E" w:rsidR="00AE350D" w:rsidRPr="00227645" w:rsidRDefault="00227645" w:rsidP="00227645">
      <w:pPr>
        <w:shd w:val="clear" w:color="auto" w:fill="FFFFFF"/>
        <w:spacing w:before="120" w:after="120" w:line="324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Art.9</w:t>
      </w:r>
      <w:r w:rsidRPr="0022764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)-</w:t>
      </w:r>
      <w:r w:rsidR="00AE350D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De forma</w:t>
      </w:r>
      <w:r w:rsidR="00AE350D" w:rsidRPr="0022764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sectPr w:rsidR="00AE350D" w:rsidRPr="00227645" w:rsidSect="000041BB"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4D3F"/>
    <w:multiLevelType w:val="hybridMultilevel"/>
    <w:tmpl w:val="310CF0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0D"/>
    <w:rsid w:val="000041BB"/>
    <w:rsid w:val="000869F9"/>
    <w:rsid w:val="002249C0"/>
    <w:rsid w:val="00227645"/>
    <w:rsid w:val="00256FE9"/>
    <w:rsid w:val="002804FA"/>
    <w:rsid w:val="002B3F4C"/>
    <w:rsid w:val="003C1A81"/>
    <w:rsid w:val="00517E4A"/>
    <w:rsid w:val="005519A8"/>
    <w:rsid w:val="006C4D3D"/>
    <w:rsid w:val="007132DF"/>
    <w:rsid w:val="00AA22DB"/>
    <w:rsid w:val="00AE350D"/>
    <w:rsid w:val="00B6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D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3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350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AE3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24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3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350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AE3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2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2021-04-26T13:46:00Z</dcterms:created>
  <dcterms:modified xsi:type="dcterms:W3CDTF">2021-07-07T14:50:00Z</dcterms:modified>
</cp:coreProperties>
</file>