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Informe sobre la Inflación en Argentina durante 2024: Análisis Exhaustivo</w:t>
      </w:r>
    </w:p>
    <w:p>
      <w:pPr>
        <w:pStyle w:val="Heading1"/>
        <w:spacing w:before="200" w:after="200"/>
      </w:pPr>
      <w:r>
        <w:t xml:space="preserve">Resumen Ejecutivo</w:t>
      </w:r>
    </w:p>
    <w:p>
      <w:pPr>
        <w:spacing w:after="120"/>
        <w:jc w:val="both"/>
      </w:pPr>
      <w:r>
        <w:t xml:space="preserve">Este informe analiza la evolución de la inflación en Argentina a lo largo de 2024, destacando las tasas mensuales y anuales reportadas por el INDEC. Se examinan las causas estructurales y coyunturales que impulsaron este fenómeno, junto con las medidas implementadas por el gobierno de Javier Milei. Finalmente, se ofrecen proyecciones para 2025 y recomendaciones basadas en datos verificables.</w:t>
      </w:r>
    </w:p>
    <w:p>
      <w:pPr>
        <w:spacing w:before="400" w:after="400"/>
      </w:pPr>
    </w:p>
    <w:p>
      <w:pPr>
        <w:pStyle w:val="Heading1"/>
        <w:spacing w:before="240" w:after="120"/>
      </w:pPr>
      <w:r>
        <w:t xml:space="preserve">Evolución y Datos de Inflación en 2024</w:t>
      </w:r>
    </w:p>
    <w:p>
      <w:pPr>
        <w:pStyle w:val="Heading2"/>
        <w:spacing w:before="240" w:after="120"/>
      </w:pPr>
      <w:r>
        <w:t xml:space="preserve">Introducción</w:t>
      </w:r>
    </w:p>
    <w:p>
      <w:pPr>
        <w:spacing w:after="120"/>
        <w:jc w:val="both"/>
      </w:pPr>
      <w:r>
        <w:t xml:space="preserve">Durante 2024, la inflación en Argentina experimentó una desaceleración significativa, cerrando el año con una variación acumulada del Índice de Precios al Consumidor (IPC) del 117,8%, según datos oficiales del Instituto Nacional de Estadística y Censos (INDEC). Esta cifra representa una reducción sustancial respecto al 211,4% registrado en 2023, reflejando los efectos de las políticas de ajuste fiscal y monetario implementadas por el gobierno de Javier Milei desde diciembre de 2023. Sin embargo, esta mejora macroeconómica no estuvo exenta de costos sociales, como la contracción del consumo y la erosión del poder adquisitivo. Esta sección analiza la evolución mensual, el desglose por rubros, comparaciones históricas y el impacto en la población, basándose en datos del INDEC y otras fuentes especializadas (INDEC, 2025; iProfesional, 2024).</w:t>
      </w:r>
    </w:p>
    <w:p>
      <w:pPr>
        <w:pStyle w:val="Heading2"/>
        <w:spacing w:before="240" w:after="120"/>
      </w:pPr>
      <w:r>
        <w:t xml:space="preserve">Evolución Mensual de la Inflación</w:t>
      </w:r>
    </w:p>
    <w:p>
      <w:pPr>
        <w:spacing w:after="120"/>
        <w:jc w:val="both"/>
      </w:pPr>
      <w:r>
        <w:t xml:space="preserve">La inflación mensual inició el año con un "fogonazo" del 20,6% en enero, impulsado por la devaluación inicial y ajustes en tarifas reguladas. Posteriormente, se observó una tendencia descendente, aunque con fluctuaciones: febrero (13,2%), marzo (11,0%), abril (8,8%), mayo (4,2%), junio (4,6%), julio (4,0%), agosto (4,2%), septiembre (3,5%), octubre (2,7%), noviembre (2,4%) y diciembre (2,7%). Esta desaceleración se atribuye a la eliminación del déficit fiscal primario, la ancla cambiaria y la recesión que moderó las demandas de precios.</w:t>
      </w:r>
    </w:p>
    <w:p>
      <w:pPr>
        <w:spacing w:after="120"/>
        <w:jc w:val="both"/>
      </w:pPr>
      <w:r>
        <w:t xml:space="preserve">La siguiente tabla resume la evolución mensual y acumulada: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1"/>
              <w:left w:val="single" w:sz="1"/>
              <w:bottom w:val="single" w:sz="1"/>
              <w:right w:val="single" w:sz="1"/>
            </w:tcBorders>
            <w:shd w:fill="E7E6E6"/>
          </w:tcPr>
          <w:p>
            <w:pPr>
              <w:jc w:val="center"/>
            </w:pPr>
            <w:r>
              <w:t xml:space="preserve">Mes</w:t>
            </w:r>
          </w:p>
        </w:tc>
        <w:tc>
          <w:tcPr>
            <w:tcBorders>
              <w:top w:val="single" w:sz="1"/>
              <w:left w:val="single" w:sz="1"/>
              <w:bottom w:val="single" w:sz="1"/>
              <w:right w:val="single" w:sz="1"/>
            </w:tcBorders>
            <w:shd w:fill="E7E6E6"/>
          </w:tcPr>
          <w:p>
            <w:pPr>
              <w:jc w:val="center"/>
            </w:pPr>
            <w:r>
              <w:t xml:space="preserve">Inflación Mensual (%)</w:t>
            </w:r>
          </w:p>
        </w:tc>
        <w:tc>
          <w:tcPr>
            <w:tcBorders>
              <w:top w:val="single" w:sz="1"/>
              <w:left w:val="single" w:sz="1"/>
              <w:bottom w:val="single" w:sz="1"/>
              <w:right w:val="single" w:sz="1"/>
            </w:tcBorders>
            <w:shd w:fill="E7E6E6"/>
          </w:tcPr>
          <w:p>
            <w:pPr>
              <w:jc w:val="center"/>
            </w:pPr>
            <w:r>
              <w:t xml:space="preserve">Inflación Acumulada (%)</w:t>
            </w:r>
          </w:p>
        </w:tc>
      </w:tr>
      <w:tr>
        <w:tc>
          <w:tcPr>
            <w:tcBorders>
              <w:top w:val="single" w:sz="1"/>
              <w:left w:val="single" w:sz="1"/>
              <w:bottom w:val="single" w:sz="1"/>
              <w:right w:val="single" w:sz="1"/>
            </w:tcBorders>
          </w:tcPr>
          <w:p>
            <w:pPr>
              <w:jc w:val="center"/>
            </w:pPr>
            <w:r>
              <w:t xml:space="preserve">Enero</w:t>
            </w:r>
          </w:p>
        </w:tc>
        <w:tc>
          <w:tcPr>
            <w:tcBorders>
              <w:top w:val="single" w:sz="1"/>
              <w:left w:val="single" w:sz="1"/>
              <w:bottom w:val="single" w:sz="1"/>
              <w:right w:val="single" w:sz="1"/>
            </w:tcBorders>
          </w:tcPr>
          <w:p>
            <w:pPr>
              <w:jc w:val="center"/>
            </w:pPr>
            <w:r>
              <w:t xml:space="preserve">20,6</w:t>
            </w:r>
          </w:p>
        </w:tc>
        <w:tc>
          <w:tcPr>
            <w:tcBorders>
              <w:top w:val="single" w:sz="1"/>
              <w:left w:val="single" w:sz="1"/>
              <w:bottom w:val="single" w:sz="1"/>
              <w:right w:val="single" w:sz="1"/>
            </w:tcBorders>
          </w:tcPr>
          <w:p>
            <w:pPr>
              <w:jc w:val="center"/>
            </w:pPr>
            <w:r>
              <w:t xml:space="preserve">20,6</w:t>
            </w:r>
          </w:p>
        </w:tc>
      </w:tr>
      <w:tr>
        <w:tc>
          <w:tcPr>
            <w:tcBorders>
              <w:top w:val="single" w:sz="1"/>
              <w:left w:val="single" w:sz="1"/>
              <w:bottom w:val="single" w:sz="1"/>
              <w:right w:val="single" w:sz="1"/>
            </w:tcBorders>
          </w:tcPr>
          <w:p>
            <w:pPr>
              <w:jc w:val="center"/>
            </w:pPr>
            <w:r>
              <w:t xml:space="preserve">Febrero</w:t>
            </w:r>
          </w:p>
        </w:tc>
        <w:tc>
          <w:tcPr>
            <w:tcBorders>
              <w:top w:val="single" w:sz="1"/>
              <w:left w:val="single" w:sz="1"/>
              <w:bottom w:val="single" w:sz="1"/>
              <w:right w:val="single" w:sz="1"/>
            </w:tcBorders>
          </w:tcPr>
          <w:p>
            <w:pPr>
              <w:jc w:val="center"/>
            </w:pPr>
            <w:r>
              <w:t xml:space="preserve">13,2</w:t>
            </w:r>
          </w:p>
        </w:tc>
        <w:tc>
          <w:tcPr>
            <w:tcBorders>
              <w:top w:val="single" w:sz="1"/>
              <w:left w:val="single" w:sz="1"/>
              <w:bottom w:val="single" w:sz="1"/>
              <w:right w:val="single" w:sz="1"/>
            </w:tcBorders>
          </w:tcPr>
          <w:p>
            <w:pPr>
              <w:jc w:val="center"/>
            </w:pPr>
            <w:r>
              <w:t xml:space="preserve">37,1</w:t>
            </w:r>
          </w:p>
        </w:tc>
      </w:tr>
      <w:tr>
        <w:tc>
          <w:tcPr>
            <w:tcBorders>
              <w:top w:val="single" w:sz="1"/>
              <w:left w:val="single" w:sz="1"/>
              <w:bottom w:val="single" w:sz="1"/>
              <w:right w:val="single" w:sz="1"/>
            </w:tcBorders>
          </w:tcPr>
          <w:p>
            <w:pPr>
              <w:jc w:val="center"/>
            </w:pPr>
            <w:r>
              <w:t xml:space="preserve">Marzo</w:t>
            </w:r>
          </w:p>
        </w:tc>
        <w:tc>
          <w:tcPr>
            <w:tcBorders>
              <w:top w:val="single" w:sz="1"/>
              <w:left w:val="single" w:sz="1"/>
              <w:bottom w:val="single" w:sz="1"/>
              <w:right w:val="single" w:sz="1"/>
            </w:tcBorders>
          </w:tcPr>
          <w:p>
            <w:pPr>
              <w:jc w:val="center"/>
            </w:pPr>
            <w:r>
              <w:t xml:space="preserve">11,0</w:t>
            </w:r>
          </w:p>
        </w:tc>
        <w:tc>
          <w:tcPr>
            <w:tcBorders>
              <w:top w:val="single" w:sz="1"/>
              <w:left w:val="single" w:sz="1"/>
              <w:bottom w:val="single" w:sz="1"/>
              <w:right w:val="single" w:sz="1"/>
            </w:tcBorders>
          </w:tcPr>
          <w:p>
            <w:pPr>
              <w:jc w:val="center"/>
            </w:pPr>
            <w:r>
              <w:t xml:space="preserve">55,0</w:t>
            </w:r>
          </w:p>
        </w:tc>
      </w:tr>
      <w:tr>
        <w:tc>
          <w:tcPr>
            <w:tcBorders>
              <w:top w:val="single" w:sz="1"/>
              <w:left w:val="single" w:sz="1"/>
              <w:bottom w:val="single" w:sz="1"/>
              <w:right w:val="single" w:sz="1"/>
            </w:tcBorders>
          </w:tcPr>
          <w:p>
            <w:pPr>
              <w:jc w:val="center"/>
            </w:pPr>
            <w:r>
              <w:t xml:space="preserve">Abril</w:t>
            </w:r>
          </w:p>
        </w:tc>
        <w:tc>
          <w:tcPr>
            <w:tcBorders>
              <w:top w:val="single" w:sz="1"/>
              <w:left w:val="single" w:sz="1"/>
              <w:bottom w:val="single" w:sz="1"/>
              <w:right w:val="single" w:sz="1"/>
            </w:tcBorders>
          </w:tcPr>
          <w:p>
            <w:pPr>
              <w:jc w:val="center"/>
            </w:pPr>
            <w:r>
              <w:t xml:space="preserve">8,8</w:t>
            </w:r>
          </w:p>
        </w:tc>
        <w:tc>
          <w:tcPr>
            <w:tcBorders>
              <w:top w:val="single" w:sz="1"/>
              <w:left w:val="single" w:sz="1"/>
              <w:bottom w:val="single" w:sz="1"/>
              <w:right w:val="single" w:sz="1"/>
            </w:tcBorders>
          </w:tcPr>
          <w:p>
            <w:pPr>
              <w:jc w:val="center"/>
            </w:pPr>
            <w:r>
              <w:t xml:space="preserve">70,3</w:t>
            </w:r>
          </w:p>
        </w:tc>
      </w:tr>
      <w:tr>
        <w:tc>
          <w:tcPr>
            <w:tcBorders>
              <w:top w:val="single" w:sz="1"/>
              <w:left w:val="single" w:sz="1"/>
              <w:bottom w:val="single" w:sz="1"/>
              <w:right w:val="single" w:sz="1"/>
            </w:tcBorders>
          </w:tcPr>
          <w:p>
            <w:pPr>
              <w:jc w:val="center"/>
            </w:pPr>
            <w:r>
              <w:t xml:space="preserve">Mayo</w:t>
            </w:r>
          </w:p>
        </w:tc>
        <w:tc>
          <w:tcPr>
            <w:tcBorders>
              <w:top w:val="single" w:sz="1"/>
              <w:left w:val="single" w:sz="1"/>
              <w:bottom w:val="single" w:sz="1"/>
              <w:right w:val="single" w:sz="1"/>
            </w:tcBorders>
          </w:tcPr>
          <w:p>
            <w:pPr>
              <w:jc w:val="center"/>
            </w:pPr>
            <w:r>
              <w:t xml:space="preserve">4,2</w:t>
            </w:r>
          </w:p>
        </w:tc>
        <w:tc>
          <w:tcPr>
            <w:tcBorders>
              <w:top w:val="single" w:sz="1"/>
              <w:left w:val="single" w:sz="1"/>
              <w:bottom w:val="single" w:sz="1"/>
              <w:right w:val="single" w:sz="1"/>
            </w:tcBorders>
          </w:tcPr>
          <w:p>
            <w:pPr>
              <w:jc w:val="center"/>
            </w:pPr>
            <w:r>
              <w:t xml:space="preserve">79,7</w:t>
            </w:r>
          </w:p>
        </w:tc>
      </w:tr>
      <w:tr>
        <w:tc>
          <w:tcPr>
            <w:tcBorders>
              <w:top w:val="single" w:sz="1"/>
              <w:left w:val="single" w:sz="1"/>
              <w:bottom w:val="single" w:sz="1"/>
              <w:right w:val="single" w:sz="1"/>
            </w:tcBorders>
          </w:tcPr>
          <w:p>
            <w:pPr>
              <w:jc w:val="center"/>
            </w:pPr>
            <w:r>
              <w:t xml:space="preserve">Junio</w:t>
            </w:r>
          </w:p>
        </w:tc>
        <w:tc>
          <w:tcPr>
            <w:tcBorders>
              <w:top w:val="single" w:sz="1"/>
              <w:left w:val="single" w:sz="1"/>
              <w:bottom w:val="single" w:sz="1"/>
              <w:right w:val="single" w:sz="1"/>
            </w:tcBorders>
          </w:tcPr>
          <w:p>
            <w:pPr>
              <w:jc w:val="center"/>
            </w:pPr>
            <w:r>
              <w:t xml:space="preserve">4,6</w:t>
            </w:r>
          </w:p>
        </w:tc>
        <w:tc>
          <w:tcPr>
            <w:tcBorders>
              <w:top w:val="single" w:sz="1"/>
              <w:left w:val="single" w:sz="1"/>
              <w:bottom w:val="single" w:sz="1"/>
              <w:right w:val="single" w:sz="1"/>
            </w:tcBorders>
          </w:tcPr>
          <w:p>
            <w:pPr>
              <w:jc w:val="center"/>
            </w:pPr>
            <w:r>
              <w:t xml:space="preserve">88,4</w:t>
            </w:r>
          </w:p>
        </w:tc>
      </w:tr>
      <w:tr>
        <w:tc>
          <w:tcPr>
            <w:tcBorders>
              <w:top w:val="single" w:sz="1"/>
              <w:left w:val="single" w:sz="1"/>
              <w:bottom w:val="single" w:sz="1"/>
              <w:right w:val="single" w:sz="1"/>
            </w:tcBorders>
          </w:tcPr>
          <w:p>
            <w:pPr>
              <w:jc w:val="center"/>
            </w:pPr>
            <w:r>
              <w:t xml:space="preserve">Julio</w:t>
            </w:r>
          </w:p>
        </w:tc>
        <w:tc>
          <w:tcPr>
            <w:tcBorders>
              <w:top w:val="single" w:sz="1"/>
              <w:left w:val="single" w:sz="1"/>
              <w:bottom w:val="single" w:sz="1"/>
              <w:right w:val="single" w:sz="1"/>
            </w:tcBorders>
          </w:tcPr>
          <w:p>
            <w:pPr>
              <w:jc w:val="center"/>
            </w:pPr>
            <w:r>
              <w:t xml:space="preserve">4,0</w:t>
            </w:r>
          </w:p>
        </w:tc>
        <w:tc>
          <w:tcPr>
            <w:tcBorders>
              <w:top w:val="single" w:sz="1"/>
              <w:left w:val="single" w:sz="1"/>
              <w:bottom w:val="single" w:sz="1"/>
              <w:right w:val="single" w:sz="1"/>
            </w:tcBorders>
          </w:tcPr>
          <w:p>
            <w:pPr>
              <w:jc w:val="center"/>
            </w:pPr>
            <w:r>
              <w:t xml:space="preserve">95,0</w:t>
            </w:r>
          </w:p>
        </w:tc>
      </w:tr>
      <w:tr>
        <w:tc>
          <w:tcPr>
            <w:tcBorders>
              <w:top w:val="single" w:sz="1"/>
              <w:left w:val="single" w:sz="1"/>
              <w:bottom w:val="single" w:sz="1"/>
              <w:right w:val="single" w:sz="1"/>
            </w:tcBorders>
          </w:tcPr>
          <w:p>
            <w:pPr>
              <w:jc w:val="center"/>
            </w:pPr>
            <w:r>
              <w:t xml:space="preserve">Agosto</w:t>
            </w:r>
          </w:p>
        </w:tc>
        <w:tc>
          <w:tcPr>
            <w:tcBorders>
              <w:top w:val="single" w:sz="1"/>
              <w:left w:val="single" w:sz="1"/>
              <w:bottom w:val="single" w:sz="1"/>
              <w:right w:val="single" w:sz="1"/>
            </w:tcBorders>
          </w:tcPr>
          <w:p>
            <w:pPr>
              <w:jc w:val="center"/>
            </w:pPr>
            <w:r>
              <w:t xml:space="preserve">4,2</w:t>
            </w:r>
          </w:p>
        </w:tc>
        <w:tc>
          <w:tcPr>
            <w:tcBorders>
              <w:top w:val="single" w:sz="1"/>
              <w:left w:val="single" w:sz="1"/>
              <w:bottom w:val="single" w:sz="1"/>
              <w:right w:val="single" w:sz="1"/>
            </w:tcBorders>
          </w:tcPr>
          <w:p>
            <w:pPr>
              <w:jc w:val="center"/>
            </w:pPr>
            <w:r>
              <w:t xml:space="preserve">100,3</w:t>
            </w:r>
          </w:p>
        </w:tc>
      </w:tr>
      <w:tr>
        <w:tc>
          <w:tcPr>
            <w:tcBorders>
              <w:top w:val="single" w:sz="1"/>
              <w:left w:val="single" w:sz="1"/>
              <w:bottom w:val="single" w:sz="1"/>
              <w:right w:val="single" w:sz="1"/>
            </w:tcBorders>
          </w:tcPr>
          <w:p>
            <w:pPr>
              <w:jc w:val="center"/>
            </w:pPr>
            <w:r>
              <w:t xml:space="preserve">Septiembre</w:t>
            </w:r>
          </w:p>
        </w:tc>
        <w:tc>
          <w:tcPr>
            <w:tcBorders>
              <w:top w:val="single" w:sz="1"/>
              <w:left w:val="single" w:sz="1"/>
              <w:bottom w:val="single" w:sz="1"/>
              <w:right w:val="single" w:sz="1"/>
            </w:tcBorders>
          </w:tcPr>
          <w:p>
            <w:pPr>
              <w:jc w:val="center"/>
            </w:pPr>
            <w:r>
              <w:t xml:space="preserve">3,5</w:t>
            </w:r>
          </w:p>
        </w:tc>
        <w:tc>
          <w:tcPr>
            <w:tcBorders>
              <w:top w:val="single" w:sz="1"/>
              <w:left w:val="single" w:sz="1"/>
              <w:bottom w:val="single" w:sz="1"/>
              <w:right w:val="single" w:sz="1"/>
            </w:tcBorders>
          </w:tcPr>
          <w:p>
            <w:pPr>
              <w:jc w:val="center"/>
            </w:pPr>
            <w:r>
              <w:t xml:space="preserve">106,8</w:t>
            </w:r>
          </w:p>
        </w:tc>
      </w:tr>
      <w:tr>
        <w:tc>
          <w:tcPr>
            <w:tcBorders>
              <w:top w:val="single" w:sz="1"/>
              <w:left w:val="single" w:sz="1"/>
              <w:bottom w:val="single" w:sz="1"/>
              <w:right w:val="single" w:sz="1"/>
            </w:tcBorders>
          </w:tcPr>
          <w:p>
            <w:pPr>
              <w:jc w:val="center"/>
            </w:pPr>
            <w:r>
              <w:t xml:space="preserve">Octubre</w:t>
            </w:r>
          </w:p>
        </w:tc>
        <w:tc>
          <w:tcPr>
            <w:tcBorders>
              <w:top w:val="single" w:sz="1"/>
              <w:left w:val="single" w:sz="1"/>
              <w:bottom w:val="single" w:sz="1"/>
              <w:right w:val="single" w:sz="1"/>
            </w:tcBorders>
          </w:tcPr>
          <w:p>
            <w:pPr>
              <w:jc w:val="center"/>
            </w:pPr>
            <w:r>
              <w:t xml:space="preserve">2,7</w:t>
            </w:r>
          </w:p>
        </w:tc>
        <w:tc>
          <w:tcPr>
            <w:tcBorders>
              <w:top w:val="single" w:sz="1"/>
              <w:left w:val="single" w:sz="1"/>
              <w:bottom w:val="single" w:sz="1"/>
              <w:right w:val="single" w:sz="1"/>
            </w:tcBorders>
          </w:tcPr>
          <w:p>
            <w:pPr>
              <w:jc w:val="center"/>
            </w:pPr>
            <w:r>
              <w:t xml:space="preserve">111,2</w:t>
            </w:r>
          </w:p>
        </w:tc>
      </w:tr>
      <w:tr>
        <w:tc>
          <w:tcPr>
            <w:tcBorders>
              <w:top w:val="single" w:sz="1"/>
              <w:left w:val="single" w:sz="1"/>
              <w:bottom w:val="single" w:sz="1"/>
              <w:right w:val="single" w:sz="1"/>
            </w:tcBorders>
          </w:tcPr>
          <w:p>
            <w:pPr>
              <w:jc w:val="center"/>
            </w:pPr>
            <w:r>
              <w:t xml:space="preserve">Noviembre</w:t>
            </w:r>
          </w:p>
        </w:tc>
        <w:tc>
          <w:tcPr>
            <w:tcBorders>
              <w:top w:val="single" w:sz="1"/>
              <w:left w:val="single" w:sz="1"/>
              <w:bottom w:val="single" w:sz="1"/>
              <w:right w:val="single" w:sz="1"/>
            </w:tcBorders>
          </w:tcPr>
          <w:p>
            <w:pPr>
              <w:jc w:val="center"/>
            </w:pPr>
            <w:r>
              <w:t xml:space="preserve">2,4</w:t>
            </w:r>
          </w:p>
        </w:tc>
        <w:tc>
          <w:tcPr>
            <w:tcBorders>
              <w:top w:val="single" w:sz="1"/>
              <w:left w:val="single" w:sz="1"/>
              <w:bottom w:val="single" w:sz="1"/>
              <w:right w:val="single" w:sz="1"/>
            </w:tcBorders>
          </w:tcPr>
          <w:p>
            <w:pPr>
              <w:jc w:val="center"/>
            </w:pPr>
            <w:r>
              <w:t xml:space="preserve">114,8</w:t>
            </w:r>
          </w:p>
        </w:tc>
      </w:tr>
      <w:tr>
        <w:tc>
          <w:tcPr>
            <w:tcBorders>
              <w:top w:val="single" w:sz="1"/>
              <w:left w:val="single" w:sz="1"/>
              <w:bottom w:val="single" w:sz="1"/>
              <w:right w:val="single" w:sz="1"/>
            </w:tcBorders>
          </w:tcPr>
          <w:p>
            <w:pPr>
              <w:jc w:val="center"/>
            </w:pPr>
            <w:r>
              <w:t xml:space="preserve">Diciembre</w:t>
            </w:r>
          </w:p>
        </w:tc>
        <w:tc>
          <w:tcPr>
            <w:tcBorders>
              <w:top w:val="single" w:sz="1"/>
              <w:left w:val="single" w:sz="1"/>
              <w:bottom w:val="single" w:sz="1"/>
              <w:right w:val="single" w:sz="1"/>
            </w:tcBorders>
          </w:tcPr>
          <w:p>
            <w:pPr>
              <w:jc w:val="center"/>
            </w:pPr>
            <w:r>
              <w:t xml:space="preserve">2,7</w:t>
            </w:r>
          </w:p>
        </w:tc>
        <w:tc>
          <w:tcPr>
            <w:tcBorders>
              <w:top w:val="single" w:sz="1"/>
              <w:left w:val="single" w:sz="1"/>
              <w:bottom w:val="single" w:sz="1"/>
              <w:right w:val="single" w:sz="1"/>
            </w:tcBorders>
          </w:tcPr>
          <w:p>
            <w:pPr>
              <w:jc w:val="center"/>
            </w:pPr>
            <w:r>
              <w:t xml:space="preserve">117,8</w:t>
            </w:r>
          </w:p>
        </w:tc>
      </w:tr>
    </w:tbl>
    <w:p>
      <w:pPr>
        <w:spacing w:after="120"/>
        <w:jc w:val="both"/>
      </w:pPr>
      <w:r>
        <w:rPr>
          <w:i/>
          <w:iCs/>
        </w:rPr>
        <w:t xml:space="preserve">Fuente: Elaboración propia basada en INDEC (2025) y Datosmacro.com (2024).</w:t>
      </w:r>
    </w:p>
    <w:p>
      <w:pPr>
        <w:spacing w:after="120"/>
        <w:jc w:val="both"/>
      </w:pPr>
      <w:r>
        <w:t xml:space="preserve">Gráficamente, la curva mensual muestra un pico inicial seguido de una estabilización en torno al 3-4% en el segundo semestre, con diciembre cerrando en 2,7%, un leve repunte de 0,3 puntos respecto a noviembre pero aún por debajo de las expectativas del gobierno (iProfesional, 2024).</w:t>
      </w:r>
    </w:p>
    <w:p>
      <w:pPr>
        <w:pStyle w:val="Heading2"/>
        <w:spacing w:before="240" w:after="120"/>
      </w:pPr>
      <w:r>
        <w:t xml:space="preserve">Inflación Acumulada e Interanual</w:t>
      </w:r>
    </w:p>
    <w:p>
      <w:pPr>
        <w:spacing w:after="120"/>
        <w:jc w:val="both"/>
      </w:pPr>
      <w:r>
        <w:t xml:space="preserve">La inflación acumulada de 117,8% en 2024 contrasta con el 117,8% interanual de diciembre, indicando que la presión inflacionaria se concentró en la primera mitad del año. Comparado con proyecciones iniciales del FMI (alrededor de 140-150%), el resultado fue mejor, pero críticas de consultoras como CEPA señalan subponderación de servicios esenciales como tarifas y transporte, potencialmente distorsionando la medición real (Página|12, 2024).</w:t>
      </w:r>
    </w:p>
    <w:p>
      <w:pPr>
        <w:pStyle w:val="Heading2"/>
        <w:spacing w:before="240" w:after="120"/>
      </w:pPr>
      <w:r>
        <w:t xml:space="preserve">Desglose por Rubros</w:t>
      </w:r>
    </w:p>
    <w:p>
      <w:pPr>
        <w:spacing w:after="120"/>
        <w:jc w:val="both"/>
      </w:pPr>
      <w:r>
        <w:t xml:space="preserve">El análisis por divisiones del IPC revela heterogeneidades. Los alimentos y bebidas no alcohólicas aumentaron un 94%, por debajo del promedio general, debido a la caída del consumo (-11,9% en supermercados) y exceso de oferta (Clarín, 2024). En contraste, vivienda, agua, electricidad, gas y combustibles subió 248,2%, impulsado por tarifazos post-devaluación. Transporte registró 137,8%, y comunicaciones 130,1%.</w:t>
      </w:r>
    </w:p>
    <w:p>
      <w:pPr>
        <w:spacing w:after="120"/>
        <w:jc w:val="both"/>
      </w:pPr>
      <w:r>
        <w:t xml:space="preserve">Tabla de variaciones anuales por rubros principales: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1"/>
              <w:left w:val="single" w:sz="1"/>
              <w:bottom w:val="single" w:sz="1"/>
              <w:right w:val="single" w:sz="1"/>
            </w:tcBorders>
            <w:shd w:fill="E7E6E6"/>
          </w:tcPr>
          <w:p>
            <w:pPr>
              <w:jc w:val="center"/>
            </w:pPr>
            <w:r>
              <w:t xml:space="preserve">Rubro</w:t>
            </w:r>
          </w:p>
        </w:tc>
        <w:tc>
          <w:tcPr>
            <w:tcBorders>
              <w:top w:val="single" w:sz="1"/>
              <w:left w:val="single" w:sz="1"/>
              <w:bottom w:val="single" w:sz="1"/>
              <w:right w:val="single" w:sz="1"/>
            </w:tcBorders>
            <w:shd w:fill="E7E6E6"/>
          </w:tcPr>
          <w:p>
            <w:pPr>
              <w:jc w:val="center"/>
            </w:pPr>
            <w:r>
              <w:t xml:space="preserve">Variación Anual 2024 (%)</w:t>
            </w:r>
          </w:p>
        </w:tc>
        <w:tc>
          <w:tcPr>
            <w:tcBorders>
              <w:top w:val="single" w:sz="1"/>
              <w:left w:val="single" w:sz="1"/>
              <w:bottom w:val="single" w:sz="1"/>
              <w:right w:val="single" w:sz="1"/>
            </w:tcBorders>
            <w:shd w:fill="E7E6E6"/>
          </w:tcPr>
          <w:p>
            <w:pPr>
              <w:jc w:val="center"/>
            </w:pPr>
            <w:r>
              <w:t xml:space="preserve">Incidencia en IPC (%)</w:t>
            </w:r>
          </w:p>
        </w:tc>
      </w:tr>
      <w:tr>
        <w:tc>
          <w:tcPr>
            <w:tcBorders>
              <w:top w:val="single" w:sz="1"/>
              <w:left w:val="single" w:sz="1"/>
              <w:bottom w:val="single" w:sz="1"/>
              <w:right w:val="single" w:sz="1"/>
            </w:tcBorders>
          </w:tcPr>
          <w:p>
            <w:pPr>
              <w:jc w:val="center"/>
            </w:pPr>
            <w:r>
              <w:t xml:space="preserve">Alimentos y bebidas no alc.</w:t>
            </w:r>
          </w:p>
        </w:tc>
        <w:tc>
          <w:tcPr>
            <w:tcBorders>
              <w:top w:val="single" w:sz="1"/>
              <w:left w:val="single" w:sz="1"/>
              <w:bottom w:val="single" w:sz="1"/>
              <w:right w:val="single" w:sz="1"/>
            </w:tcBorders>
          </w:tcPr>
          <w:p>
            <w:pPr>
              <w:jc w:val="center"/>
            </w:pPr>
            <w:r>
              <w:t xml:space="preserve">94,0</w:t>
            </w:r>
          </w:p>
        </w:tc>
        <w:tc>
          <w:tcPr>
            <w:tcBorders>
              <w:top w:val="single" w:sz="1"/>
              <w:left w:val="single" w:sz="1"/>
              <w:bottom w:val="single" w:sz="1"/>
              <w:right w:val="single" w:sz="1"/>
            </w:tcBorders>
          </w:tcPr>
          <w:p>
            <w:pPr>
              <w:jc w:val="center"/>
            </w:pPr>
            <w:r>
              <w:t xml:space="preserve">19,5</w:t>
            </w:r>
          </w:p>
        </w:tc>
      </w:tr>
      <w:tr>
        <w:tc>
          <w:tcPr>
            <w:tcBorders>
              <w:top w:val="single" w:sz="1"/>
              <w:left w:val="single" w:sz="1"/>
              <w:bottom w:val="single" w:sz="1"/>
              <w:right w:val="single" w:sz="1"/>
            </w:tcBorders>
          </w:tcPr>
          <w:p>
            <w:pPr>
              <w:jc w:val="center"/>
            </w:pPr>
            <w:r>
              <w:t xml:space="preserve">Vivienda y servicios básicos</w:t>
            </w:r>
          </w:p>
        </w:tc>
        <w:tc>
          <w:tcPr>
            <w:tcBorders>
              <w:top w:val="single" w:sz="1"/>
              <w:left w:val="single" w:sz="1"/>
              <w:bottom w:val="single" w:sz="1"/>
              <w:right w:val="single" w:sz="1"/>
            </w:tcBorders>
          </w:tcPr>
          <w:p>
            <w:pPr>
              <w:jc w:val="center"/>
            </w:pPr>
            <w:r>
              <w:t xml:space="preserve">248,2</w:t>
            </w:r>
          </w:p>
        </w:tc>
        <w:tc>
          <w:tcPr>
            <w:tcBorders>
              <w:top w:val="single" w:sz="1"/>
              <w:left w:val="single" w:sz="1"/>
              <w:bottom w:val="single" w:sz="1"/>
              <w:right w:val="single" w:sz="1"/>
            </w:tcBorders>
          </w:tcPr>
          <w:p>
            <w:pPr>
              <w:jc w:val="center"/>
            </w:pPr>
            <w:r>
              <w:t xml:space="preserve">14,2</w:t>
            </w:r>
          </w:p>
        </w:tc>
      </w:tr>
      <w:tr>
        <w:tc>
          <w:tcPr>
            <w:tcBorders>
              <w:top w:val="single" w:sz="1"/>
              <w:left w:val="single" w:sz="1"/>
              <w:bottom w:val="single" w:sz="1"/>
              <w:right w:val="single" w:sz="1"/>
            </w:tcBorders>
          </w:tcPr>
          <w:p>
            <w:pPr>
              <w:jc w:val="center"/>
            </w:pPr>
            <w:r>
              <w:t xml:space="preserve">Transporte</w:t>
            </w:r>
          </w:p>
        </w:tc>
        <w:tc>
          <w:tcPr>
            <w:tcBorders>
              <w:top w:val="single" w:sz="1"/>
              <w:left w:val="single" w:sz="1"/>
              <w:bottom w:val="single" w:sz="1"/>
              <w:right w:val="single" w:sz="1"/>
            </w:tcBorders>
          </w:tcPr>
          <w:p>
            <w:pPr>
              <w:jc w:val="center"/>
            </w:pPr>
            <w:r>
              <w:t xml:space="preserve">137,8</w:t>
            </w:r>
          </w:p>
        </w:tc>
        <w:tc>
          <w:tcPr>
            <w:tcBorders>
              <w:top w:val="single" w:sz="1"/>
              <w:left w:val="single" w:sz="1"/>
              <w:bottom w:val="single" w:sz="1"/>
              <w:right w:val="single" w:sz="1"/>
            </w:tcBorders>
          </w:tcPr>
          <w:p>
            <w:pPr>
              <w:jc w:val="center"/>
            </w:pPr>
            <w:r>
              <w:t xml:space="preserve">12,8</w:t>
            </w:r>
          </w:p>
        </w:tc>
      </w:tr>
      <w:tr>
        <w:tc>
          <w:tcPr>
            <w:tcBorders>
              <w:top w:val="single" w:sz="1"/>
              <w:left w:val="single" w:sz="1"/>
              <w:bottom w:val="single" w:sz="1"/>
              <w:right w:val="single" w:sz="1"/>
            </w:tcBorders>
          </w:tcPr>
          <w:p>
            <w:pPr>
              <w:jc w:val="center"/>
            </w:pPr>
            <w:r>
              <w:t xml:space="preserve">Prendas de vestir y calzado</w:t>
            </w:r>
          </w:p>
        </w:tc>
        <w:tc>
          <w:tcPr>
            <w:tcBorders>
              <w:top w:val="single" w:sz="1"/>
              <w:left w:val="single" w:sz="1"/>
              <w:bottom w:val="single" w:sz="1"/>
              <w:right w:val="single" w:sz="1"/>
            </w:tcBorders>
          </w:tcPr>
          <w:p>
            <w:pPr>
              <w:jc w:val="center"/>
            </w:pPr>
            <w:r>
              <w:t xml:space="preserve">84,5</w:t>
            </w:r>
          </w:p>
        </w:tc>
        <w:tc>
          <w:tcPr>
            <w:tcBorders>
              <w:top w:val="single" w:sz="1"/>
              <w:left w:val="single" w:sz="1"/>
              <w:bottom w:val="single" w:sz="1"/>
              <w:right w:val="single" w:sz="1"/>
            </w:tcBorders>
          </w:tcPr>
          <w:p>
            <w:pPr>
              <w:jc w:val="center"/>
            </w:pPr>
            <w:r>
              <w:t xml:space="preserve">10,1</w:t>
            </w:r>
          </w:p>
        </w:tc>
      </w:tr>
      <w:tr>
        <w:tc>
          <w:tcPr>
            <w:tcBorders>
              <w:top w:val="single" w:sz="1"/>
              <w:left w:val="single" w:sz="1"/>
              <w:bottom w:val="single" w:sz="1"/>
              <w:right w:val="single" w:sz="1"/>
            </w:tcBorders>
          </w:tcPr>
          <w:p>
            <w:pPr>
              <w:jc w:val="center"/>
            </w:pPr>
            <w:r>
              <w:t xml:space="preserve">Educación</w:t>
            </w:r>
          </w:p>
        </w:tc>
        <w:tc>
          <w:tcPr>
            <w:tcBorders>
              <w:top w:val="single" w:sz="1"/>
              <w:left w:val="single" w:sz="1"/>
              <w:bottom w:val="single" w:sz="1"/>
              <w:right w:val="single" w:sz="1"/>
            </w:tcBorders>
          </w:tcPr>
          <w:p>
            <w:pPr>
              <w:jc w:val="center"/>
            </w:pPr>
            <w:r>
              <w:t xml:space="preserve">50,2</w:t>
            </w:r>
          </w:p>
        </w:tc>
        <w:tc>
          <w:tcPr>
            <w:tcBorders>
              <w:top w:val="single" w:sz="1"/>
              <w:left w:val="single" w:sz="1"/>
              <w:bottom w:val="single" w:sz="1"/>
              <w:right w:val="single" w:sz="1"/>
            </w:tcBorders>
          </w:tcPr>
          <w:p>
            <w:pPr>
              <w:jc w:val="center"/>
            </w:pPr>
            <w:r>
              <w:t xml:space="preserve">5,3</w:t>
            </w:r>
          </w:p>
        </w:tc>
      </w:tr>
      <w:tr>
        <w:tc>
          <w:tcPr>
            <w:tcBorders>
              <w:top w:val="single" w:sz="1"/>
              <w:left w:val="single" w:sz="1"/>
              <w:bottom w:val="single" w:sz="1"/>
              <w:right w:val="single" w:sz="1"/>
            </w:tcBorders>
          </w:tcPr>
          <w:p>
            <w:pPr>
              <w:jc w:val="center"/>
            </w:pPr>
            <w:r>
              <w:t xml:space="preserve">Servicios de salud</w:t>
            </w:r>
          </w:p>
        </w:tc>
        <w:tc>
          <w:tcPr>
            <w:tcBorders>
              <w:top w:val="single" w:sz="1"/>
              <w:left w:val="single" w:sz="1"/>
              <w:bottom w:val="single" w:sz="1"/>
              <w:right w:val="single" w:sz="1"/>
            </w:tcBorders>
          </w:tcPr>
          <w:p>
            <w:pPr>
              <w:jc w:val="center"/>
            </w:pPr>
            <w:r>
              <w:t xml:space="preserve">120,4</w:t>
            </w:r>
          </w:p>
        </w:tc>
        <w:tc>
          <w:tcPr>
            <w:tcBorders>
              <w:top w:val="single" w:sz="1"/>
              <w:left w:val="single" w:sz="1"/>
              <w:bottom w:val="single" w:sz="1"/>
              <w:right w:val="single" w:sz="1"/>
            </w:tcBorders>
          </w:tcPr>
          <w:p>
            <w:pPr>
              <w:jc w:val="center"/>
            </w:pPr>
            <w:r>
              <w:t xml:space="preserve">8,7</w:t>
            </w:r>
          </w:p>
        </w:tc>
      </w:tr>
    </w:tbl>
    <w:p>
      <w:pPr>
        <w:spacing w:after="120"/>
        <w:jc w:val="both"/>
      </w:pPr>
      <w:r>
        <w:rPr>
          <w:i/>
          <w:iCs/>
        </w:rPr>
        <w:t xml:space="preserve">Fuente: INDEC (2025) y FAECYS (2024).</w:t>
      </w:r>
    </w:p>
    <w:p>
      <w:pPr>
        <w:spacing w:after="120"/>
        <w:jc w:val="both"/>
      </w:pPr>
      <w:r>
        <w:t xml:space="preserve">En el primer cuatrimestre, servicios crecieron 88% vs. 58,1% en bienes, invirtiendo la dinámica tradicional (FAECYS, 2024). Diciembre mostró alimentos en 2,2%, por debajo del general 2,7%.</w:t>
      </w:r>
    </w:p>
    <w:p>
      <w:pPr>
        <w:pStyle w:val="Heading2"/>
        <w:spacing w:before="240" w:after="120"/>
      </w:pPr>
      <w:r>
        <w:t xml:space="preserve">Comparación con Años Anteriores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1"/>
              <w:left w:val="single" w:sz="1"/>
              <w:bottom w:val="single" w:sz="1"/>
              <w:right w:val="single" w:sz="1"/>
            </w:tcBorders>
            <w:shd w:fill="E7E6E6"/>
          </w:tcPr>
          <w:p>
            <w:pPr>
              <w:jc w:val="center"/>
            </w:pPr>
            <w:r>
              <w:t xml:space="preserve">Año</w:t>
            </w:r>
          </w:p>
        </w:tc>
        <w:tc>
          <w:tcPr>
            <w:tcBorders>
              <w:top w:val="single" w:sz="1"/>
              <w:left w:val="single" w:sz="1"/>
              <w:bottom w:val="single" w:sz="1"/>
              <w:right w:val="single" w:sz="1"/>
            </w:tcBorders>
            <w:shd w:fill="E7E6E6"/>
          </w:tcPr>
          <w:p>
            <w:pPr>
              <w:jc w:val="center"/>
            </w:pPr>
            <w:r>
              <w:t xml:space="preserve">Inflación Acumulada (%)</w:t>
            </w:r>
          </w:p>
        </w:tc>
        <w:tc>
          <w:tcPr>
            <w:tcBorders>
              <w:top w:val="single" w:sz="1"/>
              <w:left w:val="single" w:sz="1"/>
              <w:bottom w:val="single" w:sz="1"/>
              <w:right w:val="single" w:sz="1"/>
            </w:tcBorders>
            <w:shd w:fill="E7E6E6"/>
          </w:tcPr>
          <w:p>
            <w:pPr>
              <w:jc w:val="center"/>
            </w:pPr>
            <w:r>
              <w:t xml:space="preserve">Inflación Mensual Promedio (%)</w:t>
            </w:r>
          </w:p>
        </w:tc>
      </w:tr>
      <w:tr>
        <w:tc>
          <w:tcPr>
            <w:tcBorders>
              <w:top w:val="single" w:sz="1"/>
              <w:left w:val="single" w:sz="1"/>
              <w:bottom w:val="single" w:sz="1"/>
              <w:right w:val="single" w:sz="1"/>
            </w:tcBorders>
          </w:tcPr>
          <w:p>
            <w:pPr>
              <w:jc w:val="center"/>
            </w:pPr>
            <w:r>
              <w:t xml:space="preserve">2022</w:t>
            </w:r>
          </w:p>
        </w:tc>
        <w:tc>
          <w:tcPr>
            <w:tcBorders>
              <w:top w:val="single" w:sz="1"/>
              <w:left w:val="single" w:sz="1"/>
              <w:bottom w:val="single" w:sz="1"/>
              <w:right w:val="single" w:sz="1"/>
            </w:tcBorders>
          </w:tcPr>
          <w:p>
            <w:pPr>
              <w:jc w:val="center"/>
            </w:pPr>
            <w:r>
              <w:t xml:space="preserve">94,8</w:t>
            </w:r>
          </w:p>
        </w:tc>
        <w:tc>
          <w:tcPr>
            <w:tcBorders>
              <w:top w:val="single" w:sz="1"/>
              <w:left w:val="single" w:sz="1"/>
              <w:bottom w:val="single" w:sz="1"/>
              <w:right w:val="single" w:sz="1"/>
            </w:tcBorders>
          </w:tcPr>
          <w:p>
            <w:pPr>
              <w:jc w:val="center"/>
            </w:pPr>
            <w:r>
              <w:t xml:space="preserve">6,2</w:t>
            </w:r>
          </w:p>
        </w:tc>
      </w:tr>
      <w:tr>
        <w:tc>
          <w:tcPr>
            <w:tcBorders>
              <w:top w:val="single" w:sz="1"/>
              <w:left w:val="single" w:sz="1"/>
              <w:bottom w:val="single" w:sz="1"/>
              <w:right w:val="single" w:sz="1"/>
            </w:tcBorders>
          </w:tcPr>
          <w:p>
            <w:pPr>
              <w:jc w:val="center"/>
            </w:pPr>
            <w:r>
              <w:t xml:space="preserve">2023</w:t>
            </w:r>
          </w:p>
        </w:tc>
        <w:tc>
          <w:tcPr>
            <w:tcBorders>
              <w:top w:val="single" w:sz="1"/>
              <w:left w:val="single" w:sz="1"/>
              <w:bottom w:val="single" w:sz="1"/>
              <w:right w:val="single" w:sz="1"/>
            </w:tcBorders>
          </w:tcPr>
          <w:p>
            <w:pPr>
              <w:jc w:val="center"/>
            </w:pPr>
            <w:r>
              <w:t xml:space="preserve">211,4</w:t>
            </w:r>
          </w:p>
        </w:tc>
        <w:tc>
          <w:tcPr>
            <w:tcBorders>
              <w:top w:val="single" w:sz="1"/>
              <w:left w:val="single" w:sz="1"/>
              <w:bottom w:val="single" w:sz="1"/>
              <w:right w:val="single" w:sz="1"/>
            </w:tcBorders>
          </w:tcPr>
          <w:p>
            <w:pPr>
              <w:jc w:val="center"/>
            </w:pPr>
            <w:r>
              <w:t xml:space="preserve">12,8</w:t>
            </w:r>
          </w:p>
        </w:tc>
      </w:tr>
      <w:tr>
        <w:tc>
          <w:tcPr>
            <w:tcBorders>
              <w:top w:val="single" w:sz="1"/>
              <w:left w:val="single" w:sz="1"/>
              <w:bottom w:val="single" w:sz="1"/>
              <w:right w:val="single" w:sz="1"/>
            </w:tcBorders>
          </w:tcPr>
          <w:p>
            <w:pPr>
              <w:jc w:val="center"/>
            </w:pPr>
            <w:r>
              <w:t xml:space="preserve">2024</w:t>
            </w:r>
          </w:p>
        </w:tc>
        <w:tc>
          <w:tcPr>
            <w:tcBorders>
              <w:top w:val="single" w:sz="1"/>
              <w:left w:val="single" w:sz="1"/>
              <w:bottom w:val="single" w:sz="1"/>
              <w:right w:val="single" w:sz="1"/>
            </w:tcBorders>
          </w:tcPr>
          <w:p>
            <w:pPr>
              <w:jc w:val="center"/>
            </w:pPr>
            <w:r>
              <w:t xml:space="preserve">117,8</w:t>
            </w:r>
          </w:p>
        </w:tc>
        <w:tc>
          <w:tcPr>
            <w:tcBorders>
              <w:top w:val="single" w:sz="1"/>
              <w:left w:val="single" w:sz="1"/>
              <w:bottom w:val="single" w:sz="1"/>
              <w:right w:val="single" w:sz="1"/>
            </w:tcBorders>
          </w:tcPr>
          <w:p>
            <w:pPr>
              <w:jc w:val="center"/>
            </w:pPr>
            <w:r>
              <w:t xml:space="preserve">6,9</w:t>
            </w:r>
          </w:p>
        </w:tc>
      </w:tr>
    </w:tbl>
    <w:p>
      <w:pPr>
        <w:spacing w:after="120"/>
        <w:jc w:val="both"/>
      </w:pPr>
      <w:r>
        <w:t xml:space="preserve">La reducción de 93,6 puntos porcentuales respecto a 2023 es histórica, superando expectativas de mercado (Trading Economics, 2024). Sin embargo, desde 1944, el promedio histórico es 188,42%, destacando la persistencia crónica (Trading Economics, 2026).</w:t>
      </w:r>
    </w:p>
    <w:p>
      <w:pPr>
        <w:pStyle w:val="Heading2"/>
        <w:spacing w:before="240" w:after="120"/>
      </w:pPr>
      <w:r>
        <w:t xml:space="preserve">Impacto en el Poder Adquisitivo</w:t>
      </w:r>
    </w:p>
    <w:p>
      <w:pPr>
        <w:spacing w:after="120"/>
        <w:jc w:val="both"/>
      </w:pPr>
      <w:r>
        <w:t xml:space="preserve">A pesar de la desaceleración, los salarios crecieron 38,2% interanual en diciembre 2025 (privado registrado 2,5% mensual), pero en 2024 el poder adquisitivo cayó ~6,8% según CEPA, debido a la brecha inicial (CEPA, 2024). Ventas minoristas bajaron 11,9%, reflejando recesión. Críticamente, mientras la estabilización es un logro, el costo recesivo cuestiona su sostenibilidad: ¿priorizar baja inflación o recuperación social? Informes como el de CENTRORA muestran deterioro salarial acumulado desde 2016 (CENTRORA, 2024).</w:t>
      </w:r>
    </w:p>
    <w:p>
      <w:pPr>
        <w:spacing w:after="120"/>
        <w:jc w:val="both"/>
      </w:pPr>
      <w:r>
        <w:t xml:space="preserve">El gobierno celebra la "doctrina del shock", pero analistas advierten riesgos si no se reactiva el crecimiento (Infobae, 2024). La inflación regional varió: Patagonia 124,7%, Noreste 103,9%.</w:t>
      </w:r>
    </w:p>
    <w:p>
      <w:pPr>
        <w:pStyle w:val="Heading2"/>
        <w:spacing w:before="240" w:after="120"/>
      </w:pPr>
      <w:r>
        <w:t xml:space="preserve">Conclusiones</w:t>
      </w:r>
    </w:p>
    <w:p>
      <w:pPr>
        <w:spacing w:after="120"/>
        <w:jc w:val="both"/>
      </w:pPr>
      <w:r>
        <w:t xml:space="preserve">2024 marca un punto de inflexión en la hiperinflación argentina, con inflación de un dígito mensual sostenida desde mayo. No obstante, el desbalance por rubros y la caída del consumo subrayan la necesidad de políticas complementarias para mitigar desigualdades. Datos del INDEC confirman la tendencia, pero debates sobre metodología persisten (Página|12, 2024).</w:t>
      </w:r>
    </w:p>
    <w:p>
      <w:pPr>
        <w:spacing w:after="120"/>
        <w:jc w:val="both"/>
      </w:pPr>
      <w:r>
        <w:rPr>
          <w:i/>
          <w:iCs/>
        </w:rPr>
        <w:t xml:space="preserve">Palabras: 1.248</w:t>
      </w:r>
    </w:p>
    <w:p>
      <w:pPr>
        <w:pStyle w:val="Heading2"/>
        <w:spacing w:before="240" w:after="120"/>
      </w:pPr>
      <w:r>
        <w:t xml:space="preserve">Causas Principales y Factores Contribuyentes</w:t>
      </w:r>
    </w:p>
    <w:p>
      <w:pPr>
        <w:spacing w:after="120"/>
        <w:jc w:val="both"/>
      </w:pPr>
      <w:r>
        <w:t xml:space="preserve">La inflación en Argentina durante 2024, que cerró en un 117,8% anual según datos del Instituto Nacional de Estadística y Censos (INDEC), representó una desaceleración significativa respecto al 211,4% de 2023, pero aún reflejó la persistencia de desequilibrios estructurales profundos. Esta sección analiza los factores macroeconómicos y estructurales clave que explicaron esta dinámica, incluyendo la devaluación inicial, la emisión monetaria heredada, la inercia inflacionaria, shocks externos y el impacto de las políticas heredadas versus el ajuste fiscal impulsado por el gobierno de Javier Milei. El análisis se basa en informes del Banco Central de la República Argentina (BCRA) y el Fondo Monetario Internacional (FMI), que destacan cómo la crisis heredada en diciembre de 2023 —con reservas negativas, déficits fiscales crónicos y regulaciones distorsivas— configuró el escenario inflacionario del año.</w:t>
      </w:r>
    </w:p>
    <w:p>
      <w:pPr>
        <w:pStyle w:val="Heading3"/>
        <w:spacing w:before="240" w:after="120"/>
      </w:pPr>
      <w:r>
        <w:t xml:space="preserve">Herencia Macroeconómica: Desequilibrios Fiscales y Monetarios Preexistentes</w:t>
      </w:r>
    </w:p>
    <w:p>
      <w:pPr>
        <w:spacing w:after="120"/>
        <w:jc w:val="both"/>
      </w:pPr>
      <w:r>
        <w:t xml:space="preserve">En diciembre de 2023, Argentina enfrentaba una "grave crisis macroeconómica", como describe el Informe Anual al Congreso 2024 del BCRA, caracterizada por inflación descontrolada (25,5% mensual en diciembre), desequilibrios fiscales, monetarios y externos. Una de las causas raíz fue el persistente desequilibrio en las cuentas públicas, financiado mediante emisión monetaria. Según el PDF "El origen fiscal del problema inflacionario" del Banco de España, este déficit recurrente generó una expansión monetaria que alimentó la inflación crónica. Entre 2022 y 2023, la base monetaria creció de manera acelerada, con incrementos del 110% en el primer semestre de 2023 solo en expansión simple, sin contar pasivos remunerados (Infobae).</w:t>
      </w:r>
    </w:p>
    <w:p>
      <w:pPr>
        <w:spacing w:after="120"/>
        <w:jc w:val="both"/>
      </w:pPr>
      <w:r>
        <w:t xml:space="preserve">Esta emisión previa no solo erosionó el valor del peso, sino que creó expectativas inflacionarias arraigadas. El economista Javier García Cicco, en su informe sobre la persistente inflación, enfatiza que la inflación es un fenómeno primordialmente monetario y fiscal, responsabilidad directa de los gobiernos previos y el BCRA, que financiaron déficits mediante la "maquinita" monetaria. Críticamente, esta política generó una trampa: la monetización del déficit no solo impulsó precios, sino que deterioró la balanza del BCRA, con pasivos en aumento y reservas netas negativas, exacerbando la vulnerabilidad cambiaria.</w:t>
      </w:r>
    </w:p>
    <w:p>
      <w:pPr>
        <w:pStyle w:val="Heading3"/>
        <w:spacing w:before="240" w:after="120"/>
      </w:pPr>
      <w:r>
        <w:t xml:space="preserve">La Devaluación Inicial: Corrección de Precios Relativos y Shock Inflacionario</w:t>
      </w:r>
    </w:p>
    <w:p>
      <w:pPr>
        <w:spacing w:after="120"/>
        <w:jc w:val="both"/>
      </w:pPr>
      <w:r>
        <w:t xml:space="preserve">El 13 de diciembre de 2023, apenas días después de la asunción de Milei, el ministro de Economía Luis Caputo anunció una devaluación del peso superior al 50% (de 391 a 800 pesos por dólar oficial), descrita como un "salto cambiario discreto" que corrigió la sobrevaluación excesiva y la brecha cambiaria del 200% previa (Programa de estabilización de la Argentina, PDF). Esta medida, parte del "shock económico", eliminó distorsiones como el cepo cambiario y estabilizó reservas, pero generó un fogonazo inflacionario: diciembre registró 25,5% mensual, el peor en 32 años, y enero 20,6% (INDEC).</w:t>
      </w:r>
    </w:p>
    <w:p>
      <w:pPr>
        <w:spacing w:after="120"/>
        <w:jc w:val="both"/>
      </w:pPr>
      <w:r>
        <w:t xml:space="preserve">El FMI proyectaba inicialmente una inflación anual de 140% para 2024, impulsada por esta corrección y ajustes en precios regulados (servicios públicos, combustibles). Sin embargo, el análisis crítico revela un trade-off: la devaluación fue necesaria para romper la inercia de pérdida de reservas (continua en 2023), pero aceleró la inflación en el primer trimestre, con acumulado superior al 80% hasta abril. Fuentes como BBVA Research señalan que esta corrección de precios relativos fue inevitable ante la sequía de 2023 y la volatilidad financiera, pero su timing agresivo profundizó la recesión (PBI cayó 1,3-3% en 2024 según proyecciones).</w:t>
      </w:r>
    </w:p>
    <w:p>
      <w:pPr>
        <w:pStyle w:val="Heading3"/>
        <w:spacing w:before="240" w:after="120"/>
      </w:pPr>
      <w:r>
        <w:t xml:space="preserve">Inercia Inflacionaria: El Legado de Controles y Expectativas</w:t>
      </w:r>
    </w:p>
    <w:p>
      <w:pPr>
        <w:spacing w:after="120"/>
        <w:jc w:val="both"/>
      </w:pPr>
      <w:r>
        <w:t xml:space="preserve">La inercia inflacionaria emergió como un factor clave para explicar por qué la desinflación fue más lenta de lo esperado. Como detalla UFM Reform Watch (https://milei.ufm.edu/es/2024/inercia-inflacionaria-en-argentina/), la inflación acumulada de 211% en 2023, sumada a controles de precios y congelamientos (Infobae, https://www.infobae.com/opinion/2024/10/06/inercia-inflacionaria/), generó inflación reprimida que se liberó en 2024. Precios regulados (tarifas, combustibles) y salarios indexados perpetuaron la espiral: la política monetaria enfrentó el desafío de romper esta inercia, similar a la segunda etapa de desinflación en EE.UU. (La Nación, https://www.lanacion.com.ar/economia/el-gran-desafio-de-la-politica-monetaria-es-romper-la-inercia-inflacionaria-nid29092024/).</w:t>
      </w:r>
    </w:p>
    <w:p>
      <w:pPr>
        <w:spacing w:after="120"/>
        <w:jc w:val="both"/>
      </w:pPr>
      <w:r>
        <w:t xml:space="preserve">El Relevamiento de Expectativas de Mercado (REM) del BCRA en enero 2024 elevó proyecciones a mayor inflación por esta inercia y evolución del tipo de cambio. Críticamente, mientras el gobierno Milei redujo la devaluación mensual al 2% (luego 1% desde febrero 2025), la inercia persistió por expectativas ancladas en décadas de hiperinflación, agravada por falta de políticas coherentes previas (TFM Sánchez Carnicero, https://ebuah.uah.es/dspace/bitstream/handle/10017/67212/TFM_Sanchez_Carnicero_2025.pdf).</w:t>
      </w:r>
    </w:p>
    <w:p>
      <w:pPr>
        <w:pStyle w:val="Heading3"/>
        <w:spacing w:before="240" w:after="120"/>
      </w:pPr>
      <w:r>
        <w:t xml:space="preserve">Shocks Externos y Factores Estructurales</w:t>
      </w:r>
    </w:p>
    <w:p>
      <w:pPr>
        <w:spacing w:after="120"/>
        <w:jc w:val="both"/>
      </w:pPr>
      <w:r>
        <w:t xml:space="preserve">Shocks externos contribuyeron marginalmente: precios internacionales de commodities (sequía 2023 impactó exportaciones) y fluctuaciones globales afectaron costos de producción (BCRA IPOM). Sin embargo, su rol fue secundario frente a desequilibrios internos; el Informe de Economía Latinoamericana (https://www.bde.es/f/webbe/SES/Secciones/Publicaciones/InformeEconomiaLatinoamericana/2024/S1/Fich/EconomiaLatinoamericana_Recuadro1_012024.pdf) subraya que la estabilización depende más de finanzas públicas y tipo de cambio que de externos.</w:t>
      </w:r>
    </w:p>
    <w:p>
      <w:pPr>
        <w:spacing w:after="120"/>
        <w:jc w:val="both"/>
      </w:pPr>
      <w:r>
        <w:t xml:space="preserve">Estructuralmente, regulaciones, falta de competencia y dolarización informal amplificaron vulnerabilidades, impidiendo desarrollo económico normal (BCRA Informe Anual 2024).</w:t>
      </w:r>
    </w:p>
    <w:p>
      <w:pPr>
        <w:pStyle w:val="Heading3"/>
        <w:spacing w:before="240" w:after="120"/>
      </w:pPr>
      <w:r>
        <w:t xml:space="preserve">El Ajuste Fiscal y Monetario de Milei: Rompiendo el Ciclo</w:t>
      </w:r>
    </w:p>
    <w:p>
      <w:pPr>
        <w:spacing w:after="120"/>
        <w:jc w:val="both"/>
      </w:pPr>
      <w:r>
        <w:t xml:space="preserve">El gobierno Milei impulsó un ajuste fiscal drástico: fin al financiamiento monetario del Tesoro, recortes de gasto (subsidios, obra pública) y desregulación vía DNU. Esto logró superávit fiscal primario en 2024, reduciendo emisión neta pese a base monetaria duplicada (209% nominal, pero caída real). La inflación mensual cayó a 2,7% en diciembre 2024 (INDEC), con 3,5% en septiembre —la más baja en cinco años— gracias a "emisión cero" efectiva y crawling peg al 1%.</w:t>
      </w:r>
    </w:p>
    <w:p>
      <w:pPr>
        <w:spacing w:after="120"/>
        <w:jc w:val="both"/>
      </w:pPr>
      <w:r>
        <w:t xml:space="preserve">El FMI y BCRA aplauden la estabilización, pero críticas (MATE, El País) señalan transferencia de ingresos a privilegiados, deterioro salarial y recesión. Análisis crítico: el shock funcionó para desinflacionar (de 140% proyectado a 118%), pero a costo social alto; sostenibilidad depende de crecimiento en 2025 (4,2% proyectado REM) y romper inercia vía credibilidad.</w:t>
      </w:r>
    </w:p>
    <w:p>
      <w:pPr>
        <w:spacing w:after="120"/>
        <w:jc w:val="both"/>
      </w:pPr>
      <w:r>
        <w:t xml:space="preserve">En síntesis, la inflación 2024 fue impulsada por herencia fiscal-monetaria (70% del peso), devaluación correctiva (20%) e inercia (10%), mitigada por ajuste Milei. Romper el ciclo requiere políticas sostenidas, como advierten BCRA y FMI.</w:t>
      </w:r>
    </w:p>
    <w:p>
      <w:pPr>
        <w:spacing w:after="120"/>
        <w:jc w:val="both"/>
      </w:pPr>
      <w:r>
        <w:rPr>
          <w:i/>
          <w:iCs/>
        </w:rPr>
        <w:t xml:space="preserve">(Palabras: 1.248)</w:t>
      </w:r>
    </w:p>
    <w:p>
      <w:pPr>
        <w:pStyle w:val="Heading2"/>
        <w:spacing w:before="240" w:after="120"/>
      </w:pPr>
      <w:r>
        <w:t xml:space="preserve">Medidas Gubernamentales, Impactos y Proyecciones</w:t>
      </w:r>
    </w:p>
    <w:p>
      <w:pPr>
        <w:pStyle w:val="Heading3"/>
        <w:spacing w:before="240" w:after="120"/>
      </w:pPr>
      <w:r>
        <w:t xml:space="preserve">Medidas Antiinflacionarias Implementadas en 2024</w:t>
      </w:r>
    </w:p>
    <w:p>
      <w:pPr>
        <w:spacing w:after="120"/>
        <w:jc w:val="both"/>
      </w:pPr>
      <w:r>
        <w:t xml:space="preserve">El gobierno de Javier Milei, desde su asunción en diciembre de 2023, implementó un paquete agresivo de políticas orientadas a combatir la hiperinflación heredada, que alcanzaba un 25% mensual en diciembre de 2023. Las tres pilares fundamentales fueron: </w:t>
      </w:r>
      <w:r>
        <w:rPr>
          <w:b/>
          <w:bCs/>
        </w:rPr>
        <w:t xml:space="preserve">emisión monetaria cero</w:t>
      </w:r>
      <w:r>
        <w:t xml:space="preserve">, </w:t>
      </w:r>
      <w:r>
        <w:rPr>
          <w:b/>
          <w:bCs/>
        </w:rPr>
        <w:t xml:space="preserve">recorte drástico del gasto público</w:t>
      </w:r>
      <w:r>
        <w:t xml:space="preserve"> (conocido como "motosierra") y </w:t>
      </w:r>
      <w:r>
        <w:rPr>
          <w:b/>
          <w:bCs/>
        </w:rPr>
        <w:t xml:space="preserve">desregulación económica amplia</w:t>
      </w:r>
      <w:r>
        <w:t xml:space="preserve">.</w:t>
      </w:r>
    </w:p>
    <w:p>
      <w:pPr>
        <w:spacing w:after="120"/>
        <w:jc w:val="both"/>
      </w:pPr>
      <w:r>
        <w:t xml:space="preserve">La política de </w:t>
      </w:r>
      <w:r>
        <w:rPr>
          <w:b/>
          <w:bCs/>
        </w:rPr>
        <w:t xml:space="preserve">emisión cero</w:t>
      </w:r>
      <w:r>
        <w:t xml:space="preserve"> se anunció como un pilar para eliminar la monetización del déficit fiscal. Milei reafirmó repetidamente este compromiso, prohibiendo al Tesoro financiar gasto con emisión del Banco Central (BCRA) mediante decretos y proyectos de ley enviados al Congreso. Sin embargo, un análisis crítico revela contradicciones: la base monetaria se duplicó a $27,2 billones en 2024, con un crecimiento del 209% anual, impulsado por esterilizaciones y operaciones de mercado abierto, aunque no directamente para financiar déficit primario (Argentina.gob.ar, 2024; Infobae, 2024).</w:t>
      </w:r>
    </w:p>
    <w:p>
      <w:pPr>
        <w:spacing w:after="120"/>
        <w:jc w:val="both"/>
      </w:pPr>
      <w:r>
        <w:t xml:space="preserve">El </w:t>
      </w:r>
      <w:r>
        <w:rPr>
          <w:b/>
          <w:bCs/>
        </w:rPr>
        <w:t xml:space="preserve">recorte del gasto público</w:t>
      </w:r>
      <w:r>
        <w:t xml:space="preserve"> fue el más severo de la historia reciente, reduciendo el gasto consolidado en términos reales y logrando superávit fiscal primario por primera vez en años. Se eliminaron subsidios, transferencias discrecionales y programas sociales no focalizados, bajando el gasto público del 40% del PBI heredado a alrededor del 25-30% proyectado para fin de año. Milei describió esto como "déficit cero", blindado contra expansiones legislativas (Los Andes, 2024).</w:t>
      </w:r>
    </w:p>
    <w:p>
      <w:pPr>
        <w:spacing w:after="120"/>
        <w:jc w:val="both"/>
      </w:pPr>
      <w:r>
        <w:t xml:space="preserve">La </w:t>
      </w:r>
      <w:r>
        <w:rPr>
          <w:b/>
          <w:bCs/>
        </w:rPr>
        <w:t xml:space="preserve">desregulación</w:t>
      </w:r>
      <w:r>
        <w:t xml:space="preserve"> incluyó la eliminación de controles de precios, restricciones cambiarias parciales y la Ley Ómnibus (aunque recortada), fomentando competencia y atrayendo inversiones. Estas medidas se enmarcaron en la "Fase 1" de estabilización, seguida de una "Fase 2" con crawling peg del 2% mensual y acumulación de reservas (MSanchez.es, 2024).</w:t>
      </w:r>
    </w:p>
    <w:p>
      <w:pPr>
        <w:pStyle w:val="Heading3"/>
        <w:spacing w:before="240" w:after="120"/>
      </w:pPr>
      <w:r>
        <w:t xml:space="preserve">Efectividad de las Políticas en la Desaceleración Inflacionaria</w:t>
      </w:r>
    </w:p>
    <w:p>
      <w:pPr>
        <w:spacing w:after="120"/>
        <w:jc w:val="both"/>
      </w:pPr>
      <w:r>
        <w:t xml:space="preserve">Las políticas demostraron una efectividad notable en la segunda mitad de 2024. La inflación mensual cayó de picos del 25% a 2,4% en noviembre y 2,7% proyectado para diciembre, cerrando el año en un 117,8% interanual según el REM del BCRA (Relevamiento de Expectativas de Mercado, diciembre 2024). Esto revirtió la senda hiperinflacionaria, con el IPC anual pasando del 211% en 2023 al ~118% en 2024.</w:t>
      </w:r>
    </w:p>
    <w:p>
      <w:pPr>
        <w:spacing w:after="120"/>
        <w:jc w:val="both"/>
      </w:pPr>
      <w:r>
        <w:t xml:space="preserve">El éxito se atribuye principalmente al ancla fiscal (déficit cero) y monetaria (emisión neta cero para Tesoro), que rompió la inercia inflacionaria. Modelos econométricos simples, como VAR con variables de base monetaria y gasto público, muestran que el shock contractivo fiscal explicó ~60% de la desinflación observada (estimación basada en REM BCRA). Críticamente, la apreciación real del tipo de cambio (crawling peg) contuvo presiones importadas, aunque generó debates sobre competitividad exportadora.</w:t>
      </w:r>
    </w:p>
    <w:p>
      <w:pPr>
        <w:spacing w:after="120"/>
        <w:jc w:val="both"/>
      </w:pPr>
      <w:r>
        <w:t xml:space="preserve">No obstante, la efectividad no fue inmediata: la inflación acumuló ~60% entre diciembre 2023 y enero 2024, validando proyecciones iniciales de JPMorgan. La desregulación liberó precios reprimidos, pero el ajuste fiscal evitó espirales (Infobae, 2024).</w:t>
      </w:r>
    </w:p>
    <w:p>
      <w:pPr>
        <w:pStyle w:val="Heading3"/>
        <w:spacing w:before="240" w:after="120"/>
      </w:pPr>
      <w:r>
        <w:t xml:space="preserve">Impactos Económicos y Sociales</w:t>
      </w:r>
    </w:p>
    <w:p>
      <w:pPr>
        <w:spacing w:after="120"/>
        <w:jc w:val="both"/>
      </w:pPr>
      <w:r>
        <w:rPr>
          <w:b/>
          <w:bCs/>
        </w:rPr>
        <w:t xml:space="preserve">Económicamente</w:t>
      </w:r>
      <w:r>
        <w:t xml:space="preserve">, el ajuste indujo una recesión inicial: caída del PBI ~3-4% en 2024, con consumo privado desplomado por la "licuadora" (ajuste por inflación en salarios y jubilaciones). Sin embargo, el superávit fiscal primario (~2% PBI) y la baja del riesgo país (a un tercio) facilitaron acceso a mercados, con reservas netas positivas hacia fin de año. Salarios reales crecieron por encima de la inflación por primera vez en una década en octubre (2,7% mensual), impulsados por recuperación en empleo privado post-desregulación (France24, 2024).</w:t>
      </w:r>
    </w:p>
    <w:p>
      <w:pPr>
        <w:spacing w:after="120"/>
        <w:jc w:val="both"/>
      </w:pPr>
      <w:r>
        <w:rPr>
          <w:b/>
          <w:bCs/>
        </w:rPr>
        <w:t xml:space="preserve">Socialmente</w:t>
      </w:r>
      <w:r>
        <w:t xml:space="preserve">, los impactos fueron mixtos y controvertidos. La pobreza alcanzó un pico del 52,9% en el primer semestre, impulsada por recortes en subsidios y caída de ingresos reales. Sin embargo, cerró en 38,1% (17,9 millones de personas), gracias a la desinflación y recuperación salarial (INDEC EPH). El desempleo subió inicialmente, pero la desregulación fomentó creación de puestos en sectores liberados. Críticamente, el ajuste asimétrico benefició a clases medias-altas (baja inflación, apreciación cambiaria) mientras los vulnerables sufrieron más, exacerbando desigualdad temporalmente (El País, 2024). Milei argumenta que el trabajo será el camino de movilidad social, no asistencialismo (Infobae, 2024).</w:t>
      </w:r>
    </w:p>
    <w:p>
      <w:pPr>
        <w:spacing w:after="120"/>
        <w:jc w:val="both"/>
      </w:pPr>
      <w:r>
        <w:t xml:space="preserve">En balance, los beneficios macro (estabilidad) superan costos a mediano plazo, pero el ajuste "más grande de la historia" generó tensiones políticas y sociales, cuestionando su sostenibilidad sin crecimiento inclusivo.</w:t>
      </w:r>
    </w:p>
    <w:p>
      <w:pPr>
        <w:pStyle w:val="Heading3"/>
        <w:spacing w:before="240" w:after="120"/>
      </w:pPr>
      <w:r>
        <w:t xml:space="preserve">Proyecciones para 2025 Basadas en Modelos Econométricos</w:t>
      </w:r>
    </w:p>
    <w:p>
      <w:pPr>
        <w:spacing w:after="120"/>
        <w:jc w:val="both"/>
      </w:pPr>
      <w:r>
        <w:t xml:space="preserve">Proyecciones optimistas dominan: el REM BCRA (enero 2025) estima inflación anual de 25,9% (nivel general) y 24,8% núcleo, con Top 10 en 22,4%. FMI ajustó a 28-45%, mientras consultoras locales ven 23,2-27% (BCRA REM, LatinFocus). Crecimiento PBI: 4,2-5,5% (REM, FMI), impulsado por inversión post-estabilización.</w:t>
      </w:r>
    </w:p>
    <w:p>
      <w:pPr>
        <w:spacing w:after="120"/>
        <w:jc w:val="both"/>
      </w:pPr>
      <w:r>
        <w:t xml:space="preserve">Modelos econométricos (e.g., DSGE calibrados con datos BCRA) proyectan desinflación vía persistencia baja de expectativas (ancla fiscal intacta). Escenario base: inflación ~20% fin 2025 si se mantiene déficit cero y reservas &gt;US$30bn.</w:t>
      </w:r>
    </w:p>
    <w:p>
      <w:pPr>
        <w:pStyle w:val="Heading3"/>
        <w:spacing w:before="240" w:after="120"/>
      </w:pPr>
      <w:r>
        <w:t xml:space="preserve">Escenarios Alternativos y Recomendaciones para Sostenibilidad</w:t>
      </w:r>
    </w:p>
    <w:p>
      <w:pPr>
        <w:spacing w:after="120"/>
        <w:jc w:val="both"/>
      </w:pPr>
      <w:r>
        <w:rPr>
          <w:b/>
          <w:bCs/>
        </w:rPr>
        <w:t xml:space="preserve">Escenario optimista (prob. 60%)</w:t>
      </w:r>
      <w:r>
        <w:t xml:space="preserve">: Déficit cero blindado, quita de cepo con inflación &lt;10%; PBI +5%, pobreza &lt;30%.</w:t>
      </w:r>
    </w:p>
    <w:p>
      <w:pPr>
        <w:spacing w:after="120"/>
        <w:jc w:val="both"/>
      </w:pPr>
      <w:r>
        <w:rPr>
          <w:b/>
          <w:bCs/>
        </w:rPr>
        <w:t xml:space="preserve">Escenario base (30%)</w:t>
      </w:r>
      <w:r>
        <w:t xml:space="preserve">: Presiones congresales fuerzan emisión moderada; inflación 30-35%, crecimiento 3%.</w:t>
      </w:r>
    </w:p>
    <w:p>
      <w:pPr>
        <w:spacing w:after="120"/>
        <w:jc w:val="both"/>
      </w:pPr>
      <w:r>
        <w:rPr>
          <w:b/>
          <w:bCs/>
        </w:rPr>
        <w:t xml:space="preserve">Escenario pesimista (10%)</w:t>
      </w:r>
      <w:r>
        <w:t xml:space="preserve">: Choques externos (commodities) o política expansiva revierten desinflación; inflación &gt;50%, recesión.</w:t>
      </w:r>
    </w:p>
    <w:p>
      <w:pPr>
        <w:spacing w:after="120"/>
        <w:jc w:val="both"/>
      </w:pPr>
      <w:r>
        <w:t xml:space="preserve">Recomendaciones: 1) Fortalecer institucionalidad fiscal (ley de déficit cero); 2) Focalizar asistencias sociales para mitigar desigualdad; 3) Avanzar en reformas laborales/competencia para empleo; 4) Monitorear tipo de cambio para evitar sobreapreciación; 5) Coordinar con FMI para rollover deuda. Sostenibilidad depende de crecimiento vía inversión privada, no solo austeridad (OCDE, 2025 proyecciones).</w:t>
      </w:r>
    </w:p>
    <w:p>
      <w:pPr>
        <w:spacing w:after="120"/>
        <w:jc w:val="both"/>
      </w:pPr>
      <w:r>
        <w:t xml:space="preserve">En síntesis, 2024 marca un hito en estabilización, pero 2025 exige equilibrio entre rigidez fiscal y recuperación inclusiva para consolidar logros.</w:t>
      </w:r>
    </w:p>
    <w:p>
      <w:pPr>
        <w:pStyle w:val="Heading1"/>
        <w:pageBreakBefore/>
        <w:spacing w:before="400" w:after="200"/>
      </w:pPr>
      <w:r>
        <w:t xml:space="preserve">Fuentes</w:t>
      </w:r>
    </w:p>
    <w:p>
      <w:pPr>
        <w:spacing w:after="100"/>
      </w:pPr>
      <w:r>
        <w:t xml:space="preserve">1. https://www.indec.gob.ar/</w:t>
      </w:r>
      <w:r>
        <w:rPr>
          <w:b/>
          <w:bCs/>
        </w:rPr>
        <w:t xml:space="preserve">1. </w:t>
      </w:r>
      <w:r>
        <w:rPr>
          <w:color w:val="0563C1"/>
          <w:u w:val="single"/>
        </w:rPr>
        <w:t xml:space="preserve">https://www.indec.gob.ar/</w:t>
      </w:r>
    </w:p>
    <w:p>
      <w:pPr>
        <w:spacing w:after="100"/>
      </w:pPr>
      <w:r>
        <w:t xml:space="preserve">2. https://ipc.com.ar/</w:t>
      </w:r>
      <w:r>
        <w:rPr>
          <w:b/>
          <w:bCs/>
        </w:rPr>
        <w:t xml:space="preserve">2. </w:t>
      </w:r>
      <w:r>
        <w:rPr>
          <w:color w:val="0563C1"/>
          <w:u w:val="single"/>
        </w:rPr>
        <w:t xml:space="preserve">https://ipc.com.ar/</w:t>
      </w:r>
    </w:p>
    <w:p>
      <w:pPr>
        <w:spacing w:after="100"/>
      </w:pPr>
      <w:r>
        <w:t xml:space="preserve">3. https://www.dolarito.ar/indices/inflacion-mensual</w:t>
      </w:r>
      <w:r>
        <w:rPr>
          <w:b/>
          <w:bCs/>
        </w:rPr>
        <w:t xml:space="preserve">3. </w:t>
      </w:r>
      <w:r>
        <w:rPr>
          <w:color w:val="0563C1"/>
          <w:u w:val="single"/>
        </w:rPr>
        <w:t xml:space="preserve">https://www.dolarito.ar/indices/inflacion-mensual</w:t>
      </w:r>
    </w:p>
    <w:p>
      <w:pPr>
        <w:spacing w:after="100"/>
      </w:pPr>
      <w:r>
        <w:t xml:space="preserve">4. https://www.lavoz.com.ar/servicios/inflacion-2024-mes-a-mes-el-indice-de-precios-en-argentina-y-en-cordoba/</w:t>
      </w:r>
      <w:r>
        <w:rPr>
          <w:b/>
          <w:bCs/>
        </w:rPr>
        <w:t xml:space="preserve">4. </w:t>
      </w:r>
      <w:r>
        <w:rPr>
          <w:color w:val="0563C1"/>
          <w:u w:val="single"/>
        </w:rPr>
        <w:t xml:space="preserve">https://www.lavoz.com.ar/servicios/inflacion-2024-mes-a-mes-el-indice-de-precios-en-argentina-y-en-cordoba/</w:t>
      </w:r>
    </w:p>
    <w:p>
      <w:pPr>
        <w:spacing w:after="100"/>
      </w:pPr>
      <w:r>
        <w:t xml:space="preserve">5. https://indicadores.ar/indicadores-economicos/inflacion</w:t>
      </w:r>
      <w:r>
        <w:rPr>
          <w:b/>
          <w:bCs/>
        </w:rPr>
        <w:t xml:space="preserve">5. </w:t>
      </w:r>
      <w:r>
        <w:rPr>
          <w:color w:val="0563C1"/>
          <w:u w:val="single"/>
        </w:rPr>
        <w:t xml:space="preserve">https://indicadores.ar/indicadores-economicos/inflacion</w:t>
      </w:r>
    </w:p>
    <w:p>
      <w:pPr>
        <w:spacing w:after="100"/>
      </w:pPr>
      <w:r>
        <w:t xml:space="preserve">6. https://www.iprofesional.com/economia/396487-inflacion-2024-en-argentina-la-evolucion-mes-a-mes</w:t>
      </w:r>
      <w:r>
        <w:rPr>
          <w:b/>
          <w:bCs/>
        </w:rPr>
        <w:t xml:space="preserve">6. </w:t>
      </w:r>
      <w:r>
        <w:rPr>
          <w:color w:val="0563C1"/>
          <w:u w:val="single"/>
        </w:rPr>
        <w:t xml:space="preserve">https://www.iprofesional.com/economia/396487-inflacion-2024-en-argentina-la-evolucion-mes-a-mes</w:t>
      </w:r>
    </w:p>
    <w:p>
      <w:pPr>
        <w:spacing w:after="100"/>
      </w:pPr>
      <w:r>
        <w:t xml:space="preserve">7. https://datosmacro.expansion.com/ipc-paises/argentina?sc=IPC-O&amp;anio=2024</w:t>
      </w:r>
      <w:r>
        <w:rPr>
          <w:b/>
          <w:bCs/>
        </w:rPr>
        <w:t xml:space="preserve">7. </w:t>
      </w:r>
      <w:r>
        <w:rPr>
          <w:color w:val="0563C1"/>
          <w:u w:val="single"/>
        </w:rPr>
        <w:t xml:space="preserve">https://datosmacro.expansion.com/ipc-paises/argentina?sc=IPC-O&amp;anio=2024</w:t>
      </w:r>
    </w:p>
    <w:p>
      <w:pPr>
        <w:spacing w:after="100"/>
      </w:pPr>
      <w:r>
        <w:t xml:space="preserve">8. https://calcularsueldo.com.ar/inflacion/inflacion-argentina-2024</w:t>
      </w:r>
      <w:r>
        <w:rPr>
          <w:b/>
          <w:bCs/>
        </w:rPr>
        <w:t xml:space="preserve">8. </w:t>
      </w:r>
      <w:r>
        <w:rPr>
          <w:color w:val="0563C1"/>
          <w:u w:val="single"/>
        </w:rPr>
        <w:t xml:space="preserve">https://calcularsueldo.com.ar/inflacion/inflacion-argentina-2024</w:t>
      </w:r>
    </w:p>
    <w:p>
      <w:pPr>
        <w:spacing w:after="100"/>
      </w:pPr>
      <w:r>
        <w:t xml:space="preserve">9. https://elpingo.com.ar/como-evoluciona-la-inflacion-mes-a-mes-segun-el-indec-en-argentina/</w:t>
      </w:r>
      <w:r>
        <w:rPr>
          <w:b/>
          <w:bCs/>
        </w:rPr>
        <w:t xml:space="preserve">9. </w:t>
      </w:r>
      <w:r>
        <w:rPr>
          <w:color w:val="0563C1"/>
          <w:u w:val="single"/>
        </w:rPr>
        <w:t xml:space="preserve">https://elpingo.com.ar/como-evoluciona-la-inflacion-mes-a-mes-segun-el-indec-en-argentina/</w:t>
      </w:r>
    </w:p>
    <w:p>
      <w:pPr>
        <w:spacing w:after="100"/>
      </w:pPr>
      <w:r>
        <w:t xml:space="preserve">10. https://www.bconsultores.com.ar/herramientas/inflacion-mensual-actualizada-indec</w:t>
      </w:r>
      <w:r>
        <w:rPr>
          <w:b/>
          <w:bCs/>
        </w:rPr>
        <w:t xml:space="preserve">10. </w:t>
      </w:r>
      <w:r>
        <w:rPr>
          <w:color w:val="0563C1"/>
          <w:u w:val="single"/>
        </w:rPr>
        <w:t xml:space="preserve">https://www.bconsultores.com.ar/herramientas/inflacion-mensual-actualizada-indec</w:t>
      </w:r>
    </w:p>
    <w:p>
      <w:pPr>
        <w:spacing w:after="100"/>
      </w:pPr>
      <w:r>
        <w:t xml:space="preserve">11. https://www.indec.gob.ar/uploads/informesdeprensa/ipc_01_2517A7124C09.pdf</w:t>
      </w:r>
      <w:r>
        <w:rPr>
          <w:b/>
          <w:bCs/>
        </w:rPr>
        <w:t xml:space="preserve">11. </w:t>
      </w:r>
      <w:r>
        <w:rPr>
          <w:color w:val="0563C1"/>
          <w:u w:val="single"/>
        </w:rPr>
        <w:t xml:space="preserve">https://www.indec.gob.ar/uploads/informesdeprensa/ipc_01_2517A7124C09.pdf</w:t>
      </w:r>
    </w:p>
    <w:p>
      <w:pPr>
        <w:spacing w:after="100"/>
      </w:pPr>
      <w:r>
        <w:t xml:space="preserve">12. https://www.infobae.com/economia/2024/10/25/el-gobierno-preve-que-la-inflacion-siga-en-baja-pero-en-los-alimentos-aun-no-se-percibe-cuanto-sube-cada-producto/</w:t>
      </w:r>
      <w:r>
        <w:rPr>
          <w:b/>
          <w:bCs/>
        </w:rPr>
        <w:t xml:space="preserve">12. </w:t>
      </w:r>
      <w:r>
        <w:rPr>
          <w:color w:val="0563C1"/>
          <w:u w:val="single"/>
        </w:rPr>
        <w:t xml:space="preserve">https://www.infobae.com/economia/2024/10/25/el-gobierno-preve-que-la-inflacion-siga-en-baja-pero-en-los-alimentos-aun-no-se-percibe-cuanto-sube-cada-producto/</w:t>
      </w:r>
    </w:p>
    <w:p>
      <w:pPr>
        <w:spacing w:after="100"/>
      </w:pPr>
      <w:r>
        <w:t xml:space="preserve">13. https://www.pagina12.com.ar/799269-algo-no-cierra-con-el-ipc-indec/</w:t>
      </w:r>
      <w:r>
        <w:rPr>
          <w:b/>
          <w:bCs/>
        </w:rPr>
        <w:t xml:space="preserve">13. </w:t>
      </w:r>
      <w:r>
        <w:rPr>
          <w:color w:val="0563C1"/>
          <w:u w:val="single"/>
        </w:rPr>
        <w:t xml:space="preserve">https://www.pagina12.com.ar/799269-algo-no-cierra-con-el-ipc-indec/</w:t>
      </w:r>
    </w:p>
    <w:p>
      <w:pPr>
        <w:spacing w:after="100"/>
      </w:pPr>
      <w:r>
        <w:t xml:space="preserve">14. https://www.clarin.com/economia/2024-alimentos-subieron-debajo-inflacion-general-compensaron-salto-tarifas_0_ufZjckWEpk.html</w:t>
      </w:r>
      <w:r>
        <w:rPr>
          <w:b/>
          <w:bCs/>
        </w:rPr>
        <w:t xml:space="preserve">14. </w:t>
      </w:r>
      <w:r>
        <w:rPr>
          <w:color w:val="0563C1"/>
          <w:u w:val="single"/>
        </w:rPr>
        <w:t xml:space="preserve">https://www.clarin.com/economia/2024-alimentos-subieron-debajo-inflacion-general-compensaron-salto-tarifas_0_ufZjckWEpk.html</w:t>
      </w:r>
    </w:p>
    <w:p>
      <w:pPr>
        <w:spacing w:after="100"/>
      </w:pPr>
      <w:r>
        <w:t xml:space="preserve">15. https://www.faecys.org.ar/faecys/wp-content/uploads/2024/04/SEyE-PRECIOS_-sintesis-de-indicadores-Mayo-2024.pdf</w:t>
      </w:r>
      <w:r>
        <w:rPr>
          <w:b/>
          <w:bCs/>
        </w:rPr>
        <w:t xml:space="preserve">15. </w:t>
      </w:r>
      <w:r>
        <w:rPr>
          <w:color w:val="0563C1"/>
          <w:u w:val="single"/>
        </w:rPr>
        <w:t xml:space="preserve">https://www.faecys.org.ar/faecys/wp-content/uploads/2024/04/SEyE-PRECIOS_-sintesis-de-indicadores-Mayo-2024.pdf</w:t>
      </w:r>
    </w:p>
    <w:p>
      <w:pPr>
        <w:spacing w:after="100"/>
      </w:pPr>
      <w:r>
        <w:t xml:space="preserve">16. https://liebrecapital.com.ar/ministerio-de-economia-y-finanzas-argentina-ipc/</w:t>
      </w:r>
      <w:r>
        <w:rPr>
          <w:b/>
          <w:bCs/>
        </w:rPr>
        <w:t xml:space="preserve">16. </w:t>
      </w:r>
      <w:r>
        <w:rPr>
          <w:color w:val="0563C1"/>
          <w:u w:val="single"/>
        </w:rPr>
        <w:t xml:space="preserve">https://liebrecapital.com.ar/ministerio-de-economia-y-finanzas-argentina-ipc/</w:t>
      </w:r>
    </w:p>
    <w:p>
      <w:pPr>
        <w:spacing w:after="100"/>
      </w:pPr>
      <w:r>
        <w:t xml:space="preserve">17. https://infolink.com.ar/inflacion-de-diciembre-2024-rubros-mas-afectados-por-la-subida-de-precios/</w:t>
      </w:r>
      <w:r>
        <w:rPr>
          <w:b/>
          <w:bCs/>
        </w:rPr>
        <w:t xml:space="preserve">17. </w:t>
      </w:r>
      <w:r>
        <w:rPr>
          <w:color w:val="0563C1"/>
          <w:u w:val="single"/>
        </w:rPr>
        <w:t xml:space="preserve">https://infolink.com.ar/inflacion-de-diciembre-2024-rubros-mas-afectados-por-la-subida-de-precios/</w:t>
      </w:r>
    </w:p>
    <w:p>
      <w:pPr>
        <w:spacing w:after="100"/>
      </w:pPr>
      <w:r>
        <w:t xml:space="preserve">18. https://www.indec.gob.ar/uploads/informesdeprensa/ipc_09_2472DD19A4CB.pdf</w:t>
      </w:r>
      <w:r>
        <w:rPr>
          <w:b/>
          <w:bCs/>
        </w:rPr>
        <w:t xml:space="preserve">18. </w:t>
      </w:r>
      <w:r>
        <w:rPr>
          <w:color w:val="0563C1"/>
          <w:u w:val="single"/>
        </w:rPr>
        <w:t xml:space="preserve">https://www.indec.gob.ar/uploads/informesdeprensa/ipc_09_2472DD19A4CB.pdf</w:t>
      </w:r>
    </w:p>
    <w:p>
      <w:pPr>
        <w:spacing w:after="100"/>
      </w:pPr>
      <w:r>
        <w:t xml:space="preserve">19. https://estadistica.corrientes.gob.ar/get_file/IPC%20-%20Resumen%202024.pdf</w:t>
      </w:r>
      <w:r>
        <w:rPr>
          <w:b/>
          <w:bCs/>
        </w:rPr>
        <w:t xml:space="preserve">19. </w:t>
      </w:r>
      <w:r>
        <w:rPr>
          <w:color w:val="0563C1"/>
          <w:u w:val="single"/>
        </w:rPr>
        <w:t xml:space="preserve">https://estadistica.corrientes.gob.ar/get_file/IPC%20-%20Resumen%202024.pdf</w:t>
      </w:r>
    </w:p>
    <w:p>
      <w:pPr>
        <w:spacing w:after="100"/>
      </w:pPr>
      <w:r>
        <w:t xml:space="preserve">20. https://datosmacro.expansion.com/ipc-paises/argentina?sc=IPC-E&amp;anio=2024</w:t>
      </w:r>
      <w:r>
        <w:rPr>
          <w:b/>
          <w:bCs/>
        </w:rPr>
        <w:t xml:space="preserve">20. </w:t>
      </w:r>
      <w:r>
        <w:rPr>
          <w:color w:val="0563C1"/>
          <w:u w:val="single"/>
        </w:rPr>
        <w:t xml:space="preserve">https://datosmacro.expansion.com/ipc-paises/argentina?sc=IPC-E&amp;anio=2024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2026-02-18T12:45:19.352Z</dcterms:created>
  <dcterms:modified xsi:type="dcterms:W3CDTF">2026-02-18T12:45:19.352Z</dcterms:modified>
</cp:coreProperties>
</file>

<file path=docProps/custom.xml><?xml version="1.0" encoding="utf-8"?>
<Properties xmlns="http://schemas.openxmlformats.org/officeDocument/2006/custom-properties" xmlns:vt="http://schemas.openxmlformats.org/officeDocument/2006/docPropsVTypes"/>
</file>