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Informe sobre la Inflación en Argentina en 2024: Análisis Exhaustivo</w:t>
      </w:r>
    </w:p>
    <w:p>
      <w:pPr>
        <w:pStyle w:val="Heading1"/>
        <w:spacing w:before="200" w:after="200"/>
      </w:pPr>
      <w:r>
        <w:t xml:space="preserve">Resumen Ejecutivo</w:t>
      </w:r>
    </w:p>
    <w:p>
      <w:pPr>
        <w:spacing w:after="120"/>
        <w:jc w:val="both"/>
      </w:pPr>
      <w:r>
        <w:t xml:space="preserve">Este informe analiza la evolución de la inflación en Argentina durante 2024, destacando tasas mensuales y anuales reportadas por el INDEC. Se examinan las causas principales, incluyendo desequilibrios fiscales y shocks externos, así como las medidas implementadas por el gobierno de Javier Milei. Finalmente, se presentan impactos socioeconómicos y proyecciones para 2025 basadas en datos verificables.</w:t>
      </w:r>
    </w:p>
    <w:p>
      <w:pPr>
        <w:spacing w:before="400" w:after="400"/>
      </w:pPr>
    </w:p>
    <w:p>
      <w:pPr>
        <w:pStyle w:val="Heading2"/>
        <w:spacing w:before="240" w:after="120"/>
      </w:pPr>
      <w:r>
        <w:t xml:space="preserve">Evolución y Datos de Inflación en 2024</w:t>
      </w:r>
    </w:p>
    <w:p>
      <w:pPr>
        <w:spacing w:after="120"/>
        <w:jc w:val="both"/>
      </w:pPr>
      <w:r>
        <w:t xml:space="preserve">La inflación en Argentina durante 2024 representó un capítulo pivotal en la historia económica reciente del país, marcado por una desaceleración significativa bajo las políticas de ajuste implementadas por el gobierno de Javier Milei. Según datos oficiales del Instituto Nacional de Estadística y Censos (INDEC), el Índice de Precios al Consumidor (IPC) cerró el año con una variación anual del 117,8%, una cifra elevada pero sustancialmente inferior al 211% registrado en 2023. Esta sección analiza la evolución mensual, la inflación acumulada, el desglose por rubros y comparaciones históricas, destacando la tendencia descendente observada desde los picos iniciales hasta los mínimos recientes.</w:t>
      </w:r>
    </w:p>
    <w:p>
      <w:pPr>
        <w:pStyle w:val="Heading3"/>
        <w:spacing w:before="240" w:after="120"/>
      </w:pPr>
      <w:r>
        <w:t xml:space="preserve">Inflación Mensual: Una Trayectoria de Desaceleración</w:t>
      </w:r>
    </w:p>
    <w:p>
      <w:pPr>
        <w:spacing w:after="120"/>
        <w:jc w:val="both"/>
      </w:pPr>
      <w:r>
        <w:t xml:space="preserve">El año 2024 inició con tasas mensuales extremadamente altas, herencia de la hiperinflación de diciembre de 2023 (25,5%). Sin embargo, las medidas de shock económico, como la devaluación controlada, el recorte del gasto público y la eliminación de subsidios, impulsaron una rápida moderación. La tabla siguiente resume las variaciones mensuales del IPC nacional, según informes del INDEC: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sz="1"/>
              <w:left w:val="single" w:sz="1"/>
              <w:bottom w:val="single" w:sz="1"/>
              <w:right w:val="single" w:sz="1"/>
            </w:tcBorders>
            <w:shd w:fill="E7E6E6"/>
          </w:tcPr>
          <w:p>
            <w:pPr>
              <w:jc w:val="center"/>
            </w:pPr>
            <w:r>
              <w:t xml:space="preserve">Mes</w:t>
            </w:r>
          </w:p>
        </w:tc>
        <w:tc>
          <w:tcPr>
            <w:tcBorders>
              <w:top w:val="single" w:sz="1"/>
              <w:left w:val="single" w:sz="1"/>
              <w:bottom w:val="single" w:sz="1"/>
              <w:right w:val="single" w:sz="1"/>
            </w:tcBorders>
            <w:shd w:fill="E7E6E6"/>
          </w:tcPr>
          <w:p>
            <w:pPr>
              <w:jc w:val="center"/>
            </w:pPr>
            <w:r>
              <w:t xml:space="preserve">Inflación Mensual (%)</w:t>
            </w:r>
          </w:p>
        </w:tc>
        <w:tc>
          <w:tcPr>
            <w:tcBorders>
              <w:top w:val="single" w:sz="1"/>
              <w:left w:val="single" w:sz="1"/>
              <w:bottom w:val="single" w:sz="1"/>
              <w:right w:val="single" w:sz="1"/>
            </w:tcBorders>
            <w:shd w:fill="E7E6E6"/>
          </w:tcPr>
          <w:p>
            <w:pPr>
              <w:jc w:val="center"/>
            </w:pPr>
            <w:r>
              <w:t xml:space="preserve">Acumulada en el Año (%)</w:t>
            </w:r>
          </w:p>
        </w:tc>
        <w:tc>
          <w:tcPr>
            <w:tcBorders>
              <w:top w:val="single" w:sz="1"/>
              <w:left w:val="single" w:sz="1"/>
              <w:bottom w:val="single" w:sz="1"/>
              <w:right w:val="single" w:sz="1"/>
            </w:tcBorders>
            <w:shd w:fill="E7E6E6"/>
          </w:tcPr>
          <w:p>
            <w:pPr>
              <w:jc w:val="center"/>
            </w:pPr>
            <w:r>
              <w:t xml:space="preserve">Interanual (%)</w:t>
            </w:r>
          </w:p>
        </w:tc>
      </w:tr>
      <w:tr>
        <w:tc>
          <w:tcPr>
            <w:tcBorders>
              <w:top w:val="single" w:sz="1"/>
              <w:left w:val="single" w:sz="1"/>
              <w:bottom w:val="single" w:sz="1"/>
              <w:right w:val="single" w:sz="1"/>
            </w:tcBorders>
          </w:tcPr>
          <w:p>
            <w:pPr>
              <w:jc w:val="center"/>
            </w:pPr>
            <w:r>
              <w:t xml:space="preserve">Enero</w:t>
            </w:r>
          </w:p>
        </w:tc>
        <w:tc>
          <w:tcPr>
            <w:tcBorders>
              <w:top w:val="single" w:sz="1"/>
              <w:left w:val="single" w:sz="1"/>
              <w:bottom w:val="single" w:sz="1"/>
              <w:right w:val="single" w:sz="1"/>
            </w:tcBorders>
          </w:tcPr>
          <w:p>
            <w:pPr>
              <w:jc w:val="center"/>
            </w:pPr>
            <w:r>
              <w:t xml:space="preserve">20,6</w:t>
            </w:r>
          </w:p>
        </w:tc>
        <w:tc>
          <w:tcPr>
            <w:tcBorders>
              <w:top w:val="single" w:sz="1"/>
              <w:left w:val="single" w:sz="1"/>
              <w:bottom w:val="single" w:sz="1"/>
              <w:right w:val="single" w:sz="1"/>
            </w:tcBorders>
          </w:tcPr>
          <w:p>
            <w:pPr>
              <w:jc w:val="center"/>
            </w:pPr>
            <w:r>
              <w:t xml:space="preserve">20,6</w:t>
            </w:r>
          </w:p>
        </w:tc>
        <w:tc>
          <w:tcPr>
            <w:tcBorders>
              <w:top w:val="single" w:sz="1"/>
              <w:left w:val="single" w:sz="1"/>
              <w:bottom w:val="single" w:sz="1"/>
              <w:right w:val="single" w:sz="1"/>
            </w:tcBorders>
          </w:tcPr>
          <w:p>
            <w:pPr>
              <w:jc w:val="center"/>
            </w:pPr>
            <w:r>
              <w:t xml:space="preserve">254,2</w:t>
            </w:r>
          </w:p>
        </w:tc>
      </w:tr>
      <w:tr>
        <w:tc>
          <w:tcPr>
            <w:tcBorders>
              <w:top w:val="single" w:sz="1"/>
              <w:left w:val="single" w:sz="1"/>
              <w:bottom w:val="single" w:sz="1"/>
              <w:right w:val="single" w:sz="1"/>
            </w:tcBorders>
          </w:tcPr>
          <w:p>
            <w:pPr>
              <w:jc w:val="center"/>
            </w:pPr>
            <w:r>
              <w:t xml:space="preserve">Febrero</w:t>
            </w:r>
          </w:p>
        </w:tc>
        <w:tc>
          <w:tcPr>
            <w:tcBorders>
              <w:top w:val="single" w:sz="1"/>
              <w:left w:val="single" w:sz="1"/>
              <w:bottom w:val="single" w:sz="1"/>
              <w:right w:val="single" w:sz="1"/>
            </w:tcBorders>
          </w:tcPr>
          <w:p>
            <w:pPr>
              <w:jc w:val="center"/>
            </w:pPr>
            <w:r>
              <w:t xml:space="preserve">13,2</w:t>
            </w:r>
          </w:p>
        </w:tc>
        <w:tc>
          <w:tcPr>
            <w:tcBorders>
              <w:top w:val="single" w:sz="1"/>
              <w:left w:val="single" w:sz="1"/>
              <w:bottom w:val="single" w:sz="1"/>
              <w:right w:val="single" w:sz="1"/>
            </w:tcBorders>
          </w:tcPr>
          <w:p>
            <w:pPr>
              <w:jc w:val="center"/>
            </w:pPr>
            <w:r>
              <w:t xml:space="preserve">36,1</w:t>
            </w:r>
          </w:p>
        </w:tc>
        <w:tc>
          <w:tcPr>
            <w:tcBorders>
              <w:top w:val="single" w:sz="1"/>
              <w:left w:val="single" w:sz="1"/>
              <w:bottom w:val="single" w:sz="1"/>
              <w:right w:val="single" w:sz="1"/>
            </w:tcBorders>
          </w:tcPr>
          <w:p>
            <w:pPr>
              <w:jc w:val="center"/>
            </w:pPr>
            <w:r>
              <w:t xml:space="preserve">276,2</w:t>
            </w:r>
          </w:p>
        </w:tc>
      </w:tr>
      <w:tr>
        <w:tc>
          <w:tcPr>
            <w:tcBorders>
              <w:top w:val="single" w:sz="1"/>
              <w:left w:val="single" w:sz="1"/>
              <w:bottom w:val="single" w:sz="1"/>
              <w:right w:val="single" w:sz="1"/>
            </w:tcBorders>
          </w:tcPr>
          <w:p>
            <w:pPr>
              <w:jc w:val="center"/>
            </w:pPr>
            <w:r>
              <w:t xml:space="preserve">Marzo</w:t>
            </w:r>
          </w:p>
        </w:tc>
        <w:tc>
          <w:tcPr>
            <w:tcBorders>
              <w:top w:val="single" w:sz="1"/>
              <w:left w:val="single" w:sz="1"/>
              <w:bottom w:val="single" w:sz="1"/>
              <w:right w:val="single" w:sz="1"/>
            </w:tcBorders>
          </w:tcPr>
          <w:p>
            <w:pPr>
              <w:jc w:val="center"/>
            </w:pPr>
            <w:r>
              <w:t xml:space="preserve">11,0</w:t>
            </w:r>
          </w:p>
        </w:tc>
        <w:tc>
          <w:tcPr>
            <w:tcBorders>
              <w:top w:val="single" w:sz="1"/>
              <w:left w:val="single" w:sz="1"/>
              <w:bottom w:val="single" w:sz="1"/>
              <w:right w:val="single" w:sz="1"/>
            </w:tcBorders>
          </w:tcPr>
          <w:p>
            <w:pPr>
              <w:jc w:val="center"/>
            </w:pPr>
            <w:r>
              <w:t xml:space="preserve">55,9</w:t>
            </w:r>
          </w:p>
        </w:tc>
        <w:tc>
          <w:tcPr>
            <w:tcBorders>
              <w:top w:val="single" w:sz="1"/>
              <w:left w:val="single" w:sz="1"/>
              <w:bottom w:val="single" w:sz="1"/>
              <w:right w:val="single" w:sz="1"/>
            </w:tcBorders>
          </w:tcPr>
          <w:p>
            <w:pPr>
              <w:jc w:val="center"/>
            </w:pPr>
            <w:r>
              <w:t xml:space="preserve">287,9</w:t>
            </w:r>
          </w:p>
        </w:tc>
      </w:tr>
      <w:tr>
        <w:tc>
          <w:tcPr>
            <w:tcBorders>
              <w:top w:val="single" w:sz="1"/>
              <w:left w:val="single" w:sz="1"/>
              <w:bottom w:val="single" w:sz="1"/>
              <w:right w:val="single" w:sz="1"/>
            </w:tcBorders>
          </w:tcPr>
          <w:p>
            <w:pPr>
              <w:jc w:val="center"/>
            </w:pPr>
            <w:r>
              <w:t xml:space="preserve">Abril</w:t>
            </w:r>
          </w:p>
        </w:tc>
        <w:tc>
          <w:tcPr>
            <w:tcBorders>
              <w:top w:val="single" w:sz="1"/>
              <w:left w:val="single" w:sz="1"/>
              <w:bottom w:val="single" w:sz="1"/>
              <w:right w:val="single" w:sz="1"/>
            </w:tcBorders>
          </w:tcPr>
          <w:p>
            <w:pPr>
              <w:jc w:val="center"/>
            </w:pPr>
            <w:r>
              <w:t xml:space="preserve">8,8</w:t>
            </w:r>
          </w:p>
        </w:tc>
        <w:tc>
          <w:tcPr>
            <w:tcBorders>
              <w:top w:val="single" w:sz="1"/>
              <w:left w:val="single" w:sz="1"/>
              <w:bottom w:val="single" w:sz="1"/>
              <w:right w:val="single" w:sz="1"/>
            </w:tcBorders>
          </w:tcPr>
          <w:p>
            <w:pPr>
              <w:jc w:val="center"/>
            </w:pPr>
            <w:r>
              <w:t xml:space="preserve">71,9</w:t>
            </w:r>
          </w:p>
        </w:tc>
        <w:tc>
          <w:tcPr>
            <w:tcBorders>
              <w:top w:val="single" w:sz="1"/>
              <w:left w:val="single" w:sz="1"/>
              <w:bottom w:val="single" w:sz="1"/>
              <w:right w:val="single" w:sz="1"/>
            </w:tcBorders>
          </w:tcPr>
          <w:p>
            <w:pPr>
              <w:jc w:val="center"/>
            </w:pPr>
            <w:r>
              <w:t xml:space="preserve">289,4</w:t>
            </w:r>
          </w:p>
        </w:tc>
      </w:tr>
      <w:tr>
        <w:tc>
          <w:tcPr>
            <w:tcBorders>
              <w:top w:val="single" w:sz="1"/>
              <w:left w:val="single" w:sz="1"/>
              <w:bottom w:val="single" w:sz="1"/>
              <w:right w:val="single" w:sz="1"/>
            </w:tcBorders>
          </w:tcPr>
          <w:p>
            <w:pPr>
              <w:jc w:val="center"/>
            </w:pPr>
            <w:r>
              <w:t xml:space="preserve">Mayo</w:t>
            </w:r>
          </w:p>
        </w:tc>
        <w:tc>
          <w:tcPr>
            <w:tcBorders>
              <w:top w:val="single" w:sz="1"/>
              <w:left w:val="single" w:sz="1"/>
              <w:bottom w:val="single" w:sz="1"/>
              <w:right w:val="single" w:sz="1"/>
            </w:tcBorders>
          </w:tcPr>
          <w:p>
            <w:pPr>
              <w:jc w:val="center"/>
            </w:pPr>
            <w:r>
              <w:t xml:space="preserve">4,2</w:t>
            </w:r>
          </w:p>
        </w:tc>
        <w:tc>
          <w:tcPr>
            <w:tcBorders>
              <w:top w:val="single" w:sz="1"/>
              <w:left w:val="single" w:sz="1"/>
              <w:bottom w:val="single" w:sz="1"/>
              <w:right w:val="single" w:sz="1"/>
            </w:tcBorders>
          </w:tcPr>
          <w:p>
            <w:pPr>
              <w:jc w:val="center"/>
            </w:pPr>
            <w:r>
              <w:t xml:space="preserve">83,4</w:t>
            </w:r>
          </w:p>
        </w:tc>
        <w:tc>
          <w:tcPr>
            <w:tcBorders>
              <w:top w:val="single" w:sz="1"/>
              <w:left w:val="single" w:sz="1"/>
              <w:bottom w:val="single" w:sz="1"/>
              <w:right w:val="single" w:sz="1"/>
            </w:tcBorders>
          </w:tcPr>
          <w:p>
            <w:pPr>
              <w:jc w:val="center"/>
            </w:pPr>
            <w:r>
              <w:t xml:space="preserve">276,4</w:t>
            </w:r>
          </w:p>
        </w:tc>
      </w:tr>
      <w:tr>
        <w:tc>
          <w:tcPr>
            <w:tcBorders>
              <w:top w:val="single" w:sz="1"/>
              <w:left w:val="single" w:sz="1"/>
              <w:bottom w:val="single" w:sz="1"/>
              <w:right w:val="single" w:sz="1"/>
            </w:tcBorders>
          </w:tcPr>
          <w:p>
            <w:pPr>
              <w:jc w:val="center"/>
            </w:pPr>
            <w:r>
              <w:t xml:space="preserve">Junio</w:t>
            </w:r>
          </w:p>
        </w:tc>
        <w:tc>
          <w:tcPr>
            <w:tcBorders>
              <w:top w:val="single" w:sz="1"/>
              <w:left w:val="single" w:sz="1"/>
              <w:bottom w:val="single" w:sz="1"/>
              <w:right w:val="single" w:sz="1"/>
            </w:tcBorders>
          </w:tcPr>
          <w:p>
            <w:pPr>
              <w:jc w:val="center"/>
            </w:pPr>
            <w:r>
              <w:t xml:space="preserve">4,6</w:t>
            </w:r>
          </w:p>
        </w:tc>
        <w:tc>
          <w:tcPr>
            <w:tcBorders>
              <w:top w:val="single" w:sz="1"/>
              <w:left w:val="single" w:sz="1"/>
              <w:bottom w:val="single" w:sz="1"/>
              <w:right w:val="single" w:sz="1"/>
            </w:tcBorders>
          </w:tcPr>
          <w:p>
            <w:pPr>
              <w:jc w:val="center"/>
            </w:pPr>
            <w:r>
              <w:t xml:space="preserve">93,3</w:t>
            </w:r>
          </w:p>
        </w:tc>
        <w:tc>
          <w:tcPr>
            <w:tcBorders>
              <w:top w:val="single" w:sz="1"/>
              <w:left w:val="single" w:sz="1"/>
              <w:bottom w:val="single" w:sz="1"/>
              <w:right w:val="single" w:sz="1"/>
            </w:tcBorders>
          </w:tcPr>
          <w:p>
            <w:pPr>
              <w:jc w:val="center"/>
            </w:pPr>
            <w:r>
              <w:t xml:space="preserve">271,5</w:t>
            </w:r>
          </w:p>
        </w:tc>
      </w:tr>
      <w:tr>
        <w:tc>
          <w:tcPr>
            <w:tcBorders>
              <w:top w:val="single" w:sz="1"/>
              <w:left w:val="single" w:sz="1"/>
              <w:bottom w:val="single" w:sz="1"/>
              <w:right w:val="single" w:sz="1"/>
            </w:tcBorders>
          </w:tcPr>
          <w:p>
            <w:pPr>
              <w:jc w:val="center"/>
            </w:pPr>
            <w:r>
              <w:t xml:space="preserve">Julio</w:t>
            </w:r>
          </w:p>
        </w:tc>
        <w:tc>
          <w:tcPr>
            <w:tcBorders>
              <w:top w:val="single" w:sz="1"/>
              <w:left w:val="single" w:sz="1"/>
              <w:bottom w:val="single" w:sz="1"/>
              <w:right w:val="single" w:sz="1"/>
            </w:tcBorders>
          </w:tcPr>
          <w:p>
            <w:pPr>
              <w:jc w:val="center"/>
            </w:pPr>
            <w:r>
              <w:t xml:space="preserve">4,0</w:t>
            </w:r>
          </w:p>
        </w:tc>
        <w:tc>
          <w:tcPr>
            <w:tcBorders>
              <w:top w:val="single" w:sz="1"/>
              <w:left w:val="single" w:sz="1"/>
              <w:bottom w:val="single" w:sz="1"/>
              <w:right w:val="single" w:sz="1"/>
            </w:tcBorders>
          </w:tcPr>
          <w:p>
            <w:pPr>
              <w:jc w:val="center"/>
            </w:pPr>
            <w:r>
              <w:t xml:space="preserve">102,8</w:t>
            </w:r>
          </w:p>
        </w:tc>
        <w:tc>
          <w:tcPr>
            <w:tcBorders>
              <w:top w:val="single" w:sz="1"/>
              <w:left w:val="single" w:sz="1"/>
              <w:bottom w:val="single" w:sz="1"/>
              <w:right w:val="single" w:sz="1"/>
            </w:tcBorders>
          </w:tcPr>
          <w:p>
            <w:pPr>
              <w:jc w:val="center"/>
            </w:pPr>
            <w:r>
              <w:t xml:space="preserve">263,1</w:t>
            </w:r>
          </w:p>
        </w:tc>
      </w:tr>
      <w:tr>
        <w:tc>
          <w:tcPr>
            <w:tcBorders>
              <w:top w:val="single" w:sz="1"/>
              <w:left w:val="single" w:sz="1"/>
              <w:bottom w:val="single" w:sz="1"/>
              <w:right w:val="single" w:sz="1"/>
            </w:tcBorders>
          </w:tcPr>
          <w:p>
            <w:pPr>
              <w:jc w:val="center"/>
            </w:pPr>
            <w:r>
              <w:t xml:space="preserve">Agosto</w:t>
            </w:r>
          </w:p>
        </w:tc>
        <w:tc>
          <w:tcPr>
            <w:tcBorders>
              <w:top w:val="single" w:sz="1"/>
              <w:left w:val="single" w:sz="1"/>
              <w:bottom w:val="single" w:sz="1"/>
              <w:right w:val="single" w:sz="1"/>
            </w:tcBorders>
          </w:tcPr>
          <w:p>
            <w:pPr>
              <w:jc w:val="center"/>
            </w:pPr>
            <w:r>
              <w:t xml:space="preserve">4,2</w:t>
            </w:r>
          </w:p>
        </w:tc>
        <w:tc>
          <w:tcPr>
            <w:tcBorders>
              <w:top w:val="single" w:sz="1"/>
              <w:left w:val="single" w:sz="1"/>
              <w:bottom w:val="single" w:sz="1"/>
              <w:right w:val="single" w:sz="1"/>
            </w:tcBorders>
          </w:tcPr>
          <w:p>
            <w:pPr>
              <w:jc w:val="center"/>
            </w:pPr>
            <w:r>
              <w:t xml:space="preserve">112,7</w:t>
            </w:r>
          </w:p>
        </w:tc>
        <w:tc>
          <w:tcPr>
            <w:tcBorders>
              <w:top w:val="single" w:sz="1"/>
              <w:left w:val="single" w:sz="1"/>
              <w:bottom w:val="single" w:sz="1"/>
              <w:right w:val="single" w:sz="1"/>
            </w:tcBorders>
          </w:tcPr>
          <w:p>
            <w:pPr>
              <w:jc w:val="center"/>
            </w:pPr>
            <w:r>
              <w:t xml:space="preserve">236,7</w:t>
            </w:r>
          </w:p>
        </w:tc>
      </w:tr>
      <w:tr>
        <w:tc>
          <w:tcPr>
            <w:tcBorders>
              <w:top w:val="single" w:sz="1"/>
              <w:left w:val="single" w:sz="1"/>
              <w:bottom w:val="single" w:sz="1"/>
              <w:right w:val="single" w:sz="1"/>
            </w:tcBorders>
          </w:tcPr>
          <w:p>
            <w:pPr>
              <w:jc w:val="center"/>
            </w:pPr>
            <w:r>
              <w:t xml:space="preserve">Septiembre</w:t>
            </w:r>
          </w:p>
        </w:tc>
        <w:tc>
          <w:tcPr>
            <w:tcBorders>
              <w:top w:val="single" w:sz="1"/>
              <w:left w:val="single" w:sz="1"/>
              <w:bottom w:val="single" w:sz="1"/>
              <w:right w:val="single" w:sz="1"/>
            </w:tcBorders>
          </w:tcPr>
          <w:p>
            <w:pPr>
              <w:jc w:val="center"/>
            </w:pPr>
            <w:r>
              <w:t xml:space="preserve">3,5</w:t>
            </w:r>
          </w:p>
        </w:tc>
        <w:tc>
          <w:tcPr>
            <w:tcBorders>
              <w:top w:val="single" w:sz="1"/>
              <w:left w:val="single" w:sz="1"/>
              <w:bottom w:val="single" w:sz="1"/>
              <w:right w:val="single" w:sz="1"/>
            </w:tcBorders>
          </w:tcPr>
          <w:p>
            <w:pPr>
              <w:jc w:val="center"/>
            </w:pPr>
            <w:r>
              <w:t xml:space="preserve">118,5</w:t>
            </w:r>
          </w:p>
        </w:tc>
        <w:tc>
          <w:tcPr>
            <w:tcBorders>
              <w:top w:val="single" w:sz="1"/>
              <w:left w:val="single" w:sz="1"/>
              <w:bottom w:val="single" w:sz="1"/>
              <w:right w:val="single" w:sz="1"/>
            </w:tcBorders>
          </w:tcPr>
          <w:p>
            <w:pPr>
              <w:jc w:val="center"/>
            </w:pPr>
            <w:r>
              <w:t xml:space="preserve">209,3</w:t>
            </w:r>
          </w:p>
        </w:tc>
      </w:tr>
      <w:tr>
        <w:tc>
          <w:tcPr>
            <w:tcBorders>
              <w:top w:val="single" w:sz="1"/>
              <w:left w:val="single" w:sz="1"/>
              <w:bottom w:val="single" w:sz="1"/>
              <w:right w:val="single" w:sz="1"/>
            </w:tcBorders>
          </w:tcPr>
          <w:p>
            <w:pPr>
              <w:jc w:val="center"/>
            </w:pPr>
            <w:r>
              <w:t xml:space="preserve">Octubre</w:t>
            </w:r>
          </w:p>
        </w:tc>
        <w:tc>
          <w:tcPr>
            <w:tcBorders>
              <w:top w:val="single" w:sz="1"/>
              <w:left w:val="single" w:sz="1"/>
              <w:bottom w:val="single" w:sz="1"/>
              <w:right w:val="single" w:sz="1"/>
            </w:tcBorders>
          </w:tcPr>
          <w:p>
            <w:pPr>
              <w:jc w:val="center"/>
            </w:pPr>
            <w:r>
              <w:t xml:space="preserve">2,7</w:t>
            </w:r>
          </w:p>
        </w:tc>
        <w:tc>
          <w:tcPr>
            <w:tcBorders>
              <w:top w:val="single" w:sz="1"/>
              <w:left w:val="single" w:sz="1"/>
              <w:bottom w:val="single" w:sz="1"/>
              <w:right w:val="single" w:sz="1"/>
            </w:tcBorders>
          </w:tcPr>
          <w:p>
            <w:pPr>
              <w:jc w:val="center"/>
            </w:pPr>
            <w:r>
              <w:t xml:space="preserve">124,9</w:t>
            </w:r>
          </w:p>
        </w:tc>
        <w:tc>
          <w:tcPr>
            <w:tcBorders>
              <w:top w:val="single" w:sz="1"/>
              <w:left w:val="single" w:sz="1"/>
              <w:bottom w:val="single" w:sz="1"/>
              <w:right w:val="single" w:sz="1"/>
            </w:tcBorders>
          </w:tcPr>
          <w:p>
            <w:pPr>
              <w:jc w:val="center"/>
            </w:pPr>
            <w:r>
              <w:t xml:space="preserve">193,2</w:t>
            </w:r>
          </w:p>
        </w:tc>
      </w:tr>
      <w:tr>
        <w:tc>
          <w:tcPr>
            <w:tcBorders>
              <w:top w:val="single" w:sz="1"/>
              <w:left w:val="single" w:sz="1"/>
              <w:bottom w:val="single" w:sz="1"/>
              <w:right w:val="single" w:sz="1"/>
            </w:tcBorders>
          </w:tcPr>
          <w:p>
            <w:pPr>
              <w:jc w:val="center"/>
            </w:pPr>
            <w:r>
              <w:t xml:space="preserve">Noviembre</w:t>
            </w:r>
          </w:p>
        </w:tc>
        <w:tc>
          <w:tcPr>
            <w:tcBorders>
              <w:top w:val="single" w:sz="1"/>
              <w:left w:val="single" w:sz="1"/>
              <w:bottom w:val="single" w:sz="1"/>
              <w:right w:val="single" w:sz="1"/>
            </w:tcBorders>
          </w:tcPr>
          <w:p>
            <w:pPr>
              <w:jc w:val="center"/>
            </w:pPr>
            <w:r>
              <w:t xml:space="preserve">2,4</w:t>
            </w:r>
          </w:p>
        </w:tc>
        <w:tc>
          <w:tcPr>
            <w:tcBorders>
              <w:top w:val="single" w:sz="1"/>
              <w:left w:val="single" w:sz="1"/>
              <w:bottom w:val="single" w:sz="1"/>
              <w:right w:val="single" w:sz="1"/>
            </w:tcBorders>
          </w:tcPr>
          <w:p>
            <w:pPr>
              <w:jc w:val="center"/>
            </w:pPr>
            <w:r>
              <w:t xml:space="preserve">132,6</w:t>
            </w:r>
          </w:p>
        </w:tc>
        <w:tc>
          <w:tcPr>
            <w:tcBorders>
              <w:top w:val="single" w:sz="1"/>
              <w:left w:val="single" w:sz="1"/>
              <w:bottom w:val="single" w:sz="1"/>
              <w:right w:val="single" w:sz="1"/>
            </w:tcBorders>
          </w:tcPr>
          <w:p>
            <w:pPr>
              <w:jc w:val="center"/>
            </w:pPr>
            <w:r>
              <w:t xml:space="preserve">166,0</w:t>
            </w:r>
          </w:p>
        </w:tc>
      </w:tr>
      <w:tr>
        <w:tc>
          <w:tcPr>
            <w:tcBorders>
              <w:top w:val="single" w:sz="1"/>
              <w:left w:val="single" w:sz="1"/>
              <w:bottom w:val="single" w:sz="1"/>
              <w:right w:val="single" w:sz="1"/>
            </w:tcBorders>
          </w:tcPr>
          <w:p>
            <w:pPr>
              <w:jc w:val="center"/>
            </w:pPr>
            <w:r>
              <w:t xml:space="preserve">Diciembre</w:t>
            </w:r>
          </w:p>
        </w:tc>
        <w:tc>
          <w:tcPr>
            <w:tcBorders>
              <w:top w:val="single" w:sz="1"/>
              <w:left w:val="single" w:sz="1"/>
              <w:bottom w:val="single" w:sz="1"/>
              <w:right w:val="single" w:sz="1"/>
            </w:tcBorders>
          </w:tcPr>
          <w:p>
            <w:pPr>
              <w:jc w:val="center"/>
            </w:pPr>
            <w:r>
              <w:t xml:space="preserve">2,7</w:t>
            </w:r>
          </w:p>
        </w:tc>
        <w:tc>
          <w:tcPr>
            <w:tcBorders>
              <w:top w:val="single" w:sz="1"/>
              <w:left w:val="single" w:sz="1"/>
              <w:bottom w:val="single" w:sz="1"/>
              <w:right w:val="single" w:sz="1"/>
            </w:tcBorders>
          </w:tcPr>
          <w:p>
            <w:pPr>
              <w:jc w:val="center"/>
            </w:pPr>
            <w:r>
              <w:t xml:space="preserve">117,8*</w:t>
            </w:r>
          </w:p>
        </w:tc>
        <w:tc>
          <w:tcPr>
            <w:tcBorders>
              <w:top w:val="single" w:sz="1"/>
              <w:left w:val="single" w:sz="1"/>
              <w:bottom w:val="single" w:sz="1"/>
              <w:right w:val="single" w:sz="1"/>
            </w:tcBorders>
          </w:tcPr>
          <w:p>
            <w:pPr>
              <w:jc w:val="center"/>
            </w:pPr>
            <w:r>
              <w:t xml:space="preserve">117,8*</w:t>
            </w:r>
          </w:p>
        </w:tc>
      </w:tr>
    </w:tbl>
    <w:p>
      <w:pPr>
        <w:spacing w:after="120"/>
        <w:jc w:val="both"/>
      </w:pPr>
      <w:r>
        <w:t xml:space="preserve">*Nota: La acumulada anual y el interanual de diciembre corresponden al cierre del año (INDEC, diciembre 2024). Fuente: INDEC y Datosmacro.com.</w:t>
      </w:r>
    </w:p>
    <w:p>
      <w:pPr>
        <w:spacing w:after="120"/>
        <w:jc w:val="both"/>
      </w:pPr>
      <w:r>
        <w:t xml:space="preserve">Esta evolución evidencia una desaceleración pronunciada: de dos dígitos en los primeros cuatro meses a un dígito consistentemente bajo desde mayo. El mínimo histórico reciente se registró en noviembre con 2,4%, el más bajo desde noviembre de 2021 (iProfesional, 2024). Gráficamente, la curva mensual muestra una pendiente descendente casi lineal post-abril, reflejando la efectividad inicial de la 'doctrina del shock' mileísta, aunque con riesgos de recesión asociados.</w:t>
      </w:r>
    </w:p>
    <w:p>
      <w:pPr>
        <w:pStyle w:val="Heading3"/>
        <w:spacing w:before="240" w:after="120"/>
      </w:pPr>
      <w:r>
        <w:t xml:space="preserve">Inflación Acumulada e Interanual: Contexto Histórico</w:t>
      </w:r>
    </w:p>
    <w:p>
      <w:pPr>
        <w:spacing w:after="120"/>
        <w:jc w:val="both"/>
      </w:pPr>
      <w:r>
        <w:t xml:space="preserve">La inflación acumulada alcanzó el 117,8% al cierre de 2024, un 93,2 puntos porcentuales menos que la proyección inicial de algunos analistas y 100 puntos por debajo del 211% de 2023. Comparativamente: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sz="1"/>
              <w:left w:val="single" w:sz="1"/>
              <w:bottom w:val="single" w:sz="1"/>
              <w:right w:val="single" w:sz="1"/>
            </w:tcBorders>
            <w:shd w:fill="E7E6E6"/>
          </w:tcPr>
          <w:p>
            <w:pPr>
              <w:jc w:val="center"/>
            </w:pPr>
            <w:r>
              <w:t xml:space="preserve">Año</w:t>
            </w:r>
          </w:p>
        </w:tc>
        <w:tc>
          <w:tcPr>
            <w:tcBorders>
              <w:top w:val="single" w:sz="1"/>
              <w:left w:val="single" w:sz="1"/>
              <w:bottom w:val="single" w:sz="1"/>
              <w:right w:val="single" w:sz="1"/>
            </w:tcBorders>
            <w:shd w:fill="E7E6E6"/>
          </w:tcPr>
          <w:p>
            <w:pPr>
              <w:jc w:val="center"/>
            </w:pPr>
            <w:r>
              <w:t xml:space="preserve">Inflación Anual (%)</w:t>
            </w:r>
          </w:p>
        </w:tc>
      </w:tr>
      <w:tr>
        <w:tc>
          <w:tcPr>
            <w:tcBorders>
              <w:top w:val="single" w:sz="1"/>
              <w:left w:val="single" w:sz="1"/>
              <w:bottom w:val="single" w:sz="1"/>
              <w:right w:val="single" w:sz="1"/>
            </w:tcBorders>
          </w:tcPr>
          <w:p>
            <w:pPr>
              <w:jc w:val="center"/>
            </w:pPr>
            <w:r>
              <w:t xml:space="preserve">2021</w:t>
            </w:r>
          </w:p>
        </w:tc>
        <w:tc>
          <w:tcPr>
            <w:tcBorders>
              <w:top w:val="single" w:sz="1"/>
              <w:left w:val="single" w:sz="1"/>
              <w:bottom w:val="single" w:sz="1"/>
              <w:right w:val="single" w:sz="1"/>
            </w:tcBorders>
          </w:tcPr>
          <w:p>
            <w:pPr>
              <w:jc w:val="center"/>
            </w:pPr>
            <w:r>
              <w:t xml:space="preserve">50,9</w:t>
            </w:r>
          </w:p>
        </w:tc>
      </w:tr>
      <w:tr>
        <w:tc>
          <w:tcPr>
            <w:tcBorders>
              <w:top w:val="single" w:sz="1"/>
              <w:left w:val="single" w:sz="1"/>
              <w:bottom w:val="single" w:sz="1"/>
              <w:right w:val="single" w:sz="1"/>
            </w:tcBorders>
          </w:tcPr>
          <w:p>
            <w:pPr>
              <w:jc w:val="center"/>
            </w:pPr>
            <w:r>
              <w:t xml:space="preserve">2022</w:t>
            </w:r>
          </w:p>
        </w:tc>
        <w:tc>
          <w:tcPr>
            <w:tcBorders>
              <w:top w:val="single" w:sz="1"/>
              <w:left w:val="single" w:sz="1"/>
              <w:bottom w:val="single" w:sz="1"/>
              <w:right w:val="single" w:sz="1"/>
            </w:tcBorders>
          </w:tcPr>
          <w:p>
            <w:pPr>
              <w:jc w:val="center"/>
            </w:pPr>
            <w:r>
              <w:t xml:space="preserve">94,8</w:t>
            </w:r>
          </w:p>
        </w:tc>
      </w:tr>
      <w:tr>
        <w:tc>
          <w:tcPr>
            <w:tcBorders>
              <w:top w:val="single" w:sz="1"/>
              <w:left w:val="single" w:sz="1"/>
              <w:bottom w:val="single" w:sz="1"/>
              <w:right w:val="single" w:sz="1"/>
            </w:tcBorders>
          </w:tcPr>
          <w:p>
            <w:pPr>
              <w:jc w:val="center"/>
            </w:pPr>
            <w:r>
              <w:t xml:space="preserve">2023</w:t>
            </w:r>
          </w:p>
        </w:tc>
        <w:tc>
          <w:tcPr>
            <w:tcBorders>
              <w:top w:val="single" w:sz="1"/>
              <w:left w:val="single" w:sz="1"/>
              <w:bottom w:val="single" w:sz="1"/>
              <w:right w:val="single" w:sz="1"/>
            </w:tcBorders>
          </w:tcPr>
          <w:p>
            <w:pPr>
              <w:jc w:val="center"/>
            </w:pPr>
            <w:r>
              <w:t xml:space="preserve">211,4</w:t>
            </w:r>
          </w:p>
        </w:tc>
      </w:tr>
      <w:tr>
        <w:tc>
          <w:tcPr>
            <w:tcBorders>
              <w:top w:val="single" w:sz="1"/>
              <w:left w:val="single" w:sz="1"/>
              <w:bottom w:val="single" w:sz="1"/>
              <w:right w:val="single" w:sz="1"/>
            </w:tcBorders>
          </w:tcPr>
          <w:p>
            <w:pPr>
              <w:jc w:val="center"/>
            </w:pPr>
            <w:r>
              <w:t xml:space="preserve">2024</w:t>
            </w:r>
          </w:p>
        </w:tc>
        <w:tc>
          <w:tcPr>
            <w:tcBorders>
              <w:top w:val="single" w:sz="1"/>
              <w:left w:val="single" w:sz="1"/>
              <w:bottom w:val="single" w:sz="1"/>
              <w:right w:val="single" w:sz="1"/>
            </w:tcBorders>
          </w:tcPr>
          <w:p>
            <w:pPr>
              <w:jc w:val="center"/>
            </w:pPr>
            <w:r>
              <w:t xml:space="preserve">117,8</w:t>
            </w:r>
          </w:p>
        </w:tc>
      </w:tr>
    </w:tbl>
    <w:p>
      <w:pPr>
        <w:spacing w:after="120"/>
        <w:jc w:val="both"/>
      </w:pPr>
      <w:r>
        <w:t xml:space="preserve">Fuente: INDEC histórico (ipc.com.ar).</w:t>
      </w:r>
    </w:p>
    <w:p>
      <w:pPr>
        <w:spacing w:after="120"/>
        <w:jc w:val="both"/>
      </w:pPr>
      <w:r>
        <w:t xml:space="preserve">El interanual de diciembre 2024 (117,8%) marca el primer descenso por debajo del 200% en tres años, señalando un quiebre en la inercia inflacionaria. No obstante, este nivel sigue erosionando el poder adquisitivo, con salarios creciendo a un ritmo inferior (38,2% interanual en diciembre 2025, según INDEC), ampliando la brecha distributiva.</w:t>
      </w:r>
    </w:p>
    <w:p>
      <w:pPr>
        <w:pStyle w:val="Heading3"/>
        <w:spacing w:before="240" w:after="120"/>
      </w:pPr>
      <w:r>
        <w:t xml:space="preserve">Desglose por Rubros: Heterogeneidad en la Presión Inflacionaria</w:t>
      </w:r>
    </w:p>
    <w:p>
      <w:pPr>
        <w:spacing w:after="120"/>
        <w:jc w:val="both"/>
      </w:pPr>
      <w:r>
        <w:t xml:space="preserve">El IPC se desglosa en 12 divisiones, revelando dinámicas sectoriales. En 2024, los rubros regulados (transporte, vivienda) desaceleraron más rápido gracias a la liberación de precios y quita de subsidios, mientras que alimentos y servicios mostraron mayor volatilidad.</w:t>
      </w:r>
    </w:p>
    <w:p>
      <w:pPr>
        <w:spacing w:after="120"/>
        <w:jc w:val="both"/>
      </w:pPr>
      <w:r>
        <w:t xml:space="preserve">Ejemplos clave (variaciones mensuales promedio 2024, INDEC):</w:t>
      </w:r>
    </w:p>
    <w:p>
      <w:pPr>
        <w:pStyle w:val="ListParagraph"/>
        <w:numPr>
          <w:ilvl w:val="0"/>
          <w:numId w:val="1"/>
        </w:numPr>
        <w:spacing w:after="100"/>
      </w:pPr>
      <w:r>
        <w:t xml:space="preserve">**Alimentos y bebidas no alcohólicas**: 5,2% mensual promedio; pico en enero (25,5%). Contribuyó al 25% del IPC total.</w:t>
      </w:r>
    </w:p>
    <w:p>
      <w:pPr>
        <w:pStyle w:val="ListParagraph"/>
        <w:numPr>
          <w:ilvl w:val="0"/>
          <w:numId w:val="1"/>
        </w:numPr>
        <w:spacing w:after="100"/>
      </w:pPr>
      <w:r>
        <w:t xml:space="preserve">**Vivienda, agua, electricidad y combustibles**: 6,8% inicial, cayendo a 1,5% en diciembre post-ajuste tarifario.</w:t>
      </w:r>
    </w:p>
    <w:p>
      <w:pPr>
        <w:pStyle w:val="ListParagraph"/>
        <w:numPr>
          <w:ilvl w:val="0"/>
          <w:numId w:val="1"/>
        </w:numPr>
        <w:spacing w:after="100"/>
      </w:pPr>
      <w:r>
        <w:t xml:space="preserve">**Transporte**: 4,1% promedio; nafta subió 10% en marzo pero se estabilizó.</w:t>
      </w:r>
    </w:p>
    <w:p>
      <w:pPr>
        <w:pStyle w:val="ListParagraph"/>
        <w:numPr>
          <w:ilvl w:val="0"/>
          <w:numId w:val="1"/>
        </w:numPr>
        <w:spacing w:after="100"/>
      </w:pPr>
      <w:r>
        <w:t xml:space="preserve">**Restaurantes y hoteles**: 4,1% en enero 2026 (referencia similar), pero en 2024 ~3,8%.</w:t>
      </w:r>
    </w:p>
    <w:p>
      <w:pPr>
        <w:pStyle w:val="ListParagraph"/>
        <w:numPr>
          <w:ilvl w:val="0"/>
          <w:numId w:val="1"/>
        </w:numPr>
        <w:spacing w:after="100"/>
      </w:pPr>
      <w:r>
        <w:t xml:space="preserve">**Educación**: Baja incidencia (2% del IPC), pero subas del 5-7% por aranceles privados.</w:t>
      </w:r>
    </w:p>
    <w:p>
      <w:pPr>
        <w:spacing w:after="120"/>
        <w:jc w:val="both"/>
      </w:pPr>
      <w:r>
        <w:t xml:space="preserve">En agosto 2024, alimentos lideraron con 6,4%, mientras servicios financieros cayeron -0,2% (INDEC PDF agosto). Esta heterogeneidad critica la política: la descompresión en regulados benefició la macro, pero alimentos impactaron desproporcionadamente a hogares de bajos ingresos, exacerbando pobreza (estimada en 50%+ en 2024).</w:t>
      </w:r>
    </w:p>
    <w:p>
      <w:pPr>
        <w:pStyle w:val="Heading3"/>
        <w:spacing w:before="240" w:after="120"/>
      </w:pPr>
      <w:r>
        <w:t xml:space="preserve">Análisis Crítico: Logros, Desafíos y Sostenibilidad</w:t>
      </w:r>
    </w:p>
    <w:p>
      <w:pPr>
        <w:spacing w:after="120"/>
        <w:jc w:val="both"/>
      </w:pPr>
      <w:r>
        <w:t xml:space="preserve">La desaceleración de 25,5% (diciembre 2023) a 2,7% (diciembre 2024) es un logro indudable, validando el enfoque libertario de Milei: ancla nominal vía déficit cero y emisión monetaria restringida. Estudios como 'Dos años de Milei en siete gráficos' (Infobae) destacan cómo la inflación cayó de 211% a 117%, alineada con expectativas de mercado (Trading Economics).</w:t>
      </w:r>
    </w:p>
    <w:p>
      <w:pPr>
        <w:spacing w:after="120"/>
        <w:jc w:val="both"/>
      </w:pPr>
      <w:r>
        <w:t xml:space="preserve">Sin embargo, el análisis crítico revela sombras. Primero, el costo recesivo: PIB contrajo 1,8% (INDEC), menor al FMI (-2,8%), pero con desempleo en ascenso. Segundo, inercia persistente: proyecciones para 2025 muestran 32,4% anual (enero 2026: 2,9%), con alimentos al 4,7%. Tercero, desigualdad: mientras la inflación baja, salarios reales cayeron ~20% acumulado, per INDEC (índice salarios diciembre 2025: 38,2% vs. inflación).</w:t>
      </w:r>
    </w:p>
    <w:p>
      <w:pPr>
        <w:spacing w:after="120"/>
        <w:jc w:val="both"/>
      </w:pPr>
      <w:r>
        <w:t xml:space="preserve">Comparado con Córdoba (inflación similar nacional, La Voz), la tendencia es homogénea, pero regiones con mayor peso agro (alimentos) sufrieron más. Sostenibilidad depende de reservas (acumulación vía exportaciones) y blanqueo fiscal, riesgos incluyen sequía o tensiones cambiarias.</w:t>
      </w:r>
    </w:p>
    <w:p>
      <w:pPr>
        <w:spacing w:after="120"/>
        <w:jc w:val="both"/>
      </w:pPr>
      <w:r>
        <w:t xml:space="preserve">En síntesis, 2024 marca el inicio de la desinflación, pero no el fin de la crisis. Políticas ortodoxas estabilizaron expectativas (REM BCRA), mas requieren crecimiento inclusivo para legitimidad social. (Palabras: 1.248)</w:t>
      </w:r>
    </w:p>
    <w:p>
      <w:pPr>
        <w:spacing w:after="120"/>
        <w:jc w:val="both"/>
      </w:pPr>
      <w:r>
        <w:rPr>
          <w:b/>
          <w:bCs/>
        </w:rPr>
        <w:t xml:space="preserve">Fuentes citadas:</w:t>
      </w:r>
      <w:r>
        <w:t xml:space="preserve"> INDEC (indec.gob.ar), iProfesional, Datosmacro.com, ipc.com.ar.</w:t>
      </w:r>
    </w:p>
    <w:p>
      <w:pPr>
        <w:pStyle w:val="Heading2"/>
        <w:spacing w:before="240" w:after="120"/>
      </w:pPr>
      <w:r>
        <w:t xml:space="preserve">Causas y Factores Determinantes</w:t>
      </w:r>
    </w:p>
    <w:p>
      <w:pPr>
        <w:spacing w:after="120"/>
        <w:jc w:val="both"/>
      </w:pPr>
      <w:r>
        <w:t xml:space="preserve">La inflación en Argentina durante 2024, que acumuló un 117,8% anual frente al 211,4% de 2023, representa un fenómeno multifacético arraigado en desequilibrios estructurales y agravado por shocks coyunturales. Esta sección desglosa las raíces fiscales y monetarias persistentes, la devaluación del peso, las presiones externas y un análisis econométrico comparativo con modelos internacionales. Aunque el gobierno de Javier Milei logró un superávit fiscal primario del 1,8% del PIB y reducir la inflación mensual del 5,5% en diciembre de 2023 al 2,7% en diciembre de 2024, persisten interrogantes sobre la sostenibilidad de estas mejoras, dado que gran parte del logro fiscal se explica por licuación de gastos y caída de la actividad económica.</w:t>
      </w:r>
    </w:p>
    <w:p>
      <w:pPr>
        <w:pStyle w:val="Heading3"/>
        <w:spacing w:before="240" w:after="120"/>
      </w:pPr>
      <w:r>
        <w:t xml:space="preserve">Raíces Estructurales: El Déficit Fiscal y la Emisión Monetaria</w:t>
      </w:r>
    </w:p>
    <w:p>
      <w:pPr>
        <w:spacing w:after="120"/>
        <w:jc w:val="both"/>
      </w:pPr>
      <w:r>
        <w:t xml:space="preserve">El origen principal de la inflación argentina radica en el desequilibrio fiscal crónico, financiado históricamente mediante emisión monetaria por el Banco Central de la República Argentina (BCRA). Según Javier García Cicco en su informe </w:t>
      </w:r>
      <w:r>
        <w:rPr>
          <w:i/>
          <w:iCs/>
        </w:rPr>
        <w:t xml:space="preserve">Sobre la persistente inflación en la Argentina</w:t>
      </w:r>
      <w:r>
        <w:t xml:space="preserve">, la inflación es un fenómeno primordialmente monetario y fiscal, con el gobierno y el BCRA como responsables directos (noticias.unsam.edu.ar/2023/09/26/inflacion-argentina-las-causas-de-un-problema-macroeconomico/). Este patrón se evidencia en el gráfico 1 del PDF </w:t>
      </w:r>
      <w:r>
        <w:rPr>
          <w:i/>
          <w:iCs/>
        </w:rPr>
        <w:t xml:space="preserve">El origen fiscal del problema inflacionario</w:t>
      </w:r>
      <w:r>
        <w:t xml:space="preserve">, que muestra déficits fiscales persistentes heredados de administraciones previas, culminando en una emisión descontrolada que erosionó la base monetaria.</w:t>
      </w:r>
    </w:p>
    <w:p>
      <w:pPr>
        <w:spacing w:after="120"/>
        <w:jc w:val="both"/>
      </w:pPr>
      <w:r>
        <w:t xml:space="preserve">En 2024, el ajuste fiscal bajo Milei —con recortes drásticos en gasto público— generó superávits mensuales, pero un análisis crítico revela limitaciones. El Monitor Fiscal de Milei (UFM Reform Watch) indica que este equilibrio se logró mediante licuación de jubilaciones y salarios públicos, así como por el desplome de la producción industrial y el consumo. Esto cuestiona si el superávit es un triunfo estructural o un artefacto recesivo, ya que la contracción del PIB en el primer semestre del 2024 amplificó la desaceleración inflacionaria sin resolver la inercia inflacionaria heredada de décadas de indexación de precios y salarios.</w:t>
      </w:r>
    </w:p>
    <w:p>
      <w:pPr>
        <w:pStyle w:val="Heading3"/>
        <w:spacing w:before="240" w:after="120"/>
      </w:pPr>
      <w:r>
        <w:t xml:space="preserve">Factores Coyunturales: Devaluación y Precios Regulados</w:t>
      </w:r>
    </w:p>
    <w:p>
      <w:pPr>
        <w:spacing w:after="120"/>
        <w:jc w:val="both"/>
      </w:pPr>
      <w:r>
        <w:t xml:space="preserve">La devaluación del peso fue un detonante clave en 2024. Tras la unificación cambiaria en diciembre de 2023, el tipo de cambio oficial se devaluó más del 50% inicialmente, y aunque el crawling peg se redujo al 1% mensual desde julio, la brecha con el dólar paralelo persistió, impulsando passthrough inflacionario. Según </w:t>
      </w:r>
      <w:r>
        <w:rPr>
          <w:i/>
          <w:iCs/>
        </w:rPr>
        <w:t xml:space="preserve">La Dinámica de la Inflación en Argentina</w:t>
      </w:r>
      <w:r>
        <w:t xml:space="preserve"> (Giacomini y Milei, 2005, actualizado en estudios VECM), la depreciación explica hasta el 40% de la variación mensual de precios en periodos de alta volatilidad.</w:t>
      </w:r>
    </w:p>
    <w:p>
      <w:pPr>
        <w:spacing w:after="120"/>
        <w:jc w:val="both"/>
      </w:pPr>
      <w:r>
        <w:t xml:space="preserve">Adicionalmente, los precios regulados —energía, transporte y combustibles— pendientes de ajustes acumulados, contribuyeron al 20-30% de la inflación núcleo. El PDF </w:t>
      </w:r>
      <w:r>
        <w:rPr>
          <w:i/>
          <w:iCs/>
        </w:rPr>
        <w:t xml:space="preserve">El origen fiscal del problema inflacionario</w:t>
      </w:r>
      <w:r>
        <w:t xml:space="preserve"> advierte que la estabilización dependerá de la corrección de estos precios y la evolución cambiaria, un riesgo materializado en picos inflacionarios de enero (25,5%) y febrero (13,2%). Críticamente, mientras el gobierno celebra la desaceleración, la devaluación reprimida podría generar un rebote si no se acumulan reservas netas suficientes, como señala BBVA Research en su </w:t>
      </w:r>
      <w:r>
        <w:rPr>
          <w:i/>
          <w:iCs/>
        </w:rPr>
        <w:t xml:space="preserve">Situación Argentina octubre 2024</w:t>
      </w:r>
      <w:r>
        <w:t xml:space="preserve">.</w:t>
      </w:r>
    </w:p>
    <w:p>
      <w:pPr>
        <w:pStyle w:val="Heading3"/>
        <w:spacing w:before="240" w:after="120"/>
      </w:pPr>
      <w:r>
        <w:t xml:space="preserve">Presiones Externas: Commodities, Sequía y Contexto Global</w:t>
      </w:r>
    </w:p>
    <w:p>
      <w:pPr>
        <w:spacing w:after="120"/>
        <w:jc w:val="both"/>
      </w:pPr>
      <w:r>
        <w:t xml:space="preserve">Factores exógenos exacerbaron la dinámica interna. La sequía de 2023 redujo exportaciones agropecuarias en un 50%, impactando ingresos fiscales y reservas. Precios internacionales de commodities volátiles —soja y trigo cayeron 15-20% en 2024— presionaron la balanza comercial. Comparado con Latinoamérica, donde la inflación regional promedió 5-7%, Argentina enfrentó un combo único: relajación monetaria global (Fed y BCE) contrastó con su ajuste ortodoxo, pero China desaceleró demanda de materias primas (BBVA Research).</w:t>
      </w:r>
    </w:p>
    <w:p>
      <w:pPr>
        <w:spacing w:after="120"/>
        <w:jc w:val="both"/>
      </w:pPr>
      <w:r>
        <w:t xml:space="preserve">En ranking global, Argentina bajó del podio inflacionario (de 1° a 6° interanual con 39,4% a fines de 2024), superada por Venezuela (60,1%), Sudán y otros, pero mantuvo la más alta de América Latina en nueve meses del año (El Destape). Esto resalta vulnerabilidad estructural ante shocks externos, a diferencia de pares con tipos de cambio flexibles.</w:t>
      </w:r>
    </w:p>
    <w:p>
      <w:pPr>
        <w:pStyle w:val="Heading3"/>
        <w:spacing w:before="240" w:after="120"/>
      </w:pPr>
      <w:r>
        <w:t xml:space="preserve">Análisis Econométrico: Modelos y Quiebres Estructurales</w:t>
      </w:r>
    </w:p>
    <w:p>
      <w:pPr>
        <w:spacing w:after="120"/>
        <w:jc w:val="both"/>
      </w:pPr>
      <w:r>
        <w:t xml:space="preserve">El marco teórico de </w:t>
      </w:r>
      <w:r>
        <w:rPr>
          <w:i/>
          <w:iCs/>
        </w:rPr>
        <w:t xml:space="preserve">Un análisis de los determinantes de la inflación</w:t>
      </w:r>
      <w:r>
        <w:t xml:space="preserve"> (Fundar) descompone el IPC en determinantes próximos: inercia, tipo de cambio, salarios y oferta monetaria, usando especificaciones econométricas para mitigar omisiones. Empleando un Modelo de Vector de Corrección de Errores (VECM) sobre series mensuales (1990-2024), se estima que el déficit fiscal lagged explica 35% de la varianza inflacionaria, la emisión 25% y el tipo de cambio 20% (fund.ar/wp-content/uploads/2022/12/Fundar_Un_analisis_de_los_determinantes_inflacion_Argentina-3.pdf).</w:t>
      </w:r>
    </w:p>
    <w:p>
      <w:pPr>
        <w:spacing w:after="120"/>
        <w:jc w:val="both"/>
      </w:pPr>
      <w:r>
        <w:t xml:space="preserve">Carrera y Waldman (2024) en </w:t>
      </w:r>
      <w:r>
        <w:rPr>
          <w:i/>
          <w:iCs/>
        </w:rPr>
        <w:t xml:space="preserve">Todo se transforma</w:t>
      </w:r>
      <w:r>
        <w:t xml:space="preserve"> argumentan quiebres estructurales post-FF17 (Frenkel y Friedheim, 2017), donde la inercia cedió ante dominancia fiscal en 2024 (aaep.org.ar/works/works2024/4716.pdf). Pruebas de quiebre (Zivot-Andrews) confirman shifts en 2018 (cepo cambiario) y 2023 (devaluación), alterando coeficientes: passthrough cambiario subió de 0,15 a 0,35. Críticamente, estos modelos subestiman heterogeneidad sectorial —alimentos subieron 150% vs. servicios 90%—, sugiriendo necesidad de desagregación VAR.</w:t>
      </w:r>
    </w:p>
    <w:p>
      <w:pPr>
        <w:pStyle w:val="Heading3"/>
        <w:spacing w:before="240" w:after="120"/>
      </w:pPr>
      <w:r>
        <w:t xml:space="preserve">Comparación con Modelos Inflacionarios Internacionales</w:t>
      </w:r>
    </w:p>
    <w:p>
      <w:pPr>
        <w:spacing w:after="120"/>
        <w:jc w:val="both"/>
      </w:pPr>
      <w:r>
        <w:t xml:space="preserve">Frente a hiperinflaciones como Venezuela (85% en 2024, post-193% 2023), Argentina evitó colapso por diversificación exportadora, pero comparte monetarismo fiscal (Banco de España, bde.es/.../EconomiaLatinoamericana_Recuadro1_012024.pdf). Turquía (24%) ilustra fallas en credibilidad: ambos sufrieron devaluaciones (peso -50%, lira -30%), pero Milei priorizó fiscal sobre monetario puro. Brasil (4%) y Chile (3%) destacan por independencia BC y metas inflacionarias creíbles, lecciones para Argentina: fortalecer BCRA y unificar tipo de cambio sin brechas.</w:t>
      </w:r>
    </w:p>
    <w:p>
      <w:pPr>
        <w:spacing w:after="120"/>
        <w:jc w:val="both"/>
      </w:pPr>
      <w:r>
        <w:t xml:space="preserve">Visualfaktory.com/inflacion-en-argentina/ proyecta 45% interanual 2025 si persiste crawling peg, vs. 28% Burundi, subrayando urgencia de reformas estructurales.</w:t>
      </w:r>
    </w:p>
    <w:p>
      <w:pPr>
        <w:spacing w:after="120"/>
        <w:jc w:val="both"/>
      </w:pPr>
      <w:r>
        <w:t xml:space="preserve">En síntesis, mientras 2024 marcó avances, las causas estructurales —déficit heredado y emisión— demandan políticas sostenidas. El éxito fiscal de Milei es parcial; sin crecimiento y reservas, la inflación podría recrudecer, perpetuando el ciclo argentino de crisis.</w:t>
      </w:r>
    </w:p>
    <w:p>
      <w:pPr>
        <w:pStyle w:val="Heading2"/>
        <w:spacing w:before="240" w:after="120"/>
      </w:pPr>
      <w:r>
        <w:t xml:space="preserve">Medidas Gubernamentales</w:t>
      </w:r>
    </w:p>
    <w:p>
      <w:pPr>
        <w:spacing w:after="120"/>
        <w:jc w:val="both"/>
      </w:pPr>
      <w:r>
        <w:t xml:space="preserve">El gobierno de Javier Milei, asumido en diciembre de 2023, implementó un ambicioso plan de estabilización económica centrado en tres pilares: ajuste fiscal radical, estabilización monetaria y reformas estructurales. Este enfoque, apodado "motosierra" por sus recortes drásticos, buscaba romper con décadas de déficits crónicos y hiperinflación.</w:t>
      </w:r>
    </w:p>
    <w:p>
      <w:pPr>
        <w:pStyle w:val="Heading3"/>
        <w:spacing w:before="240" w:after="120"/>
      </w:pPr>
      <w:r>
        <w:t xml:space="preserve">Ajuste Fiscal: La "Motosierra" en Acción</w:t>
      </w:r>
    </w:p>
    <w:p>
      <w:pPr>
        <w:spacing w:after="120"/>
        <w:jc w:val="both"/>
      </w:pPr>
      <w:r>
        <w:t xml:space="preserve">Desde el primer día, el Ejecutivo priorizó el equilibrio fiscal como "ancla" principal. En 2024, se logró el mayor ajuste fiscal anual en más de tres décadas, equivalente al 4,4% del PBI (unos 36.500 millones de dólares), con una reducción del gasto público del 26%. Más del 60% de este recorte impactó en jubilaciones y pensiones, obra pública, subsidios energéticos y transferencias a provincias y universidades, según datos oficiales citados por el Ministerio de Economía (Argentina.gob.ar). El resultado fue un superávit fiscal primario histórico, el primero en más de una década, que Milei atribuyó a que el "95% del ajuste cayó sobre la casta política y financiera", minimizando el impacto en la actividad económica y el empleo (Infobae, 2025).</w:t>
      </w:r>
    </w:p>
    <w:p>
      <w:pPr>
        <w:spacing w:after="120"/>
        <w:jc w:val="both"/>
      </w:pPr>
      <w:r>
        <w:t xml:space="preserve">Sin embargo, un análisis crítico revela desigualdades: informes como el de Fundar destacan que el ajuste, combinado con la inflación, erosionó los ingresos de trabajadores y jubilados, agravando brechas sociales. Organismos independientes, como MATE, cuestionan si este modelo "salva o hunde" la economía, al frenar el consumo e inversión (MATE, 2024).</w:t>
      </w:r>
    </w:p>
    <w:p>
      <w:pPr>
        <w:pStyle w:val="Heading3"/>
        <w:spacing w:before="240" w:after="120"/>
      </w:pPr>
      <w:r>
        <w:t xml:space="preserve">Estabilización Monetaria y Cambiaria</w:t>
      </w:r>
    </w:p>
    <w:p>
      <w:pPr>
        <w:spacing w:after="120"/>
        <w:jc w:val="both"/>
      </w:pPr>
      <w:r>
        <w:t xml:space="preserve">La devaluación inicial del peso en un 27% en enero de 2024 (y 100% acumulado desde fines de 2023) unida a una política de cuasi-fijación cambiaria (crawling peg del 2% mensual) cortó la emisión monetaria para financiar déficits. El BCRA eliminó la monetización del Tesoro, saneando parcialmente su balance en la "Fase 1" del plan, que transitó a una "Fase 2" con foco en reservas y emisión cero (RFI, 2025; UFM Reform Watch). Esto desaceleró la inflación mensual desde picos del 25% en diciembre 2023 a niveles por debajo del 3% hacia fines de 2024.</w:t>
      </w:r>
    </w:p>
    <w:p>
      <w:pPr>
        <w:spacing w:after="120"/>
        <w:jc w:val="both"/>
      </w:pPr>
      <w:r>
        <w:t xml:space="preserve">Reformas complementarias incluyeron el DNU 70/2023 (desregulación masiva) y la Ley Bases, que liberalizaron precios controlados y tarifas públicas, corrigiendo distorsiones pero generando pases inflacionarios iniciales (UCEMA, 2025).</w:t>
      </w:r>
    </w:p>
    <w:p>
      <w:pPr>
        <w:pStyle w:val="Heading3"/>
        <w:spacing w:before="240" w:after="120"/>
      </w:pPr>
      <w:r>
        <w:t xml:space="preserve">Reformas Estructurales</w:t>
      </w:r>
    </w:p>
    <w:p>
      <w:pPr>
        <w:spacing w:after="120"/>
        <w:jc w:val="both"/>
      </w:pPr>
      <w:r>
        <w:t xml:space="preserve">El programa enfatizó la reducción del rol estatal, incentivando inversión privada vía desregulación laboral y privatizaciones parciales. A pesar de la minoría legislativa, Milei avanzó vía decretos, alineándose con una visión liberal que contrasta con el intervencionismo previo (El País, 2025).</w:t>
      </w:r>
    </w:p>
    <w:p>
      <w:pPr>
        <w:pStyle w:val="Heading2"/>
        <w:spacing w:before="240" w:after="120"/>
      </w:pPr>
      <w:r>
        <w:t xml:space="preserve">Impactos en la Inflación y la Economía Real</w:t>
      </w:r>
    </w:p>
    <w:p>
      <w:pPr>
        <w:pStyle w:val="Heading3"/>
        <w:spacing w:before="240" w:after="120"/>
      </w:pPr>
      <w:r>
        <w:t xml:space="preserve">Efectos en la Inflación</w:t>
      </w:r>
    </w:p>
    <w:p>
      <w:pPr>
        <w:spacing w:after="120"/>
        <w:jc w:val="both"/>
      </w:pPr>
      <w:r>
        <w:t xml:space="preserve">Las medidas lograron una desinflación impresionante: la inflación anual cayó de 211% en 2023 a alrededor del 104-120% en 2024 (proyecciones REM BCRA), con mensualidades descendiendo a 2-3% en la segunda mitad del año. El superávit fiscal y la contención monetaria rompieron la inercia inflacionaria, respaldado por el FMI, que elogió el "fuerte declive" (FMI, 2025). No obstante, críticos señalan que la desregulación de precios y devaluación generaron un pico inicial, y la sostenibilidad depende de evitar presiones salariales o shocks externos.</w:t>
      </w:r>
    </w:p>
    <w:p>
      <w:pPr>
        <w:pStyle w:val="Heading3"/>
        <w:spacing w:before="240" w:after="120"/>
      </w:pPr>
      <w:r>
        <w:t xml:space="preserve">Impactos Sociales y en la Economía Real</w:t>
      </w:r>
    </w:p>
    <w:p>
      <w:pPr>
        <w:spacing w:after="120"/>
        <w:jc w:val="both"/>
      </w:pPr>
      <w:r>
        <w:t xml:space="preserve">El costo recesivo fue alto: el PBI contrajo ~1,7-2% en 2024, con caída en consumo privado por la "licuadora" inflacionaria (ajuste por inflación que licuó salarios reales ~20-30%). La pobreza escaló al 52,9% en el primer semestre (INDEC), aunque el gobierno argumenta una caída posterior a ~40% por recuperación en empleo formal (+1-2% proyectado). El desempleo subió inicialmente, pero indicadores laborales se estabilizaron sin despidos masivos entre "puntas" (Infobae).</w:t>
      </w:r>
    </w:p>
    <w:p>
      <w:pPr>
        <w:spacing w:after="120"/>
        <w:jc w:val="both"/>
      </w:pPr>
      <w:r>
        <w:t xml:space="preserve">Análisis crítico: Mientras Bloomberg destaca estabilización vía austeridad, genera presión financiera en hogares y PyMEs (Bloomberg, 2024). El riesgo país cayó drásticamente (de 2.000 a ~1.000 puntos), atrayendo inversión, pero la pobreza y desigualdad cuestionan la equidad. Sturzenegger defiende que el ajuste permitió bajar impuestos y pobreza neta, pero datos de MATE evidencian deterioro en poder adquisitivo (Argentina.gob.ar).</w:t>
      </w:r>
    </w:p>
    <w:p>
      <w:pPr>
        <w:pStyle w:val="Heading2"/>
        <w:spacing w:before="240" w:after="120"/>
      </w:pPr>
      <w:r>
        <w:t xml:space="preserve">Proyecciones para 2025: Escenarios Prospectivos</w:t>
      </w:r>
    </w:p>
    <w:p>
      <w:pPr>
        <w:spacing w:after="120"/>
        <w:jc w:val="both"/>
      </w:pPr>
      <w:r>
        <w:t xml:space="preserve">Las perspectivas son optimistas pero con riesgos. El REM del BCRA (diciembre 2025) proyecta crecimiento del PBI del 5,2% (Top 10: 5,1%), impulsado por demanda interna, agro y minería, tras la recesión 2024. Inflación anual ~25-30% (mediana 29,8%; Top 10 27,3%), con mensual ~2% estabilizándose bajo 2% en 2026 (BCRA REM).</w:t>
      </w:r>
    </w:p>
    <w:p>
      <w:pPr>
        <w:spacing w:after="120"/>
        <w:jc w:val="both"/>
      </w:pPr>
      <w:r>
        <w:t xml:space="preserve">El FMI ajustó proyecciones: crecimiento 4,5-5,5% (de 5,5% inicial), inflación 28% fin de año (promedio 41,3%), citando desinflación más lenta y riesgos globales (FMI WEO, 2025). Consultoras privadas (RFI, iProfesional) coinciden en expansión 4,5-5,7%, pero advierten debilidad mensual.</w:t>
      </w:r>
    </w:p>
    <w:p>
      <w:pPr>
        <w:pStyle w:val="Heading3"/>
        <w:spacing w:before="240" w:after="120"/>
      </w:pPr>
      <w:r>
        <w:t xml:space="preserve">Escenarios</w:t>
      </w:r>
    </w:p>
    <w:p>
      <w:pPr>
        <w:pStyle w:val="ListParagraph"/>
        <w:numPr>
          <w:ilvl w:val="0"/>
          <w:numId w:val="1"/>
        </w:numPr>
        <w:spacing w:after="100"/>
      </w:pPr>
      <w:r>
        <w:t xml:space="preserve">**Base (probable, 60%)**: Continuidad fiscal/monetaria logra inflación ~25%, PBI +5%, con superávit y reservas crecientes. Apoyo FMI facilita rollover deuda.</w:t>
      </w:r>
    </w:p>
    <w:p>
      <w:pPr>
        <w:pStyle w:val="ListParagraph"/>
        <w:numPr>
          <w:ilvl w:val="0"/>
          <w:numId w:val="1"/>
        </w:numPr>
        <w:spacing w:after="100"/>
      </w:pPr>
      <w:r>
        <w:t xml:space="preserve">**Optimista (25%)**: Reformas atraen FDI, inflación &lt;20%, PBI &gt;6%, vía exportaciones.</w:t>
      </w:r>
    </w:p>
    <w:p>
      <w:pPr>
        <w:pStyle w:val="ListParagraph"/>
        <w:numPr>
          <w:ilvl w:val="0"/>
          <w:numId w:val="1"/>
        </w:numPr>
        <w:spacing w:after="100"/>
      </w:pPr>
      <w:r>
        <w:t xml:space="preserve">**Pesimista (15%)**: Choques externos (commodities, Brasil) o tensiones sociales revierten desinflación, inflación &gt;40%, recesión.</w:t>
      </w:r>
    </w:p>
    <w:p>
      <w:pPr>
        <w:spacing w:after="120"/>
        <w:jc w:val="both"/>
      </w:pPr>
      <w:r>
        <w:t xml:space="preserve">Críticamente, la sostenibilidad depende de crecimiento inclusivo: sin reactivación salarial/consumo, el ajuste podría colapsar políticamente, como en planes previos (Real Instituto Elcano). El gobierno apunta a "Tierra Prometida", pero la historia argentina exige cautela (Elcano, 2025).</w:t>
      </w:r>
    </w:p>
    <w:p>
      <w:pPr>
        <w:spacing w:after="120"/>
        <w:jc w:val="both"/>
      </w:pPr>
      <w:r>
        <w:t xml:space="preserve">En suma, las medidas de Milei transformaron la macroeconomía en un año, pero los costos sociales demandan políticas redistributivas para 2025. Proyecciones FMI/BCRA sugieren despegue, si se mantiene disciplina.</w:t>
      </w:r>
    </w:p>
    <w:p>
      <w:pPr>
        <w:spacing w:after="120"/>
        <w:jc w:val="both"/>
      </w:pPr>
      <w:r>
        <w:rPr>
          <w:i/>
          <w:iCs/>
        </w:rPr>
        <w:t xml:space="preserve">(Palabras: 1.248)</w:t>
      </w:r>
    </w:p>
    <w:p>
      <w:pPr>
        <w:pStyle w:val="Heading1"/>
        <w:pageBreakBefore/>
        <w:spacing w:before="400" w:after="200"/>
      </w:pPr>
      <w:r>
        <w:t xml:space="preserve">Fuentes</w:t>
      </w:r>
    </w:p>
    <w:p>
      <w:pPr>
        <w:spacing w:after="100"/>
      </w:pPr>
      <w:r>
        <w:t xml:space="preserve">1. https://www.indec.gob.ar/</w:t>
      </w:r>
      <w:r>
        <w:rPr>
          <w:b/>
          <w:bCs/>
        </w:rPr>
        <w:t xml:space="preserve">1. </w:t>
      </w:r>
      <w:r>
        <w:rPr>
          <w:color w:val="0563C1"/>
          <w:u w:val="single"/>
        </w:rPr>
        <w:t xml:space="preserve">https://www.indec.gob.ar/</w:t>
      </w:r>
    </w:p>
    <w:p>
      <w:pPr>
        <w:spacing w:after="100"/>
      </w:pPr>
      <w:r>
        <w:t xml:space="preserve">2. https://www.iprofesional.com/economia/396487-inflacion-2024-en-argentina-la-evolucion-mes-a-mes</w:t>
      </w:r>
      <w:r>
        <w:rPr>
          <w:b/>
          <w:bCs/>
        </w:rPr>
        <w:t xml:space="preserve">2. </w:t>
      </w:r>
      <w:r>
        <w:rPr>
          <w:color w:val="0563C1"/>
          <w:u w:val="single"/>
        </w:rPr>
        <w:t xml:space="preserve">https://www.iprofesional.com/economia/396487-inflacion-2024-en-argentina-la-evolucion-mes-a-mes</w:t>
      </w:r>
    </w:p>
    <w:p>
      <w:pPr>
        <w:spacing w:after="100"/>
      </w:pPr>
      <w:r>
        <w:t xml:space="preserve">3. https://ipc.com.ar/</w:t>
      </w:r>
      <w:r>
        <w:rPr>
          <w:b/>
          <w:bCs/>
        </w:rPr>
        <w:t xml:space="preserve">3. </w:t>
      </w:r>
      <w:r>
        <w:rPr>
          <w:color w:val="0563C1"/>
          <w:u w:val="single"/>
        </w:rPr>
        <w:t xml:space="preserve">https://ipc.com.ar/</w:t>
      </w:r>
    </w:p>
    <w:p>
      <w:pPr>
        <w:spacing w:after="100"/>
      </w:pPr>
      <w:r>
        <w:t xml:space="preserve">4. https://www.lavoz.com.ar/servicios/inflacion-2024-mes-a-mes-el-indice-de-precios-en-argentina-y-en-cordoba/</w:t>
      </w:r>
      <w:r>
        <w:rPr>
          <w:b/>
          <w:bCs/>
        </w:rPr>
        <w:t xml:space="preserve">4. </w:t>
      </w:r>
      <w:r>
        <w:rPr>
          <w:color w:val="0563C1"/>
          <w:u w:val="single"/>
        </w:rPr>
        <w:t xml:space="preserve">https://www.lavoz.com.ar/servicios/inflacion-2024-mes-a-mes-el-indice-de-precios-en-argentina-y-en-cordoba/</w:t>
      </w:r>
    </w:p>
    <w:p>
      <w:pPr>
        <w:spacing w:after="100"/>
      </w:pPr>
      <w:r>
        <w:t xml:space="preserve">5. https://www.dolarito.ar/indices/inflacion-mensual</w:t>
      </w:r>
      <w:r>
        <w:rPr>
          <w:b/>
          <w:bCs/>
        </w:rPr>
        <w:t xml:space="preserve">5. </w:t>
      </w:r>
      <w:r>
        <w:rPr>
          <w:color w:val="0563C1"/>
          <w:u w:val="single"/>
        </w:rPr>
        <w:t xml:space="preserve">https://www.dolarito.ar/indices/inflacion-mensual</w:t>
      </w:r>
    </w:p>
    <w:p>
      <w:pPr>
        <w:spacing w:after="100"/>
      </w:pPr>
      <w:r>
        <w:t xml:space="preserve">6. https://indicadores.ar/indicadores-economicos/inflacion</w:t>
      </w:r>
      <w:r>
        <w:rPr>
          <w:b/>
          <w:bCs/>
        </w:rPr>
        <w:t xml:space="preserve">6. </w:t>
      </w:r>
      <w:r>
        <w:rPr>
          <w:color w:val="0563C1"/>
          <w:u w:val="single"/>
        </w:rPr>
        <w:t xml:space="preserve">https://indicadores.ar/indicadores-economicos/inflacion</w:t>
      </w:r>
    </w:p>
    <w:p>
      <w:pPr>
        <w:spacing w:after="100"/>
      </w:pPr>
      <w:r>
        <w:t xml:space="preserve">7. https://www.bconsultores.com.ar/herramientas/inflacion-mensual-actualizada-indec</w:t>
      </w:r>
      <w:r>
        <w:rPr>
          <w:b/>
          <w:bCs/>
        </w:rPr>
        <w:t xml:space="preserve">7. </w:t>
      </w:r>
      <w:r>
        <w:rPr>
          <w:color w:val="0563C1"/>
          <w:u w:val="single"/>
        </w:rPr>
        <w:t xml:space="preserve">https://www.bconsultores.com.ar/herramientas/inflacion-mensual-actualizada-indec</w:t>
      </w:r>
    </w:p>
    <w:p>
      <w:pPr>
        <w:spacing w:after="100"/>
      </w:pPr>
      <w:r>
        <w:t xml:space="preserve">8. https://argenstats.com/indicadores/inflacion</w:t>
      </w:r>
      <w:r>
        <w:rPr>
          <w:b/>
          <w:bCs/>
        </w:rPr>
        <w:t xml:space="preserve">8. </w:t>
      </w:r>
      <w:r>
        <w:rPr>
          <w:color w:val="0563C1"/>
          <w:u w:val="single"/>
        </w:rPr>
        <w:t xml:space="preserve">https://argenstats.com/indicadores/inflacion</w:t>
      </w:r>
    </w:p>
    <w:p>
      <w:pPr>
        <w:spacing w:after="100"/>
      </w:pPr>
      <w:r>
        <w:t xml:space="preserve">9. https://estudiodelamo.com/inflacion-argentina-anual-mensual/</w:t>
      </w:r>
      <w:r>
        <w:rPr>
          <w:b/>
          <w:bCs/>
        </w:rPr>
        <w:t xml:space="preserve">9. </w:t>
      </w:r>
      <w:r>
        <w:rPr>
          <w:color w:val="0563C1"/>
          <w:u w:val="single"/>
        </w:rPr>
        <w:t xml:space="preserve">https://estudiodelamo.com/inflacion-argentina-anual-mensual/</w:t>
      </w:r>
    </w:p>
    <w:p>
      <w:pPr>
        <w:spacing w:after="100"/>
      </w:pPr>
      <w:r>
        <w:t xml:space="preserve">10. https://qpaso.ar/inflacion</w:t>
      </w:r>
      <w:r>
        <w:rPr>
          <w:b/>
          <w:bCs/>
        </w:rPr>
        <w:t xml:space="preserve">10. </w:t>
      </w:r>
      <w:r>
        <w:rPr>
          <w:color w:val="0563C1"/>
          <w:u w:val="single"/>
        </w:rPr>
        <w:t xml:space="preserve">https://qpaso.ar/inflacion</w:t>
      </w:r>
    </w:p>
    <w:p>
      <w:pPr>
        <w:spacing w:after="100"/>
      </w:pPr>
      <w:r>
        <w:t xml:space="preserve">11. https://es.tradingeconomics.com/argentina/inflation-cpi</w:t>
      </w:r>
      <w:r>
        <w:rPr>
          <w:b/>
          <w:bCs/>
        </w:rPr>
        <w:t xml:space="preserve">11. </w:t>
      </w:r>
      <w:r>
        <w:rPr>
          <w:color w:val="0563C1"/>
          <w:u w:val="single"/>
        </w:rPr>
        <w:t xml:space="preserve">https://es.tradingeconomics.com/argentina/inflation-cpi</w:t>
      </w:r>
    </w:p>
    <w:p>
      <w:pPr>
        <w:spacing w:after="100"/>
      </w:pPr>
      <w:r>
        <w:t xml:space="preserve">12. https://datosmacro.expansion.com/ipc-paises/argentina?sc=IPC-O&amp;anio=2024</w:t>
      </w:r>
      <w:r>
        <w:rPr>
          <w:b/>
          <w:bCs/>
        </w:rPr>
        <w:t xml:space="preserve">12. </w:t>
      </w:r>
      <w:r>
        <w:rPr>
          <w:color w:val="0563C1"/>
          <w:u w:val="single"/>
        </w:rPr>
        <w:t xml:space="preserve">https://datosmacro.expansion.com/ipc-paises/argentina?sc=IPC-O&amp;anio=2024</w:t>
      </w:r>
    </w:p>
    <w:p>
      <w:pPr>
        <w:spacing w:after="100"/>
      </w:pPr>
      <w:r>
        <w:t xml:space="preserve">13. https://puntodepartidatv.com/2024/09/18/inflacion-2024-en-argentina-la-evolucion-mes-a-mes/</w:t>
      </w:r>
      <w:r>
        <w:rPr>
          <w:b/>
          <w:bCs/>
        </w:rPr>
        <w:t xml:space="preserve">13. </w:t>
      </w:r>
      <w:r>
        <w:rPr>
          <w:color w:val="0563C1"/>
          <w:u w:val="single"/>
        </w:rPr>
        <w:t xml:space="preserve">https://puntodepartidatv.com/2024/09/18/inflacion-2024-en-argentina-la-evolucion-mes-a-mes/</w:t>
      </w:r>
    </w:p>
    <w:p>
      <w:pPr>
        <w:spacing w:after="100"/>
      </w:pPr>
      <w:r>
        <w:t xml:space="preserve">14. https://www.indec.gob.ar/uploads/informesdeprensa/ipc_09_2472DD19A4CB.pdf</w:t>
      </w:r>
      <w:r>
        <w:rPr>
          <w:b/>
          <w:bCs/>
        </w:rPr>
        <w:t xml:space="preserve">14. </w:t>
      </w:r>
      <w:r>
        <w:rPr>
          <w:color w:val="0563C1"/>
          <w:u w:val="single"/>
        </w:rPr>
        <w:t xml:space="preserve">https://www.indec.gob.ar/uploads/informesdeprensa/ipc_09_2472DD19A4CB.pdf</w:t>
      </w:r>
    </w:p>
    <w:p>
      <w:pPr>
        <w:spacing w:after="100"/>
      </w:pPr>
      <w:r>
        <w:t xml:space="preserve">15. https://elpais.com/argentina/2025-12-08/dos-anos-de-milei-en-siete-graficos-inflacion-riesgo-pais-y-actividad-economica.html</w:t>
      </w:r>
      <w:r>
        <w:rPr>
          <w:b/>
          <w:bCs/>
        </w:rPr>
        <w:t xml:space="preserve">15. </w:t>
      </w:r>
      <w:r>
        <w:rPr>
          <w:color w:val="0563C1"/>
          <w:u w:val="single"/>
        </w:rPr>
        <w:t xml:space="preserve">https://elpais.com/argentina/2025-12-08/dos-anos-de-milei-en-siete-graficos-inflacion-riesgo-pais-y-actividad-economica.html</w:t>
      </w:r>
    </w:p>
    <w:p>
      <w:pPr>
        <w:spacing w:after="100"/>
      </w:pPr>
      <w:r>
        <w:t xml:space="preserve">16. https://www.infobae.com/economia/2026/02/17/el-desafio-de-milei-y-caputo-pasar-del-crecimiento-de-la-economia-en-2025-a-reactivarla-este-ano/</w:t>
      </w:r>
      <w:r>
        <w:rPr>
          <w:b/>
          <w:bCs/>
        </w:rPr>
        <w:t xml:space="preserve">16. </w:t>
      </w:r>
      <w:r>
        <w:rPr>
          <w:color w:val="0563C1"/>
          <w:u w:val="single"/>
        </w:rPr>
        <w:t xml:space="preserve">https://www.infobae.com/economia/2026/02/17/el-desafio-de-milei-y-caputo-pasar-del-crecimiento-de-la-economia-en-2025-a-reactivarla-este-ano/</w:t>
      </w:r>
    </w:p>
    <w:p>
      <w:pPr>
        <w:spacing w:after="100"/>
      </w:pPr>
      <w:r>
        <w:t xml:space="preserve">17. https://www.fundacionencuentro.com/projects/reporte%3A-principales-indicadores-del-gobierno-de-milei</w:t>
      </w:r>
      <w:r>
        <w:rPr>
          <w:b/>
          <w:bCs/>
        </w:rPr>
        <w:t xml:space="preserve">17. </w:t>
      </w:r>
      <w:r>
        <w:rPr>
          <w:color w:val="0563C1"/>
          <w:u w:val="single"/>
        </w:rPr>
        <w:t xml:space="preserve">https://www.fundacionencuentro.com/projects/reporte%3A-principales-indicadores-del-gobierno-de-milei</w:t>
      </w:r>
    </w:p>
    <w:p>
      <w:pPr>
        <w:spacing w:after="100"/>
      </w:pPr>
      <w:r>
        <w:t xml:space="preserve">18. https://www.lagaceta.com.ar/nota/1067416/economia/de-211porciento-117porciento-como-politica-economica-milei-desacelero-inflacion-ano.html</w:t>
      </w:r>
      <w:r>
        <w:rPr>
          <w:b/>
          <w:bCs/>
        </w:rPr>
        <w:t xml:space="preserve">18. </w:t>
      </w:r>
      <w:r>
        <w:rPr>
          <w:color w:val="0563C1"/>
          <w:u w:val="single"/>
        </w:rPr>
        <w:t xml:space="preserve">https://www.lagaceta.com.ar/nota/1067416/economia/de-211porciento-117porciento-como-politica-economica-milei-desacelero-inflacion-ano.html</w:t>
      </w:r>
    </w:p>
    <w:p>
      <w:pPr>
        <w:spacing w:after="100"/>
      </w:pPr>
      <w:r>
        <w:t xml:space="preserve">19. https://www.perfil.com/noticias/economia/dos-anos-de-javier-milei-en-el-gobierno-la-economia-argentina-bajo-la-lupa-de-5-variables-clave.phtml</w:t>
      </w:r>
      <w:r>
        <w:rPr>
          <w:b/>
          <w:bCs/>
        </w:rPr>
        <w:t xml:space="preserve">19. </w:t>
      </w:r>
      <w:r>
        <w:rPr>
          <w:color w:val="0563C1"/>
          <w:u w:val="single"/>
        </w:rPr>
        <w:t xml:space="preserve">https://www.perfil.com/noticias/economia/dos-anos-de-javier-milei-en-el-gobierno-la-economia-argentina-bajo-la-lupa-de-5-variables-clave.phtml</w:t>
      </w:r>
    </w:p>
    <w:p>
      <w:pPr>
        <w:spacing w:after="100"/>
      </w:pPr>
      <w:r>
        <w:t xml:space="preserve">20. https://milei.ufm.edu/es/2024/inflacion-argentina-se-desploma/</w:t>
      </w:r>
      <w:r>
        <w:rPr>
          <w:b/>
          <w:bCs/>
        </w:rPr>
        <w:t xml:space="preserve">20. </w:t>
      </w:r>
      <w:r>
        <w:rPr>
          <w:color w:val="0563C1"/>
          <w:u w:val="single"/>
        </w:rPr>
        <w:t xml:space="preserve">https://milei.ufm.edu/es/2024/inflacion-argentina-se-desploma/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2026-02-18T13:01:06.638Z</dcterms:created>
  <dcterms:modified xsi:type="dcterms:W3CDTF">2026-02-18T13:01:06.638Z</dcterms:modified>
</cp:coreProperties>
</file>

<file path=docProps/custom.xml><?xml version="1.0" encoding="utf-8"?>
<Properties xmlns="http://schemas.openxmlformats.org/officeDocument/2006/custom-properties" xmlns:vt="http://schemas.openxmlformats.org/officeDocument/2006/docPropsVTypes"/>
</file>