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Análisis Exhaustivo de la Inflación en Argentina durante 2025: Causas, Evolución e Implicaciones</w:t>
      </w:r>
    </w:p>
    <w:p>
      <w:pPr>
        <w:pStyle w:val="Heading1"/>
        <w:spacing w:before="200" w:after="200"/>
      </w:pPr>
      <w:r>
        <w:t xml:space="preserve">Resumen Ejecutivo</w:t>
      </w:r>
    </w:p>
    <w:p>
      <w:pPr>
        <w:spacing w:after="120"/>
        <w:jc w:val="both"/>
      </w:pPr>
      <w:r>
        <w:t xml:space="preserve">Este informe examina la dinámica de la inflación en Argentina a lo largo de 2025, destacando su evolución mensual, factores causales principales y las medidas implementadas por el gobierno. Se analizan los impactos socioeconómicos y se ofrecen proyecciones para 2026 basadas en datos verificables del INDEC y organismos internacionales. El objetivo es proporcionar una visión integral para policymakers y analistas.</w:t>
      </w:r>
    </w:p>
    <w:p>
      <w:pPr>
        <w:spacing w:before="400" w:after="400"/>
      </w:pPr>
    </w:p>
    <w:p>
      <w:pPr>
        <w:pStyle w:val="Heading2"/>
        <w:spacing w:before="240" w:after="120"/>
      </w:pPr>
      <w:r>
        <w:t xml:space="preserve">1. Contexto Histórico y Marco Macroeconómico Previo a 2025</w:t>
      </w:r>
    </w:p>
    <w:p>
      <w:pPr>
        <w:spacing w:after="120"/>
        <w:jc w:val="both"/>
      </w:pPr>
      <w:r>
        <w:t xml:space="preserve">La inflación en Argentina ha sido un flagelo crónico que ha marcado la economía del país durante décadas, con episodios de hiperinflación en los años 80 y estabilizaciones temporales como la convertibilidad en los 90. Sin embargo, desde 2018, el país experimentó un rebrote inflacionario que se aceleró progresivamente, culminando en niveles de tres dígitos a finales de 2023. Esta sección repasa la trayectoria inflacionaria desde ese año hasta finales de 2024, analiza las políticas implementadas por el gobierno de Javier Milei y detalla el marco macroeconómico heredado al inicio de 2025, con énfasis en reservas del Banco Central de la República Argentina (BCRA), tipo de cambio y situación fiscal. Los datos provienen principalmente de fuentes oficiales como el Instituto Nacional de Estadística y Censos (INDEC) y el BCRA.</w:t>
      </w:r>
    </w:p>
    <w:p>
      <w:pPr>
        <w:pStyle w:val="Heading3"/>
        <w:spacing w:before="240" w:after="120"/>
      </w:pPr>
      <w:r>
        <w:t xml:space="preserve">Inflación Crónica: De 2018 a 2023</w:t>
      </w:r>
    </w:p>
    <w:p>
      <w:pPr>
        <w:spacing w:after="120"/>
        <w:jc w:val="both"/>
      </w:pPr>
      <w:r>
        <w:t xml:space="preserve">Entre 2018 y 2023, Argentina acumuló una inflación acumulada superior al 1.500%, según la calculadora de inflación del INDEC y datos del Banco Mundial. En 2018, la inflación anual alcanzó el 47,6%, impulsada por la devaluación post-PASO y la crisis cambiaria que llevó al país a solicitar un nuevo acuerdo con el FMI. El año 2019 registró un 53,8%, con controles de precios y cepo cambiario que distorsionaron los incentivos económicos, generando escasez y mercados paralelos.</w:t>
      </w:r>
    </w:p>
    <w:p>
      <w:pPr>
        <w:spacing w:after="120"/>
        <w:jc w:val="both"/>
      </w:pPr>
      <w:r>
        <w:t xml:space="preserve">La pandemia de COVID-19 en 2020 moderó temporalmente la inflación al 36,1%, gracias a la emisión monetaria para subsidios y la caída de la demanda. No obstante, 2021 vio un repunte al 50,9%, con presiones en alimentos y combustibles. En 2022, bajo la gestión de Alberto Fernández, la inflación escaló al 94,8%, alimentada por déficits fiscales financiados con emisión (alrededor del 10% del PBI en pasivos del BCRA) y un tipo de cambio oficial rezagado frente al blue, que superó los ARS 300.</w:t>
      </w:r>
    </w:p>
    <w:p>
      <w:pPr>
        <w:spacing w:after="120"/>
        <w:jc w:val="both"/>
      </w:pPr>
      <w:r>
        <w:t xml:space="preserve">El pico se produjo en 2023, con una inflación anual del 211,4%, según datos oficiales del INDEC. El Índice de Precios al Consumidor (IPC) mensual promedió más del 12% en los últimos meses, con rubros como alimentos (25,5% en diciembre) y educación liderando los aumentos. Este escenario reflejaba un desanclaje completo de expectativas inflacionarias, reservas netas negativas del BCRA (alrededor de -USD 11.000 millones al asumir Milei) y un déficit fiscal primario del 2,9% del PBI, financiero del 4,6% del PBI (Sector Público Nacional base caja).</w:t>
      </w:r>
    </w:p>
    <w:p>
      <w:pPr>
        <w:spacing w:after="120"/>
        <w:jc w:val="both"/>
      </w:pPr>
      <w:r>
        <w:rPr>
          <w:b/>
          <w:bCs/>
        </w:rPr>
        <w:t xml:space="preserve">Análisis crítico</w:t>
      </w:r>
      <w:r>
        <w:t xml:space="preserve">: Esta trayectoria no fue solo monetaria, sino estructural: déficits gemelos (fiscal y externo), regulaciones rígidas y falta de confianza inversionista perpetuaron un ciclo vicioso. Políticas heterodoxas como la emisión para financiar gasto público erosionaron la credibilidad del BCRA, llevando a una dolarización informal de ahorros.</w:t>
      </w:r>
    </w:p>
    <w:p>
      <w:pPr>
        <w:pStyle w:val="Heading3"/>
        <w:spacing w:before="240" w:after="120"/>
      </w:pPr>
      <w:r>
        <w:t xml:space="preserve">Asunción de Milei y Políticas Iniciales (Diciembre 2023 - Primer Semestre 2024)</w:t>
      </w:r>
    </w:p>
    <w:p>
      <w:pPr>
        <w:spacing w:after="120"/>
        <w:jc w:val="both"/>
      </w:pPr>
      <w:r>
        <w:t xml:space="preserve">Javier Milei asumió la presidencia el 10 de diciembre de 2023 en medio de una crisis aguda: inflación interanual cercana al 300%, reservas brutas en USD 21.000 millones y netas negativas. Inmediatamente, se implementó una devaluación del 118% del tipo de cambio oficial (de ARS 366 a ARS 800 por dólar), liberalización de precios controlados y ajuste tarifario en servicios públicos. Estas medidas, conocidas como 'shock' inicial, generaron un pico inflacionario: IPC de diciembre 2023 en 25,5% y enero 2024 en 20,6%.</w:t>
      </w:r>
    </w:p>
    <w:p>
      <w:pPr>
        <w:spacing w:after="120"/>
        <w:jc w:val="both"/>
      </w:pPr>
      <w:r>
        <w:t xml:space="preserve">El plan de estabilización, articulado con el ministro Luis Caputo, priorizó el 'déficit cero': recorte drástico del gasto público (27,5% real en 2024 vs. caída de ingresos del 5,6%), eliminación de subsidios y veto a proyectos expansivos. Según el Monitor Fiscal de UFM Reform Watch, esto resultó en superávit fiscal primario en 10 de 12 meses de 2024.</w:t>
      </w:r>
    </w:p>
    <w:p>
      <w:pPr>
        <w:spacing w:after="120"/>
        <w:jc w:val="both"/>
      </w:pPr>
      <w:r>
        <w:rPr>
          <w:b/>
          <w:bCs/>
        </w:rPr>
        <w:t xml:space="preserve">Análisis crítico</w:t>
      </w:r>
      <w:r>
        <w:t xml:space="preserve">: El shock fue necesario para corregir distorsiones acumuladas, pero su costo recesivo fue alto. La actividad económica cayó 3,8% en 2024 (proyecciones BCRA), con industrias y construcción contraídas más del 20%, cuestionando la sostenibilidad política del ajuste.</w:t>
      </w:r>
    </w:p>
    <w:p>
      <w:pPr>
        <w:pStyle w:val="Heading3"/>
        <w:spacing w:before="240" w:after="120"/>
      </w:pPr>
      <w:r>
        <w:t xml:space="preserve">Evolución Inflacionaria en 2024</w:t>
      </w:r>
    </w:p>
    <w:p>
      <w:pPr>
        <w:spacing w:after="120"/>
        <w:jc w:val="both"/>
      </w:pPr>
      <w:r>
        <w:t xml:space="preserve">La inflación anual 2024 cerró en 117,8%, según datos preliminares del INDEC y confirmados por analistas privados (alrededor del 118%). Mensualmente, descendió de 25,5% en diciembre 2023 a 2,4% en diciembre 2024, con interanual bajando de 300% en abril a ~117% al cierre. Rubros clave: alimentos bajaron de 30% mensual inicial a &lt;4%; regulados (tarifas) se estabilizaron post-ajuste.</w:t>
      </w:r>
    </w:p>
    <w:p>
      <w:pPr>
        <w:spacing w:after="120"/>
        <w:jc w:val="both"/>
      </w:pPr>
      <w:r>
        <w:t xml:space="preserve">El BCRA complementó con política monetaria contractiva: tasa de referencia reducida gradualmente a 32% TNA en diciembre 2024, absorbiendo liquidez vía pases y Leliqs. El Relevamiento de Expectativas de Mercado (REM) del BCRA reflejó convergencia de pronósticos hacia 18-30% para 2025.</w:t>
      </w:r>
    </w:p>
    <w:p>
      <w:pPr>
        <w:spacing w:after="120"/>
        <w:jc w:val="both"/>
      </w:pPr>
      <w:r>
        <w:rPr>
          <w:b/>
          <w:bCs/>
        </w:rPr>
        <w:t xml:space="preserve">Tabla 1: Inflación Mensual y Acumulada 2024 (INDEC)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shd w:fill="E7E6E6"/>
          </w:tcPr>
          <w:p>
            <w:pPr>
              <w:jc w:val="center"/>
            </w:pPr>
            <w:r>
              <w:t xml:space="preserve">Mes</w:t>
            </w:r>
          </w:p>
        </w:tc>
        <w:tc>
          <w:tcPr>
            <w:tcBorders>
              <w:top w:val="single" w:sz="1"/>
              <w:left w:val="single" w:sz="1"/>
              <w:bottom w:val="single" w:sz="1"/>
              <w:right w:val="single" w:sz="1"/>
            </w:tcBorders>
            <w:shd w:fill="E7E6E6"/>
          </w:tcPr>
          <w:p>
            <w:pPr>
              <w:jc w:val="center"/>
            </w:pPr>
            <w:r>
              <w:t xml:space="preserve">Mensual (%)</w:t>
            </w:r>
          </w:p>
        </w:tc>
        <w:tc>
          <w:tcPr>
            <w:tcBorders>
              <w:top w:val="single" w:sz="1"/>
              <w:left w:val="single" w:sz="1"/>
              <w:bottom w:val="single" w:sz="1"/>
              <w:right w:val="single" w:sz="1"/>
            </w:tcBorders>
            <w:shd w:fill="E7E6E6"/>
          </w:tcPr>
          <w:p>
            <w:pPr>
              <w:jc w:val="center"/>
            </w:pPr>
            <w:r>
              <w:t xml:space="preserve">Acumulada (%)</w:t>
            </w:r>
          </w:p>
        </w:tc>
        <w:tc>
          <w:tcPr>
            <w:tcBorders>
              <w:top w:val="single" w:sz="1"/>
              <w:left w:val="single" w:sz="1"/>
              <w:bottom w:val="single" w:sz="1"/>
              <w:right w:val="single" w:sz="1"/>
            </w:tcBorders>
            <w:shd w:fill="E7E6E6"/>
          </w:tcPr>
          <w:p>
            <w:pPr>
              <w:jc w:val="center"/>
            </w:pPr>
            <w:r>
              <w:t xml:space="preserve">Interanual (%)</w:t>
            </w:r>
          </w:p>
        </w:tc>
      </w:tr>
      <w:tr>
        <w:tc>
          <w:tcPr>
            <w:tcBorders>
              <w:top w:val="single" w:sz="1"/>
              <w:left w:val="single" w:sz="1"/>
              <w:bottom w:val="single" w:sz="1"/>
              <w:right w:val="single" w:sz="1"/>
            </w:tcBorders>
          </w:tcPr>
          <w:p>
            <w:pPr>
              <w:jc w:val="center"/>
            </w:pPr>
            <w:r>
              <w:t xml:space="preserve">Ene</w:t>
            </w:r>
          </w:p>
        </w:tc>
        <w:tc>
          <w:tcPr>
            <w:tcBorders>
              <w:top w:val="single" w:sz="1"/>
              <w:left w:val="single" w:sz="1"/>
              <w:bottom w:val="single" w:sz="1"/>
              <w:right w:val="single" w:sz="1"/>
            </w:tcBorders>
          </w:tcPr>
          <w:p>
            <w:pPr>
              <w:jc w:val="center"/>
            </w:pPr>
            <w:r>
              <w:t xml:space="preserve">20,6</w:t>
            </w:r>
          </w:p>
        </w:tc>
        <w:tc>
          <w:tcPr>
            <w:tcBorders>
              <w:top w:val="single" w:sz="1"/>
              <w:left w:val="single" w:sz="1"/>
              <w:bottom w:val="single" w:sz="1"/>
              <w:right w:val="single" w:sz="1"/>
            </w:tcBorders>
          </w:tcPr>
          <w:p>
            <w:pPr>
              <w:jc w:val="center"/>
            </w:pPr>
            <w:r>
              <w:t xml:space="preserve">20,6</w:t>
            </w:r>
          </w:p>
        </w:tc>
        <w:tc>
          <w:tcPr>
            <w:tcBorders>
              <w:top w:val="single" w:sz="1"/>
              <w:left w:val="single" w:sz="1"/>
              <w:bottom w:val="single" w:sz="1"/>
              <w:right w:val="single" w:sz="1"/>
            </w:tcBorders>
          </w:tcPr>
          <w:p>
            <w:pPr>
              <w:jc w:val="center"/>
            </w:pPr>
            <w:r>
              <w:t xml:space="preserve">254,2</w:t>
            </w:r>
          </w:p>
        </w:tc>
      </w:tr>
      <w:tr>
        <w:tc>
          <w:tcPr>
            <w:tcBorders>
              <w:top w:val="single" w:sz="1"/>
              <w:left w:val="single" w:sz="1"/>
              <w:bottom w:val="single" w:sz="1"/>
              <w:right w:val="single" w:sz="1"/>
            </w:tcBorders>
          </w:tcPr>
          <w:p>
            <w:pPr>
              <w:jc w:val="center"/>
            </w:pPr>
            <w:r>
              <w:t xml:space="preserve">Feb</w:t>
            </w:r>
          </w:p>
        </w:tc>
        <w:tc>
          <w:tcPr>
            <w:tcBorders>
              <w:top w:val="single" w:sz="1"/>
              <w:left w:val="single" w:sz="1"/>
              <w:bottom w:val="single" w:sz="1"/>
              <w:right w:val="single" w:sz="1"/>
            </w:tcBorders>
          </w:tcPr>
          <w:p>
            <w:pPr>
              <w:jc w:val="center"/>
            </w:pPr>
            <w:r>
              <w:t xml:space="preserve">13,2</w:t>
            </w:r>
          </w:p>
        </w:tc>
        <w:tc>
          <w:tcPr>
            <w:tcBorders>
              <w:top w:val="single" w:sz="1"/>
              <w:left w:val="single" w:sz="1"/>
              <w:bottom w:val="single" w:sz="1"/>
              <w:right w:val="single" w:sz="1"/>
            </w:tcBorders>
          </w:tcPr>
          <w:p>
            <w:pPr>
              <w:jc w:val="center"/>
            </w:pPr>
            <w:r>
              <w:t xml:space="preserve">38,5</w:t>
            </w:r>
          </w:p>
        </w:tc>
        <w:tc>
          <w:tcPr>
            <w:tcBorders>
              <w:top w:val="single" w:sz="1"/>
              <w:left w:val="single" w:sz="1"/>
              <w:bottom w:val="single" w:sz="1"/>
              <w:right w:val="single" w:sz="1"/>
            </w:tcBorders>
          </w:tcPr>
          <w:p>
            <w:pPr>
              <w:jc w:val="center"/>
            </w:pPr>
            <w:r>
              <w:t xml:space="preserve">276,2</w:t>
            </w:r>
          </w:p>
        </w:tc>
      </w:tr>
      <w:tr>
        <w:tc>
          <w:tcPr>
            <w:tcBorders>
              <w:top w:val="single" w:sz="1"/>
              <w:left w:val="single" w:sz="1"/>
              <w:bottom w:val="single" w:sz="1"/>
              <w:right w:val="single" w:sz="1"/>
            </w:tcBorders>
          </w:tcPr>
          <w:p>
            <w:pPr>
              <w:jc w:val="center"/>
            </w:pPr>
            <w:r>
              <w:t xml:space="preserve">Mar</w:t>
            </w:r>
          </w:p>
        </w:tc>
        <w:tc>
          <w:tcPr>
            <w:tcBorders>
              <w:top w:val="single" w:sz="1"/>
              <w:left w:val="single" w:sz="1"/>
              <w:bottom w:val="single" w:sz="1"/>
              <w:right w:val="single" w:sz="1"/>
            </w:tcBorders>
          </w:tcPr>
          <w:p>
            <w:pPr>
              <w:jc w:val="center"/>
            </w:pPr>
            <w:r>
              <w:t xml:space="preserve">11,0</w:t>
            </w:r>
          </w:p>
        </w:tc>
        <w:tc>
          <w:tcPr>
            <w:tcBorders>
              <w:top w:val="single" w:sz="1"/>
              <w:left w:val="single" w:sz="1"/>
              <w:bottom w:val="single" w:sz="1"/>
              <w:right w:val="single" w:sz="1"/>
            </w:tcBorders>
          </w:tcPr>
          <w:p>
            <w:pPr>
              <w:jc w:val="center"/>
            </w:pPr>
            <w:r>
              <w:t xml:space="preserve">55,9</w:t>
            </w:r>
          </w:p>
        </w:tc>
        <w:tc>
          <w:tcPr>
            <w:tcBorders>
              <w:top w:val="single" w:sz="1"/>
              <w:left w:val="single" w:sz="1"/>
              <w:bottom w:val="single" w:sz="1"/>
              <w:right w:val="single" w:sz="1"/>
            </w:tcBorders>
          </w:tcPr>
          <w:p>
            <w:pPr>
              <w:jc w:val="center"/>
            </w:pPr>
            <w:r>
              <w:t xml:space="preserve">289,4</w:t>
            </w:r>
          </w:p>
        </w:tc>
      </w:tr>
      <w:tr>
        <w:tc>
          <w:tcPr>
            <w:tcBorders>
              <w:top w:val="single" w:sz="1"/>
              <w:left w:val="single" w:sz="1"/>
              <w:bottom w:val="single" w:sz="1"/>
              <w:right w:val="single" w:sz="1"/>
            </w:tcBorders>
          </w:tcPr>
          <w:p>
            <w:pPr>
              <w:jc w:val="center"/>
            </w:pPr>
            <w:r>
              <w:t xml:space="preserve">Abr</w:t>
            </w:r>
          </w:p>
        </w:tc>
        <w:tc>
          <w:tcPr>
            <w:tcBorders>
              <w:top w:val="single" w:sz="1"/>
              <w:left w:val="single" w:sz="1"/>
              <w:bottom w:val="single" w:sz="1"/>
              <w:right w:val="single" w:sz="1"/>
            </w:tcBorders>
          </w:tcPr>
          <w:p>
            <w:pPr>
              <w:jc w:val="center"/>
            </w:pPr>
            <w:r>
              <w:t xml:space="preserve">8,8</w:t>
            </w:r>
          </w:p>
        </w:tc>
        <w:tc>
          <w:tcPr>
            <w:tcBorders>
              <w:top w:val="single" w:sz="1"/>
              <w:left w:val="single" w:sz="1"/>
              <w:bottom w:val="single" w:sz="1"/>
              <w:right w:val="single" w:sz="1"/>
            </w:tcBorders>
          </w:tcPr>
          <w:p>
            <w:pPr>
              <w:jc w:val="center"/>
            </w:pPr>
            <w:r>
              <w:t xml:space="preserve">71,9</w:t>
            </w:r>
          </w:p>
        </w:tc>
        <w:tc>
          <w:tcPr>
            <w:tcBorders>
              <w:top w:val="single" w:sz="1"/>
              <w:left w:val="single" w:sz="1"/>
              <w:bottom w:val="single" w:sz="1"/>
              <w:right w:val="single" w:sz="1"/>
            </w:tcBorders>
          </w:tcPr>
          <w:p>
            <w:pPr>
              <w:jc w:val="center"/>
            </w:pPr>
            <w:r>
              <w:t xml:space="preserve">297,1</w:t>
            </w:r>
          </w:p>
        </w:tc>
      </w:tr>
      <w:tr>
        <w:tc>
          <w:tcPr>
            <w:tcBorders>
              <w:top w:val="single" w:sz="1"/>
              <w:left w:val="single" w:sz="1"/>
              <w:bottom w:val="single" w:sz="1"/>
              <w:right w:val="single" w:sz="1"/>
            </w:tcBorders>
          </w:tcPr>
          <w:p>
            <w:pPr>
              <w:jc w:val="center"/>
            </w:pPr>
            <w:r>
              <w:t xml:space="preserve">May</w:t>
            </w:r>
          </w:p>
        </w:tc>
        <w:tc>
          <w:tcPr>
            <w:tcBorders>
              <w:top w:val="single" w:sz="1"/>
              <w:left w:val="single" w:sz="1"/>
              <w:bottom w:val="single" w:sz="1"/>
              <w:right w:val="single" w:sz="1"/>
            </w:tcBorders>
          </w:tcPr>
          <w:p>
            <w:pPr>
              <w:jc w:val="center"/>
            </w:pPr>
            <w:r>
              <w:t xml:space="preserve">4,2</w:t>
            </w:r>
          </w:p>
        </w:tc>
        <w:tc>
          <w:tcPr>
            <w:tcBorders>
              <w:top w:val="single" w:sz="1"/>
              <w:left w:val="single" w:sz="1"/>
              <w:bottom w:val="single" w:sz="1"/>
              <w:right w:val="single" w:sz="1"/>
            </w:tcBorders>
          </w:tcPr>
          <w:p>
            <w:pPr>
              <w:jc w:val="center"/>
            </w:pPr>
            <w:r>
              <w:t xml:space="preserve">79,7</w:t>
            </w:r>
          </w:p>
        </w:tc>
        <w:tc>
          <w:tcPr>
            <w:tcBorders>
              <w:top w:val="single" w:sz="1"/>
              <w:left w:val="single" w:sz="1"/>
              <w:bottom w:val="single" w:sz="1"/>
              <w:right w:val="single" w:sz="1"/>
            </w:tcBorders>
          </w:tcPr>
          <w:p>
            <w:pPr>
              <w:jc w:val="center"/>
            </w:pPr>
            <w:r>
              <w:t xml:space="preserve">265,9</w:t>
            </w:r>
          </w:p>
        </w:tc>
      </w:tr>
      <w:tr>
        <w:tc>
          <w:tcPr>
            <w:tcBorders>
              <w:top w:val="single" w:sz="1"/>
              <w:left w:val="single" w:sz="1"/>
              <w:bottom w:val="single" w:sz="1"/>
              <w:right w:val="single" w:sz="1"/>
            </w:tcBorders>
          </w:tcPr>
          <w:p>
            <w:pPr>
              <w:jc w:val="center"/>
            </w:pPr>
            <w:r>
              <w:t xml:space="preserve">Jun</w:t>
            </w:r>
          </w:p>
        </w:tc>
        <w:tc>
          <w:tcPr>
            <w:tcBorders>
              <w:top w:val="single" w:sz="1"/>
              <w:left w:val="single" w:sz="1"/>
              <w:bottom w:val="single" w:sz="1"/>
              <w:right w:val="single" w:sz="1"/>
            </w:tcBorders>
          </w:tcPr>
          <w:p>
            <w:pPr>
              <w:jc w:val="center"/>
            </w:pPr>
            <w:r>
              <w:t xml:space="preserve">4,6</w:t>
            </w:r>
          </w:p>
        </w:tc>
        <w:tc>
          <w:tcPr>
            <w:tcBorders>
              <w:top w:val="single" w:sz="1"/>
              <w:left w:val="single" w:sz="1"/>
              <w:bottom w:val="single" w:sz="1"/>
              <w:right w:val="single" w:sz="1"/>
            </w:tcBorders>
          </w:tcPr>
          <w:p>
            <w:pPr>
              <w:jc w:val="center"/>
            </w:pPr>
            <w:r>
              <w:t xml:space="preserve">87,6</w:t>
            </w:r>
          </w:p>
        </w:tc>
        <w:tc>
          <w:tcPr>
            <w:tcBorders>
              <w:top w:val="single" w:sz="1"/>
              <w:left w:val="single" w:sz="1"/>
              <w:bottom w:val="single" w:sz="1"/>
              <w:right w:val="single" w:sz="1"/>
            </w:tcBorders>
          </w:tcPr>
          <w:p>
            <w:pPr>
              <w:jc w:val="center"/>
            </w:pPr>
            <w:r>
              <w:t xml:space="preserve">271,5</w:t>
            </w:r>
          </w:p>
        </w:tc>
      </w:tr>
      <w:tr>
        <w:tc>
          <w:tcPr>
            <w:tcBorders>
              <w:top w:val="single" w:sz="1"/>
              <w:left w:val="single" w:sz="1"/>
              <w:bottom w:val="single" w:sz="1"/>
              <w:right w:val="single" w:sz="1"/>
            </w:tcBorders>
          </w:tcPr>
          <w:p>
            <w:pPr>
              <w:jc w:val="center"/>
            </w:pPr>
            <w:r>
              <w:t xml:space="preserve">Jul</w:t>
            </w:r>
          </w:p>
        </w:tc>
        <w:tc>
          <w:tcPr>
            <w:tcBorders>
              <w:top w:val="single" w:sz="1"/>
              <w:left w:val="single" w:sz="1"/>
              <w:bottom w:val="single" w:sz="1"/>
              <w:right w:val="single" w:sz="1"/>
            </w:tcBorders>
          </w:tcPr>
          <w:p>
            <w:pPr>
              <w:jc w:val="center"/>
            </w:pPr>
            <w:r>
              <w:t xml:space="preserve">4,0</w:t>
            </w:r>
          </w:p>
        </w:tc>
        <w:tc>
          <w:tcPr>
            <w:tcBorders>
              <w:top w:val="single" w:sz="1"/>
              <w:left w:val="single" w:sz="1"/>
              <w:bottom w:val="single" w:sz="1"/>
              <w:right w:val="single" w:sz="1"/>
            </w:tcBorders>
          </w:tcPr>
          <w:p>
            <w:pPr>
              <w:jc w:val="center"/>
            </w:pPr>
            <w:r>
              <w:t xml:space="preserve">93,2</w:t>
            </w:r>
          </w:p>
        </w:tc>
        <w:tc>
          <w:tcPr>
            <w:tcBorders>
              <w:top w:val="single" w:sz="1"/>
              <w:left w:val="single" w:sz="1"/>
              <w:bottom w:val="single" w:sz="1"/>
              <w:right w:val="single" w:sz="1"/>
            </w:tcBorders>
          </w:tcPr>
          <w:p>
            <w:pPr>
              <w:jc w:val="center"/>
            </w:pPr>
            <w:r>
              <w:t xml:space="preserve">263,4</w:t>
            </w:r>
          </w:p>
        </w:tc>
      </w:tr>
      <w:tr>
        <w:tc>
          <w:tcPr>
            <w:tcBorders>
              <w:top w:val="single" w:sz="1"/>
              <w:left w:val="single" w:sz="1"/>
              <w:bottom w:val="single" w:sz="1"/>
              <w:right w:val="single" w:sz="1"/>
            </w:tcBorders>
          </w:tcPr>
          <w:p>
            <w:pPr>
              <w:jc w:val="center"/>
            </w:pPr>
            <w:r>
              <w:t xml:space="preserve">Ago</w:t>
            </w:r>
          </w:p>
        </w:tc>
        <w:tc>
          <w:tcPr>
            <w:tcBorders>
              <w:top w:val="single" w:sz="1"/>
              <w:left w:val="single" w:sz="1"/>
              <w:bottom w:val="single" w:sz="1"/>
              <w:right w:val="single" w:sz="1"/>
            </w:tcBorders>
          </w:tcPr>
          <w:p>
            <w:pPr>
              <w:jc w:val="center"/>
            </w:pPr>
            <w:r>
              <w:t xml:space="preserve">4,2</w:t>
            </w:r>
          </w:p>
        </w:tc>
        <w:tc>
          <w:tcPr>
            <w:tcBorders>
              <w:top w:val="single" w:sz="1"/>
              <w:left w:val="single" w:sz="1"/>
              <w:bottom w:val="single" w:sz="1"/>
              <w:right w:val="single" w:sz="1"/>
            </w:tcBorders>
          </w:tcPr>
          <w:p>
            <w:pPr>
              <w:jc w:val="center"/>
            </w:pPr>
            <w:r>
              <w:t xml:space="preserve">100,3</w:t>
            </w:r>
          </w:p>
        </w:tc>
        <w:tc>
          <w:tcPr>
            <w:tcBorders>
              <w:top w:val="single" w:sz="1"/>
              <w:left w:val="single" w:sz="1"/>
              <w:bottom w:val="single" w:sz="1"/>
              <w:right w:val="single" w:sz="1"/>
            </w:tcBorders>
          </w:tcPr>
          <w:p>
            <w:pPr>
              <w:jc w:val="center"/>
            </w:pPr>
            <w:r>
              <w:t xml:space="preserve">239,5</w:t>
            </w:r>
          </w:p>
        </w:tc>
      </w:tr>
      <w:tr>
        <w:tc>
          <w:tcPr>
            <w:tcBorders>
              <w:top w:val="single" w:sz="1"/>
              <w:left w:val="single" w:sz="1"/>
              <w:bottom w:val="single" w:sz="1"/>
              <w:right w:val="single" w:sz="1"/>
            </w:tcBorders>
          </w:tcPr>
          <w:p>
            <w:pPr>
              <w:jc w:val="center"/>
            </w:pPr>
            <w:r>
              <w:t xml:space="preserve">Sep</w:t>
            </w:r>
          </w:p>
        </w:tc>
        <w:tc>
          <w:tcPr>
            <w:tcBorders>
              <w:top w:val="single" w:sz="1"/>
              <w:left w:val="single" w:sz="1"/>
              <w:bottom w:val="single" w:sz="1"/>
              <w:right w:val="single" w:sz="1"/>
            </w:tcBorders>
          </w:tcPr>
          <w:p>
            <w:pPr>
              <w:jc w:val="center"/>
            </w:pPr>
            <w:r>
              <w:t xml:space="preserve">3,5</w:t>
            </w:r>
          </w:p>
        </w:tc>
        <w:tc>
          <w:tcPr>
            <w:tcBorders>
              <w:top w:val="single" w:sz="1"/>
              <w:left w:val="single" w:sz="1"/>
              <w:bottom w:val="single" w:sz="1"/>
              <w:right w:val="single" w:sz="1"/>
            </w:tcBorders>
          </w:tcPr>
          <w:p>
            <w:pPr>
              <w:jc w:val="center"/>
            </w:pPr>
            <w:r>
              <w:t xml:space="preserve">108,2</w:t>
            </w:r>
          </w:p>
        </w:tc>
        <w:tc>
          <w:tcPr>
            <w:tcBorders>
              <w:top w:val="single" w:sz="1"/>
              <w:left w:val="single" w:sz="1"/>
              <w:bottom w:val="single" w:sz="1"/>
              <w:right w:val="single" w:sz="1"/>
            </w:tcBorders>
          </w:tcPr>
          <w:p>
            <w:pPr>
              <w:jc w:val="center"/>
            </w:pPr>
            <w:r>
              <w:t xml:space="preserve">209,5</w:t>
            </w:r>
          </w:p>
        </w:tc>
      </w:tr>
      <w:tr>
        <w:tc>
          <w:tcPr>
            <w:tcBorders>
              <w:top w:val="single" w:sz="1"/>
              <w:left w:val="single" w:sz="1"/>
              <w:bottom w:val="single" w:sz="1"/>
              <w:right w:val="single" w:sz="1"/>
            </w:tcBorders>
          </w:tcPr>
          <w:p>
            <w:pPr>
              <w:jc w:val="center"/>
            </w:pPr>
            <w:r>
              <w:t xml:space="preserve">Oct</w:t>
            </w:r>
          </w:p>
        </w:tc>
        <w:tc>
          <w:tcPr>
            <w:tcBorders>
              <w:top w:val="single" w:sz="1"/>
              <w:left w:val="single" w:sz="1"/>
              <w:bottom w:val="single" w:sz="1"/>
              <w:right w:val="single" w:sz="1"/>
            </w:tcBorders>
          </w:tcPr>
          <w:p>
            <w:pPr>
              <w:jc w:val="center"/>
            </w:pPr>
            <w:r>
              <w:t xml:space="preserve">2,7</w:t>
            </w:r>
          </w:p>
        </w:tc>
        <w:tc>
          <w:tcPr>
            <w:tcBorders>
              <w:top w:val="single" w:sz="1"/>
              <w:left w:val="single" w:sz="1"/>
              <w:bottom w:val="single" w:sz="1"/>
              <w:right w:val="single" w:sz="1"/>
            </w:tcBorders>
          </w:tcPr>
          <w:p>
            <w:pPr>
              <w:jc w:val="center"/>
            </w:pPr>
            <w:r>
              <w:t xml:space="preserve">117,8</w:t>
            </w:r>
          </w:p>
        </w:tc>
        <w:tc>
          <w:tcPr>
            <w:tcBorders>
              <w:top w:val="single" w:sz="1"/>
              <w:left w:val="single" w:sz="1"/>
              <w:bottom w:val="single" w:sz="1"/>
              <w:right w:val="single" w:sz="1"/>
            </w:tcBorders>
          </w:tcPr>
          <w:p>
            <w:pPr>
              <w:jc w:val="center"/>
            </w:pPr>
            <w:r>
              <w:t xml:space="preserve">193,0</w:t>
            </w:r>
          </w:p>
        </w:tc>
      </w:tr>
      <w:tr>
        <w:tc>
          <w:tcPr>
            <w:tcBorders>
              <w:top w:val="single" w:sz="1"/>
              <w:left w:val="single" w:sz="1"/>
              <w:bottom w:val="single" w:sz="1"/>
              <w:right w:val="single" w:sz="1"/>
            </w:tcBorders>
          </w:tcPr>
          <w:p>
            <w:pPr>
              <w:jc w:val="center"/>
            </w:pPr>
            <w:r>
              <w:t xml:space="preserve">Nov</w:t>
            </w:r>
          </w:p>
        </w:tc>
        <w:tc>
          <w:tcPr>
            <w:tcBorders>
              <w:top w:val="single" w:sz="1"/>
              <w:left w:val="single" w:sz="1"/>
              <w:bottom w:val="single" w:sz="1"/>
              <w:right w:val="single" w:sz="1"/>
            </w:tcBorders>
          </w:tcPr>
          <w:p>
            <w:pPr>
              <w:jc w:val="center"/>
            </w:pPr>
            <w:r>
              <w:t xml:space="preserve">2,4</w:t>
            </w:r>
          </w:p>
        </w:tc>
        <w:tc>
          <w:tcPr>
            <w:tcBorders>
              <w:top w:val="single" w:sz="1"/>
              <w:left w:val="single" w:sz="1"/>
              <w:bottom w:val="single" w:sz="1"/>
              <w:right w:val="single" w:sz="1"/>
            </w:tcBorders>
          </w:tcPr>
          <w:p>
            <w:pPr>
              <w:jc w:val="center"/>
            </w:pPr>
            <w:r>
              <w:t xml:space="preserve">~118</w:t>
            </w:r>
          </w:p>
        </w:tc>
        <w:tc>
          <w:tcPr>
            <w:tcBorders>
              <w:top w:val="single" w:sz="1"/>
              <w:left w:val="single" w:sz="1"/>
              <w:bottom w:val="single" w:sz="1"/>
              <w:right w:val="single" w:sz="1"/>
            </w:tcBorders>
          </w:tcPr>
          <w:p>
            <w:pPr>
              <w:jc w:val="center"/>
            </w:pPr>
            <w:r>
              <w:t xml:space="preserve">160</w:t>
            </w:r>
          </w:p>
        </w:tc>
      </w:tr>
      <w:tr>
        <w:tc>
          <w:tcPr>
            <w:tcBorders>
              <w:top w:val="single" w:sz="1"/>
              <w:left w:val="single" w:sz="1"/>
              <w:bottom w:val="single" w:sz="1"/>
              <w:right w:val="single" w:sz="1"/>
            </w:tcBorders>
          </w:tcPr>
          <w:p>
            <w:pPr>
              <w:jc w:val="center"/>
            </w:pPr>
            <w:r>
              <w:t xml:space="preserve">Dic</w:t>
            </w:r>
          </w:p>
        </w:tc>
        <w:tc>
          <w:tcPr>
            <w:tcBorders>
              <w:top w:val="single" w:sz="1"/>
              <w:left w:val="single" w:sz="1"/>
              <w:bottom w:val="single" w:sz="1"/>
              <w:right w:val="single" w:sz="1"/>
            </w:tcBorders>
          </w:tcPr>
          <w:p>
            <w:pPr>
              <w:jc w:val="center"/>
            </w:pPr>
            <w:r>
              <w:t xml:space="preserve">2,4</w:t>
            </w:r>
          </w:p>
        </w:tc>
        <w:tc>
          <w:tcPr>
            <w:tcBorders>
              <w:top w:val="single" w:sz="1"/>
              <w:left w:val="single" w:sz="1"/>
              <w:bottom w:val="single" w:sz="1"/>
              <w:right w:val="single" w:sz="1"/>
            </w:tcBorders>
          </w:tcPr>
          <w:p>
            <w:pPr>
              <w:jc w:val="center"/>
            </w:pPr>
            <w:r>
              <w:t xml:space="preserve">117,8</w:t>
            </w:r>
          </w:p>
        </w:tc>
        <w:tc>
          <w:tcPr>
            <w:tcBorders>
              <w:top w:val="single" w:sz="1"/>
              <w:left w:val="single" w:sz="1"/>
              <w:bottom w:val="single" w:sz="1"/>
              <w:right w:val="single" w:sz="1"/>
            </w:tcBorders>
          </w:tcPr>
          <w:p>
            <w:pPr>
              <w:jc w:val="center"/>
            </w:pPr>
            <w:r>
              <w:t xml:space="preserve">117,8</w:t>
            </w:r>
          </w:p>
        </w:tc>
      </w:tr>
    </w:tbl>
    <w:p>
      <w:pPr>
        <w:spacing w:after="120"/>
        <w:jc w:val="both"/>
      </w:pPr>
      <w:r>
        <w:t xml:space="preserve">(Fuente: Elaboración propia con datos INDEC y BCRA REM diciembre 2024)</w:t>
      </w:r>
    </w:p>
    <w:p>
      <w:pPr>
        <w:spacing w:after="120"/>
        <w:jc w:val="both"/>
      </w:pPr>
      <w:r>
        <w:rPr>
          <w:b/>
          <w:bCs/>
        </w:rPr>
        <w:t xml:space="preserve">Análisis crítico</w:t>
      </w:r>
      <w:r>
        <w:t xml:space="preserve">: La desinflación fue exitosa en términos nominales, pero inercial: aún dependía de crawling peg del 2% mensual y no de anclaje credibilidad plena. Riesgo de rebote si reservas no se acumulan.</w:t>
      </w:r>
    </w:p>
    <w:p>
      <w:pPr>
        <w:pStyle w:val="Heading3"/>
        <w:spacing w:before="240" w:after="120"/>
      </w:pPr>
      <w:r>
        <w:t xml:space="preserve">Situación Fiscal al Cierre de 2024</w:t>
      </w:r>
    </w:p>
    <w:p>
      <w:pPr>
        <w:spacing w:after="120"/>
        <w:jc w:val="both"/>
      </w:pPr>
      <w:r>
        <w:t xml:space="preserve">Histórico: superávit financiero anual del 0,3% del PBI, primero desde 2006/2010 (datos oficiales). Primario: 1,7% PBI acumulado ene-oct. Esto contrastó con 4,4% déficit en 2023, vía 'motosierra' en gasto (reducción 27,5%).</w:t>
      </w:r>
    </w:p>
    <w:p>
      <w:pPr>
        <w:spacing w:after="120"/>
        <w:jc w:val="both"/>
      </w:pPr>
      <w:r>
        <w:rPr>
          <w:b/>
          <w:bCs/>
        </w:rPr>
        <w:t xml:space="preserve">Análisis crítico</w:t>
      </w:r>
      <w:r>
        <w:t xml:space="preserve">: Logro fiscal indiscutible, pero a costa de recesión y caída real de salarios (20-30%). Sostenibilidad depende de crecimiento 2025 (proyectado 4-5%).</w:t>
      </w:r>
    </w:p>
    <w:p>
      <w:pPr>
        <w:pStyle w:val="Heading3"/>
        <w:spacing w:before="240" w:after="120"/>
      </w:pPr>
      <w:r>
        <w:t xml:space="preserve">Reservas del BCRA, Tipo de Cambio y Escenario Heredado</w:t>
      </w:r>
    </w:p>
    <w:p>
      <w:pPr>
        <w:spacing w:after="120"/>
        <w:jc w:val="both"/>
      </w:pPr>
      <w:r>
        <w:t xml:space="preserve">Reservas brutas: ~USD 28-30.000 millones a fin 2024 (post-caída diciembre), netas ~USD 5-10.000 millones (mejora desde negativas). Compras netas vía exportaciones y FMI (~USD 4.700M). Tipo de cambio oficial: ARS 1.060 venta dic 2024 (Banco Nación); blue ~ARS 1.475.</w:t>
      </w:r>
    </w:p>
    <w:p>
      <w:pPr>
        <w:spacing w:after="120"/>
        <w:jc w:val="both"/>
      </w:pPr>
      <w:r>
        <w:t xml:space="preserve">Cepo parcial persistió, con banda cambiaria. ITCRM (BCRA) mostró realineación competitiva.</w:t>
      </w:r>
    </w:p>
    <w:p>
      <w:pPr>
        <w:spacing w:after="120"/>
        <w:jc w:val="both"/>
      </w:pPr>
      <w:r>
        <w:t xml:space="preserve">Al inicio 2025: inflación ~2,5-3% mensual proyectada, superávit fiscal base, reservas volátiles pero crecientes (récord era Milei ~USD 40B en picos). Desafíos: acumular USD 50B (meta Milei), remonetizar y salir cepo.</w:t>
      </w:r>
    </w:p>
    <w:p>
      <w:pPr>
        <w:spacing w:after="120"/>
        <w:jc w:val="both"/>
      </w:pPr>
      <w:r>
        <w:rPr>
          <w:b/>
          <w:bCs/>
        </w:rPr>
        <w:t xml:space="preserve">Análisis crítico</w:t>
      </w:r>
      <w:r>
        <w:t xml:space="preserve">: Avances significativos vs. herencia, pero reservas netas bajas exponen vulnerabilidad externa (vencimientos 2026-27 &gt;USD 45B). Éxito 2025 hinge en exportaciones y confianza.</w:t>
      </w:r>
    </w:p>
    <w:p>
      <w:pPr>
        <w:pStyle w:val="Heading2"/>
        <w:spacing w:before="240" w:after="120"/>
      </w:pPr>
      <w:r>
        <w:t xml:space="preserve">2. Evolución Mensual y Factores Determinantes de la Inflación en 2025</w:t>
      </w:r>
    </w:p>
    <w:p>
      <w:pPr>
        <w:spacing w:after="120"/>
        <w:jc w:val="both"/>
      </w:pPr>
      <w:r>
        <w:t xml:space="preserve">La inflación en Argentina durante 2025 mostró una trayectoria descendente marcada, cerrando el año con un acumulado anual del 31,5%, el registro más bajo en los últimos ocho años según datos del INDEC y análisis de consultoras como Criteria (criteria.com.ar). Esta desaceleración, que contrastó con las hiperinflaciones previas, se reflejó en tasas mensuales del IPC que oscilaron entre el 1,5% y el 3,7%, con una tendencia a la baja progresiva. A continuación, se detalla la evolución mes a mes, los picos y caídas clave, y los factores determinantes, respaldados por datos oficiales del INDEC y comparaciones con proyecciones del FMI y el BCRA.</w:t>
      </w:r>
    </w:p>
    <w:p>
      <w:pPr>
        <w:pStyle w:val="Heading3"/>
        <w:spacing w:before="240" w:after="120"/>
      </w:pPr>
      <w:r>
        <w:t xml:space="preserve">2.1 Evolución de los Índices de Inflación Mensual y Acumulada</w:t>
      </w:r>
    </w:p>
    <w:p>
      <w:pPr>
        <w:spacing w:after="120"/>
        <w:jc w:val="both"/>
      </w:pPr>
      <w:r>
        <w:t xml:space="preserve">El INDEC reportó las siguientes variaciones mensuales del IPC Nacional en 2025, basadas en sus informes mensuales y herramientas interactivas (indec.gob.ar):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shd w:fill="E7E6E6"/>
          </w:tcPr>
          <w:p>
            <w:pPr>
              <w:jc w:val="center"/>
            </w:pPr>
            <w:r>
              <w:t xml:space="preserve">Mes</w:t>
            </w:r>
          </w:p>
        </w:tc>
        <w:tc>
          <w:tcPr>
            <w:tcBorders>
              <w:top w:val="single" w:sz="1"/>
              <w:left w:val="single" w:sz="1"/>
              <w:bottom w:val="single" w:sz="1"/>
              <w:right w:val="single" w:sz="1"/>
            </w:tcBorders>
            <w:shd w:fill="E7E6E6"/>
          </w:tcPr>
          <w:p>
            <w:pPr>
              <w:jc w:val="center"/>
            </w:pPr>
            <w:r>
              <w:t xml:space="preserve">Inflación Mensual (%)</w:t>
            </w:r>
          </w:p>
        </w:tc>
        <w:tc>
          <w:tcPr>
            <w:tcBorders>
              <w:top w:val="single" w:sz="1"/>
              <w:left w:val="single" w:sz="1"/>
              <w:bottom w:val="single" w:sz="1"/>
              <w:right w:val="single" w:sz="1"/>
            </w:tcBorders>
            <w:shd w:fill="E7E6E6"/>
          </w:tcPr>
          <w:p>
            <w:pPr>
              <w:jc w:val="center"/>
            </w:pPr>
            <w:r>
              <w:t xml:space="preserve">Acumulado Anual (%)</w:t>
            </w:r>
          </w:p>
        </w:tc>
        <w:tc>
          <w:tcPr>
            <w:tcBorders>
              <w:top w:val="single" w:sz="1"/>
              <w:left w:val="single" w:sz="1"/>
              <w:bottom w:val="single" w:sz="1"/>
              <w:right w:val="single" w:sz="1"/>
            </w:tcBorders>
            <w:shd w:fill="E7E6E6"/>
          </w:tcPr>
          <w:p>
            <w:pPr>
              <w:jc w:val="center"/>
            </w:pPr>
            <w:r>
              <w:t xml:space="preserve">Interanual (%)</w:t>
            </w:r>
          </w:p>
        </w:tc>
      </w:tr>
      <w:tr>
        <w:tc>
          <w:tcPr>
            <w:tcBorders>
              <w:top w:val="single" w:sz="1"/>
              <w:left w:val="single" w:sz="1"/>
              <w:bottom w:val="single" w:sz="1"/>
              <w:right w:val="single" w:sz="1"/>
            </w:tcBorders>
          </w:tcPr>
          <w:p>
            <w:pPr>
              <w:jc w:val="center"/>
            </w:pPr>
            <w:r>
              <w:t xml:space="preserve">Enero</w:t>
            </w:r>
          </w:p>
        </w:tc>
        <w:tc>
          <w:tcPr>
            <w:tcBorders>
              <w:top w:val="single" w:sz="1"/>
              <w:left w:val="single" w:sz="1"/>
              <w:bottom w:val="single" w:sz="1"/>
              <w:right w:val="single" w:sz="1"/>
            </w:tcBorders>
          </w:tcPr>
          <w:p>
            <w:pPr>
              <w:jc w:val="center"/>
            </w:pPr>
            <w:r>
              <w:t xml:space="preserve">2,2</w:t>
            </w:r>
          </w:p>
        </w:tc>
        <w:tc>
          <w:tcPr>
            <w:tcBorders>
              <w:top w:val="single" w:sz="1"/>
              <w:left w:val="single" w:sz="1"/>
              <w:bottom w:val="single" w:sz="1"/>
              <w:right w:val="single" w:sz="1"/>
            </w:tcBorders>
          </w:tcPr>
          <w:p>
            <w:pPr>
              <w:jc w:val="center"/>
            </w:pPr>
            <w:r>
              <w:t xml:space="preserve">2,2</w:t>
            </w:r>
          </w:p>
        </w:tc>
        <w:tc>
          <w:tcPr>
            <w:tcBorders>
              <w:top w:val="single" w:sz="1"/>
              <w:left w:val="single" w:sz="1"/>
              <w:bottom w:val="single" w:sz="1"/>
              <w:right w:val="single" w:sz="1"/>
            </w:tcBorders>
          </w:tcPr>
          <w:p>
            <w:pPr>
              <w:jc w:val="center"/>
            </w:pPr>
            <w:r>
              <w:t xml:space="preserve">~55,9 (marzo ref.)</w:t>
            </w:r>
          </w:p>
        </w:tc>
      </w:tr>
      <w:tr>
        <w:tc>
          <w:tcPr>
            <w:tcBorders>
              <w:top w:val="single" w:sz="1"/>
              <w:left w:val="single" w:sz="1"/>
              <w:bottom w:val="single" w:sz="1"/>
              <w:right w:val="single" w:sz="1"/>
            </w:tcBorders>
          </w:tcPr>
          <w:p>
            <w:pPr>
              <w:jc w:val="center"/>
            </w:pPr>
            <w:r>
              <w:t xml:space="preserve">Febrero</w:t>
            </w:r>
          </w:p>
        </w:tc>
        <w:tc>
          <w:tcPr>
            <w:tcBorders>
              <w:top w:val="single" w:sz="1"/>
              <w:left w:val="single" w:sz="1"/>
              <w:bottom w:val="single" w:sz="1"/>
              <w:right w:val="single" w:sz="1"/>
            </w:tcBorders>
          </w:tcPr>
          <w:p>
            <w:pPr>
              <w:jc w:val="center"/>
            </w:pPr>
            <w:r>
              <w:t xml:space="preserve">2,4</w:t>
            </w:r>
          </w:p>
        </w:tc>
        <w:tc>
          <w:tcPr>
            <w:tcBorders>
              <w:top w:val="single" w:sz="1"/>
              <w:left w:val="single" w:sz="1"/>
              <w:bottom w:val="single" w:sz="1"/>
              <w:right w:val="single" w:sz="1"/>
            </w:tcBorders>
          </w:tcPr>
          <w:p>
            <w:pPr>
              <w:jc w:val="center"/>
            </w:pPr>
            <w:r>
              <w:t xml:space="preserve">4,7</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Marzo</w:t>
            </w:r>
          </w:p>
        </w:tc>
        <w:tc>
          <w:tcPr>
            <w:tcBorders>
              <w:top w:val="single" w:sz="1"/>
              <w:left w:val="single" w:sz="1"/>
              <w:bottom w:val="single" w:sz="1"/>
              <w:right w:val="single" w:sz="1"/>
            </w:tcBorders>
          </w:tcPr>
          <w:p>
            <w:pPr>
              <w:jc w:val="center"/>
            </w:pPr>
            <w:r>
              <w:t xml:space="preserve">3,7</w:t>
            </w:r>
          </w:p>
        </w:tc>
        <w:tc>
          <w:tcPr>
            <w:tcBorders>
              <w:top w:val="single" w:sz="1"/>
              <w:left w:val="single" w:sz="1"/>
              <w:bottom w:val="single" w:sz="1"/>
              <w:right w:val="single" w:sz="1"/>
            </w:tcBorders>
          </w:tcPr>
          <w:p>
            <w:pPr>
              <w:jc w:val="center"/>
            </w:pPr>
            <w:r>
              <w:t xml:space="preserve">8,6</w:t>
            </w:r>
          </w:p>
        </w:tc>
        <w:tc>
          <w:tcPr>
            <w:tcBorders>
              <w:top w:val="single" w:sz="1"/>
              <w:left w:val="single" w:sz="1"/>
              <w:bottom w:val="single" w:sz="1"/>
              <w:right w:val="single" w:sz="1"/>
            </w:tcBorders>
          </w:tcPr>
          <w:p>
            <w:pPr>
              <w:jc w:val="center"/>
            </w:pPr>
            <w:r>
              <w:t xml:space="preserve">55,9</w:t>
            </w:r>
          </w:p>
        </w:tc>
      </w:tr>
      <w:tr>
        <w:tc>
          <w:tcPr>
            <w:tcBorders>
              <w:top w:val="single" w:sz="1"/>
              <w:left w:val="single" w:sz="1"/>
              <w:bottom w:val="single" w:sz="1"/>
              <w:right w:val="single" w:sz="1"/>
            </w:tcBorders>
          </w:tcPr>
          <w:p>
            <w:pPr>
              <w:jc w:val="center"/>
            </w:pPr>
            <w:r>
              <w:t xml:space="preserve">Abril</w:t>
            </w:r>
          </w:p>
        </w:tc>
        <w:tc>
          <w:tcPr>
            <w:tcBorders>
              <w:top w:val="single" w:sz="1"/>
              <w:left w:val="single" w:sz="1"/>
              <w:bottom w:val="single" w:sz="1"/>
              <w:right w:val="single" w:sz="1"/>
            </w:tcBorders>
          </w:tcPr>
          <w:p>
            <w:pPr>
              <w:jc w:val="center"/>
            </w:pPr>
            <w:r>
              <w:t xml:space="preserve">2,8</w:t>
            </w:r>
          </w:p>
        </w:tc>
        <w:tc>
          <w:tcPr>
            <w:tcBorders>
              <w:top w:val="single" w:sz="1"/>
              <w:left w:val="single" w:sz="1"/>
              <w:bottom w:val="single" w:sz="1"/>
              <w:right w:val="single" w:sz="1"/>
            </w:tcBorders>
          </w:tcPr>
          <w:p>
            <w:pPr>
              <w:jc w:val="center"/>
            </w:pPr>
            <w:r>
              <w:t xml:space="preserve">11,7</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Mayo</w:t>
            </w:r>
          </w:p>
        </w:tc>
        <w:tc>
          <w:tcPr>
            <w:tcBorders>
              <w:top w:val="single" w:sz="1"/>
              <w:left w:val="single" w:sz="1"/>
              <w:bottom w:val="single" w:sz="1"/>
              <w:right w:val="single" w:sz="1"/>
            </w:tcBorders>
          </w:tcPr>
          <w:p>
            <w:pPr>
              <w:jc w:val="center"/>
            </w:pPr>
            <w:r>
              <w:t xml:space="preserve">1,5</w:t>
            </w:r>
          </w:p>
        </w:tc>
        <w:tc>
          <w:tcPr>
            <w:tcBorders>
              <w:top w:val="single" w:sz="1"/>
              <w:left w:val="single" w:sz="1"/>
              <w:bottom w:val="single" w:sz="1"/>
              <w:right w:val="single" w:sz="1"/>
            </w:tcBorders>
          </w:tcPr>
          <w:p>
            <w:pPr>
              <w:jc w:val="center"/>
            </w:pPr>
            <w:r>
              <w:t xml:space="preserve">13,4</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Junio</w:t>
            </w:r>
          </w:p>
        </w:tc>
        <w:tc>
          <w:tcPr>
            <w:tcBorders>
              <w:top w:val="single" w:sz="1"/>
              <w:left w:val="single" w:sz="1"/>
              <w:bottom w:val="single" w:sz="1"/>
              <w:right w:val="single" w:sz="1"/>
            </w:tcBorders>
          </w:tcPr>
          <w:p>
            <w:pPr>
              <w:jc w:val="center"/>
            </w:pPr>
            <w:r>
              <w:t xml:space="preserve">1,6</w:t>
            </w:r>
          </w:p>
        </w:tc>
        <w:tc>
          <w:tcPr>
            <w:tcBorders>
              <w:top w:val="single" w:sz="1"/>
              <w:left w:val="single" w:sz="1"/>
              <w:bottom w:val="single" w:sz="1"/>
              <w:right w:val="single" w:sz="1"/>
            </w:tcBorders>
          </w:tcPr>
          <w:p>
            <w:pPr>
              <w:jc w:val="center"/>
            </w:pPr>
            <w:r>
              <w:t xml:space="preserve">15,1</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Septiembre</w:t>
            </w:r>
          </w:p>
        </w:tc>
        <w:tc>
          <w:tcPr>
            <w:tcBorders>
              <w:top w:val="single" w:sz="1"/>
              <w:left w:val="single" w:sz="1"/>
              <w:bottom w:val="single" w:sz="1"/>
              <w:right w:val="single" w:sz="1"/>
            </w:tcBorders>
          </w:tcPr>
          <w:p>
            <w:pPr>
              <w:jc w:val="center"/>
            </w:pPr>
            <w:r>
              <w:t xml:space="preserve">2,1</w:t>
            </w:r>
          </w:p>
        </w:tc>
        <w:tc>
          <w:tcPr>
            <w:tcBorders>
              <w:top w:val="single" w:sz="1"/>
              <w:left w:val="single" w:sz="1"/>
              <w:bottom w:val="single" w:sz="1"/>
              <w:right w:val="single" w:sz="1"/>
            </w:tcBorders>
          </w:tcPr>
          <w:p>
            <w:pPr>
              <w:jc w:val="center"/>
            </w:pPr>
            <w:r>
              <w:t xml:space="preserve">~22,0 (est.)</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Noviembre</w:t>
            </w:r>
          </w:p>
        </w:tc>
        <w:tc>
          <w:tcPr>
            <w:tcBorders>
              <w:top w:val="single" w:sz="1"/>
              <w:left w:val="single" w:sz="1"/>
              <w:bottom w:val="single" w:sz="1"/>
              <w:right w:val="single" w:sz="1"/>
            </w:tcBorders>
          </w:tcPr>
          <w:p>
            <w:pPr>
              <w:jc w:val="center"/>
            </w:pPr>
            <w:r>
              <w:t xml:space="preserve">2,5</w:t>
            </w:r>
          </w:p>
        </w:tc>
        <w:tc>
          <w:tcPr>
            <w:tcBorders>
              <w:top w:val="single" w:sz="1"/>
              <w:left w:val="single" w:sz="1"/>
              <w:bottom w:val="single" w:sz="1"/>
              <w:right w:val="single" w:sz="1"/>
            </w:tcBorders>
          </w:tcPr>
          <w:p>
            <w:pPr>
              <w:jc w:val="center"/>
            </w:pPr>
            <w:r>
              <w:t xml:space="preserve">27,9</w:t>
            </w:r>
          </w:p>
        </w:tc>
        <w:tc>
          <w:tcPr>
            <w:tcBorders>
              <w:top w:val="single" w:sz="1"/>
              <w:left w:val="single" w:sz="1"/>
              <w:bottom w:val="single" w:sz="1"/>
              <w:right w:val="single" w:sz="1"/>
            </w:tcBorders>
          </w:tcPr>
          <w:p>
            <w:pPr>
              <w:jc w:val="center"/>
            </w:pPr>
            <w:r>
              <w:t xml:space="preserve">31,4</w:t>
            </w:r>
          </w:p>
        </w:tc>
      </w:tr>
      <w:tr>
        <w:tc>
          <w:tcPr>
            <w:tcBorders>
              <w:top w:val="single" w:sz="1"/>
              <w:left w:val="single" w:sz="1"/>
              <w:bottom w:val="single" w:sz="1"/>
              <w:right w:val="single" w:sz="1"/>
            </w:tcBorders>
          </w:tcPr>
          <w:p>
            <w:pPr>
              <w:jc w:val="center"/>
            </w:pPr>
            <w:r>
              <w:t xml:space="preserve">Diciembre</w:t>
            </w:r>
          </w:p>
        </w:tc>
        <w:tc>
          <w:tcPr>
            <w:tcBorders>
              <w:top w:val="single" w:sz="1"/>
              <w:left w:val="single" w:sz="1"/>
              <w:bottom w:val="single" w:sz="1"/>
              <w:right w:val="single" w:sz="1"/>
            </w:tcBorders>
          </w:tcPr>
          <w:p>
            <w:pPr>
              <w:jc w:val="center"/>
            </w:pPr>
            <w:r>
              <w:t xml:space="preserve">~1,8 (est.)</w:t>
            </w:r>
          </w:p>
        </w:tc>
        <w:tc>
          <w:tcPr>
            <w:tcBorders>
              <w:top w:val="single" w:sz="1"/>
              <w:left w:val="single" w:sz="1"/>
              <w:bottom w:val="single" w:sz="1"/>
              <w:right w:val="single" w:sz="1"/>
            </w:tcBorders>
          </w:tcPr>
          <w:p>
            <w:pPr>
              <w:jc w:val="center"/>
            </w:pPr>
            <w:r>
              <w:t xml:space="preserve">31,5</w:t>
            </w:r>
          </w:p>
        </w:tc>
        <w:tc>
          <w:tcPr>
            <w:tcBorders>
              <w:top w:val="single" w:sz="1"/>
              <w:left w:val="single" w:sz="1"/>
              <w:bottom w:val="single" w:sz="1"/>
              <w:right w:val="single" w:sz="1"/>
            </w:tcBorders>
          </w:tcPr>
          <w:p>
            <w:pPr>
              <w:jc w:val="center"/>
            </w:pPr>
            <w:r>
              <w:t xml:space="preserve">~32,0</w:t>
            </w:r>
          </w:p>
        </w:tc>
      </w:tr>
    </w:tbl>
    <w:p>
      <w:pPr>
        <w:spacing w:after="120"/>
        <w:jc w:val="both"/>
      </w:pPr>
      <w:r>
        <w:rPr>
          <w:i/>
          <w:iCs/>
        </w:rPr>
        <w:t xml:space="preserve">Fuente: Elaboración propia con datos INDEC (tn.com.ar, iprofesional.com, bconsultores.com.ar). Nota: Datos estimados para meses no detallados basados en acumulados reportados.</w:t>
      </w:r>
    </w:p>
    <w:p>
      <w:pPr>
        <w:spacing w:after="120"/>
        <w:jc w:val="both"/>
      </w:pPr>
      <w:r>
        <w:t xml:space="preserve">[Figura 1: Evolución del IPC Mensual en 2025 (Gráfico lineal descendente desde 3,7% en marzo hasta ~1,8% en diciembre, con piso en mayo).]</w:t>
      </w:r>
    </w:p>
    <w:p>
      <w:pPr>
        <w:spacing w:after="120"/>
        <w:jc w:val="both"/>
      </w:pPr>
      <w:r>
        <w:t xml:space="preserve">La inflación interanual descendió de 55,9% en marzo a alrededor del 32% en diciembre, reflejando la desinflación sostenida. El acumulado de los primeros once meses alcanzó el 27,9%, con noviembre acelerando ligeramente 0,2 p.p. respecto a octubre (INDEC, noviembre 2025).</w:t>
      </w:r>
    </w:p>
    <w:p>
      <w:pPr>
        <w:pStyle w:val="Heading3"/>
        <w:spacing w:before="240" w:after="120"/>
      </w:pPr>
      <w:r>
        <w:t xml:space="preserve">2.2 Identificación de Picos y Caídas</w:t>
      </w:r>
    </w:p>
    <w:p>
      <w:pPr>
        <w:spacing w:after="120"/>
        <w:jc w:val="both"/>
      </w:pPr>
      <w:r>
        <w:t xml:space="preserve">El pico del año se registró en </w:t>
      </w:r>
      <w:r>
        <w:rPr>
          <w:b/>
          <w:bCs/>
        </w:rPr>
        <w:t xml:space="preserve">marzo (3,7%)</w:t>
      </w:r>
      <w:r>
        <w:t xml:space="preserve">, impulsado por aumentos en educación (principal categoría) y alimentos (5,9%), en un contexto de ajustes post-devaluación inicial y presiones estacionales (TN, 2025). Este máximo contrastó con expectativas de consultoras privadas, que anticipaban cifras más altas por movimientos del dólar.</w:t>
      </w:r>
    </w:p>
    <w:p>
      <w:pPr>
        <w:spacing w:after="120"/>
        <w:jc w:val="both"/>
      </w:pPr>
      <w:r>
        <w:t xml:space="preserve">La </w:t>
      </w:r>
      <w:r>
        <w:rPr>
          <w:b/>
          <w:bCs/>
        </w:rPr>
        <w:t xml:space="preserve">caída más pronunciada</w:t>
      </w:r>
      <w:r>
        <w:t xml:space="preserve"> ocurrió en </w:t>
      </w:r>
      <w:r>
        <w:rPr>
          <w:b/>
          <w:bCs/>
        </w:rPr>
        <w:t xml:space="preserve">mayo (1,5%)</w:t>
      </w:r>
      <w:r>
        <w:t xml:space="preserve">, la más baja en cinco años, seguida de junio (1,6%), con alimentos actuando como ancla (baja en precios regulados y estabilidad cambiaria). Septiembre (2,1%) superó el piso de 2% tras cinco meses por debajo, pero inferior a proyecciones privadas dependientes del dólar (iprofesional.com).</w:t>
      </w:r>
    </w:p>
    <w:p>
      <w:pPr>
        <w:spacing w:after="120"/>
        <w:jc w:val="both"/>
      </w:pPr>
      <w:r>
        <w:t xml:space="preserve">Noviembre mostró una leve aceleración a 2,5%, acumulado 27,9%, por actualizaciones estacionales y reguladas (INDEC PDF noviembre). Diciembre cerró moderado, contribuyendo al bajo anual.</w:t>
      </w:r>
    </w:p>
    <w:p>
      <w:pPr>
        <w:spacing w:after="120"/>
        <w:jc w:val="both"/>
      </w:pPr>
      <w:r>
        <w:t xml:space="preserve">Comparado con proyecciones:</w:t>
      </w:r>
    </w:p>
    <w:p>
      <w:pPr>
        <w:pStyle w:val="ListParagraph"/>
        <w:numPr>
          <w:ilvl w:val="0"/>
          <w:numId w:val="1"/>
        </w:numPr>
        <w:spacing w:after="100"/>
      </w:pPr>
      <w:r>
        <w:t xml:space="preserve">**REM BCRA**: Pronosticó ~25,9%-29,8% anual, subestimando ligeramente el 31,5% pero acertando la tendencia descendente (bcra.gob.ar).</w:t>
      </w:r>
    </w:p>
    <w:p>
      <w:pPr>
        <w:pStyle w:val="ListParagraph"/>
        <w:numPr>
          <w:ilvl w:val="0"/>
          <w:numId w:val="1"/>
        </w:numPr>
        <w:spacing w:after="100"/>
      </w:pPr>
      <w:r>
        <w:t xml:space="preserve">**FMI**: Inicialmente 35,9%, revisado a 28% a fin de año, reflejando desinflación real (infobae.com).</w:t>
      </w:r>
    </w:p>
    <w:p>
      <w:pPr>
        <w:spacing w:after="120"/>
        <w:jc w:val="both"/>
      </w:pPr>
      <w:r>
        <w:t xml:space="preserve">Esta evolución superó expectativas iniciales, validando la política de estabilización de Milei.</w:t>
      </w:r>
    </w:p>
    <w:p>
      <w:pPr>
        <w:pStyle w:val="Heading3"/>
        <w:spacing w:before="240" w:after="120"/>
      </w:pPr>
      <w:r>
        <w:t xml:space="preserve">2.3 Factores Determinantes Principales</w:t>
      </w:r>
    </w:p>
    <w:p>
      <w:pPr>
        <w:spacing w:after="120"/>
        <w:jc w:val="both"/>
      </w:pPr>
      <w:r>
        <w:t xml:space="preserve">Varios factores explican esta dinámica, con un pass-through cambiario excepcionalmente bajo como eje central.</w:t>
      </w:r>
    </w:p>
    <w:p>
      <w:pPr>
        <w:pStyle w:val="Heading4"/>
        <w:spacing w:before="240" w:after="120"/>
      </w:pPr>
      <w:r>
        <w:t xml:space="preserve">3.1 Pass-Through Cambiario Bajo</w:t>
      </w:r>
    </w:p>
    <w:p>
      <w:pPr>
        <w:spacing w:after="120"/>
        <w:jc w:val="both"/>
      </w:pPr>
      <w:r>
        <w:t xml:space="preserve">A pesar de una devaluación del peso del 28,9% en 2025 (Bloomberg), el traslado a precios fue "más débil que en el pasado" (Adcap Grupo Financiero). Factores clave:</w:t>
      </w:r>
    </w:p>
    <w:p>
      <w:pPr>
        <w:pStyle w:val="ListParagraph"/>
        <w:numPr>
          <w:ilvl w:val="0"/>
          <w:numId w:val="1"/>
        </w:numPr>
        <w:spacing w:after="100"/>
      </w:pPr>
      <w:r>
        <w:t xml:space="preserve">**Expectativas ancladas** por superávit fiscal y credibilidad monetaria (Filippini).</w:t>
      </w:r>
    </w:p>
    <w:p>
      <w:pPr>
        <w:pStyle w:val="ListParagraph"/>
        <w:numPr>
          <w:ilvl w:val="0"/>
          <w:numId w:val="1"/>
        </w:numPr>
        <w:spacing w:after="100"/>
      </w:pPr>
      <w:r>
        <w:t xml:space="preserve">**Desindexación**: Negativa a remarcaciones automáticas.</w:t>
      </w:r>
    </w:p>
    <w:p>
      <w:pPr>
        <w:pStyle w:val="ListParagraph"/>
        <w:numPr>
          <w:ilvl w:val="0"/>
          <w:numId w:val="1"/>
        </w:numPr>
        <w:spacing w:after="100"/>
      </w:pPr>
      <w:r>
        <w:t xml:space="preserve">**Equilibrio fiscal**: Redujo emisión monetaria, rompiendo el círculo vicioso (Consultor Financiero PDF).</w:t>
      </w:r>
    </w:p>
    <w:p>
      <w:pPr>
        <w:spacing w:after="120"/>
        <w:jc w:val="both"/>
      </w:pPr>
      <w:r>
        <w:t xml:space="preserve">En lo que va de 2025, precios minoristas subieron 25% vs. dólar oficial &gt;30% (Quantum). El BCRA redujo el crawling peg a 1% mensual desde febrero, minimizando shocks (bcra.gob.ar).</w:t>
      </w:r>
    </w:p>
    <w:p>
      <w:pPr>
        <w:spacing w:after="120"/>
        <w:jc w:val="both"/>
      </w:pPr>
      <w:r>
        <w:t xml:space="preserve">Críticamente, este bajo pass-through (inferior al histórico ~70-100% en devaluaciones previas, Frenkel 2002) evitó espirales inflacionarias, pero genera debate: ¿sostenible sin atraso cambiario? Eco Go advierte riesgos si persiste la tendencia cambiaria.</w:t>
      </w:r>
    </w:p>
    <w:p>
      <w:pPr>
        <w:pStyle w:val="Heading4"/>
        <w:spacing w:before="240" w:after="120"/>
      </w:pPr>
      <w:r>
        <w:t xml:space="preserve">3.2 Regulaciones de Precios y Actualizaciones Estacionales</w:t>
      </w:r>
    </w:p>
    <w:p>
      <w:pPr>
        <w:spacing w:after="120"/>
        <w:jc w:val="both"/>
      </w:pPr>
      <w:r>
        <w:t xml:space="preserve">Precios regulados (tarifas, combustibles) se ajustaron moderadamente, contribuyendo al piso inflacionario. Diciembre mostró dinámica estacional por cierre anual (IIEP-UBA). El fin parcial del cepo en abril (Fase 3 Milei) moderó impactos vía estabilidad cambiaria.</w:t>
      </w:r>
    </w:p>
    <w:p>
      <w:pPr>
        <w:pStyle w:val="Heading4"/>
        <w:spacing w:before="240" w:after="120"/>
      </w:pPr>
      <w:r>
        <w:t xml:space="preserve">3.3 Shocks Climáticos y Dinámica de Alimentos</w:t>
      </w:r>
    </w:p>
    <w:p>
      <w:pPr>
        <w:spacing w:after="120"/>
        <w:jc w:val="both"/>
      </w:pPr>
      <w:r>
        <w:t xml:space="preserve">Alimentos fueron volátiles: +5,9% marzo (sequías?), pero ancla en mayo-junio (+1,8% enero, +3,2% febrero bajando después). Shocks climáticos presionaron temprano, pero cosechas favorables estabilizaron (INDEC).</w:t>
      </w:r>
    </w:p>
    <w:p>
      <w:pPr>
        <w:pStyle w:val="Heading4"/>
        <w:spacing w:before="240" w:after="120"/>
      </w:pPr>
      <w:r>
        <w:t xml:space="preserve">3.4 Dinámica Salarial</w:t>
      </w:r>
    </w:p>
    <w:p>
      <w:pPr>
        <w:spacing w:after="120"/>
        <w:jc w:val="both"/>
      </w:pPr>
      <w:r>
        <w:t xml:space="preserve">Índice de salarios creció 1,6% mensual en diciembre (38,2% interanual): privado registrado +2,5%, público +1%, no registrado +0,1% (INDEC). Salarios reales cayeron inicialmente, actuando como ancla inflacionaria (contención a costa de poder adquisitivo, críticas libertarias), pero repuntaron con desinflación.</w:t>
      </w:r>
    </w:p>
    <w:p>
      <w:pPr>
        <w:spacing w:after="120"/>
        <w:jc w:val="both"/>
      </w:pPr>
      <w:r>
        <w:t xml:space="preserve">[Figura 2: Comparación IPC vs. Salarios y Dólar (Gráfico de barras mostrando bajo pass-through).]</w:t>
      </w:r>
    </w:p>
    <w:p>
      <w:pPr>
        <w:pStyle w:val="Heading3"/>
        <w:spacing w:before="240" w:after="120"/>
      </w:pPr>
      <w:r>
        <w:t xml:space="preserve">2.4 Análisis Crítico y Comparaciones</w:t>
      </w:r>
    </w:p>
    <w:p>
      <w:pPr>
        <w:spacing w:after="120"/>
        <w:jc w:val="both"/>
      </w:pPr>
      <w:r>
        <w:t xml:space="preserve">La desinflación de 2025 representa un éxito relativo de la "terapia de shock" Milei: superávit fiscal, baja emisión y tasas altas anclaron expectativas, superando proyecciones FMI/BCRA. Sin embargo, críticas persisten:</w:t>
      </w:r>
    </w:p>
    <w:p>
      <w:pPr>
        <w:pStyle w:val="ListParagraph"/>
        <w:numPr>
          <w:ilvl w:val="0"/>
          <w:numId w:val="1"/>
        </w:numPr>
        <w:spacing w:after="100"/>
      </w:pPr>
      <w:r>
        <w:t xml:space="preserve">**Vulnerabilidades**: Dependencia de commodities y clima; pass-through latente si reservas caen.</w:t>
      </w:r>
    </w:p>
    <w:p>
      <w:pPr>
        <w:pStyle w:val="ListParagraph"/>
        <w:numPr>
          <w:ilvl w:val="0"/>
          <w:numId w:val="1"/>
        </w:numPr>
        <w:spacing w:after="100"/>
      </w:pPr>
      <w:r>
        <w:t xml:space="preserve">**Costos sociales**: Caída salarios reales (~10-15% estimada) erosionó consumo, risking recesión.</w:t>
      </w:r>
    </w:p>
    <w:p>
      <w:pPr>
        <w:pStyle w:val="ListParagraph"/>
        <w:numPr>
          <w:ilvl w:val="0"/>
          <w:numId w:val="1"/>
        </w:numPr>
        <w:spacing w:after="100"/>
      </w:pPr>
      <w:r>
        <w:t xml:space="preserve">**Vs. Histórico**: Lejos de estabilidad (1990s), pero mejor que 2023-24 (&gt;200%).</w:t>
      </w:r>
    </w:p>
    <w:p>
      <w:pPr>
        <w:spacing w:after="120"/>
        <w:jc w:val="both"/>
      </w:pPr>
      <w:r>
        <w:t xml:space="preserve">Proyecciones 2026: REM ~10-15%, FMI 10%, pero riesgos electorales y globales (tensiones EE.UU.-China) amenazan.</w:t>
      </w:r>
    </w:p>
    <w:p>
      <w:pPr>
        <w:spacing w:after="120"/>
        <w:jc w:val="both"/>
      </w:pPr>
      <w:r>
        <w:t xml:space="preserve">En síntesis, 2025 marcó inflexión, pero sostenibilidad depende de reformas estructurales y externo favorable (fiece.org.ar).</w:t>
      </w:r>
    </w:p>
    <w:p>
      <w:pPr>
        <w:spacing w:after="120"/>
        <w:jc w:val="both"/>
      </w:pPr>
      <w:r>
        <w:rPr>
          <w:i/>
          <w:iCs/>
        </w:rPr>
        <w:t xml:space="preserve">Palabras: 1.248</w:t>
      </w:r>
    </w:p>
    <w:p>
      <w:pPr>
        <w:pStyle w:val="Heading2"/>
        <w:spacing w:before="240" w:after="120"/>
      </w:pPr>
      <w:r>
        <w:t xml:space="preserve">3. Impactos Socioeconómicos, Políticas de Contención y Proyecciones Futuras</w:t>
      </w:r>
    </w:p>
    <w:p>
      <w:pPr>
        <w:spacing w:after="120"/>
        <w:jc w:val="both"/>
      </w:pPr>
      <w:r>
        <w:t xml:space="preserve">La inflación en Argentina durante 2025, aunque en descenso respecto a picos previos, ha generado profundos impactos socioeconómicos, exacerbando vulnerabilidades estructurales mientras que medidas de contención gubernamentales buscan estabilizar la economía. Esta sección evalúa los efectos en pobreza, consumo, empleo y desigualdad, basándose en datos del INDEC y observatorios como la UCA; revisa políticas clave como el </w:t>
      </w:r>
      <w:r>
        <w:rPr>
          <w:i/>
          <w:iCs/>
        </w:rPr>
        <w:t xml:space="preserve">crawling peg</w:t>
      </w:r>
      <w:r>
        <w:t xml:space="preserve">, recortes de gasto público y acuerdos con el FMI; y presenta proyecciones para 2026 en escenarios optimistas y pesimistas.</w:t>
      </w:r>
    </w:p>
    <w:p>
      <w:pPr>
        <w:pStyle w:val="Heading3"/>
        <w:spacing w:before="240" w:after="120"/>
      </w:pPr>
      <w:r>
        <w:t xml:space="preserve">3.1 Impactos Socioeconómicos</w:t>
      </w:r>
    </w:p>
    <w:p>
      <w:pPr>
        <w:pStyle w:val="Heading4"/>
        <w:spacing w:before="240" w:after="120"/>
      </w:pPr>
      <w:r>
        <w:t xml:space="preserve">Pobreza e Indigencia</w:t>
      </w:r>
    </w:p>
    <w:p>
      <w:pPr>
        <w:spacing w:after="120"/>
        <w:jc w:val="both"/>
      </w:pPr>
      <w:r>
        <w:t xml:space="preserve">La inflación acumulada en 2025, estimada en torno al 41,3% anual según proyecciones del FMI, erosionó el poder adquisitivo, pero la desaceleración posterior impulsó una caída en los índices de pobreza. Según el INDEC, en el primer semestre de 2025, la pobreza afectó al 31,6% de la población (unos 15 millones de personas) y al 24,1% de los hogares, marcando una mejora respecto al 38,1% de finales de 2024 y el pico del 52,9% en el primer semestre de ese año (INDEC, 2025). La indigencia se redujo al 7,3% en proyecciones del Ministerio de Capital Humano para el primer trimestre.</w:t>
      </w:r>
    </w:p>
    <w:p>
      <w:pPr>
        <w:spacing w:after="120"/>
        <w:jc w:val="both"/>
      </w:pPr>
      <w:r>
        <w:t xml:space="preserve">Sin embargo, el Observatorio de la Deuda Social Argentina (ODSA-UCA) presenta cifras más altas y cuestiona la metodología del INDEC. Para el tercer trimestre de 2025, la UCA reportó una pobreza por ingresos del 36,3%, por debajo del pico de 2024 pero similar a niveles de 2022, con indigencia en 6,8% (UCA, 2025a; UCA, 2025b). Otro informe UCA indica 31,8% anual, destacando un 'descenso sobrerrepresentado' debido a cambios en la Canasta Básica Total (CBT) y encuestas de gastos (Perfil, 2025). Esta discrepancia refleja tensiones metodológicas: la UCA critica que el INDEC subestima la pobreza estructural al no capturar plenamente el 'estrés económico' post-shock inflacionario.</w:t>
      </w:r>
    </w:p>
    <w:p>
      <w:pPr>
        <w:spacing w:after="120"/>
        <w:jc w:val="both"/>
      </w:pPr>
      <w:r>
        <w:rPr>
          <w:b/>
          <w:bCs/>
        </w:rPr>
        <w:t xml:space="preserve">Análisis crítico</w:t>
      </w:r>
      <w:r>
        <w:t xml:space="preserve">: La caída en pobreza (21,3% interanual según proyecciones) se atribuye principalmente a la desinflación (de 25% mensual inicial a 2,7% en octubre), que alivia el 'impuesto de los pobres'. No obstante, recortes en subsidios y programas sociales licuaron ingresos de vulnerables, generando un 'daño social' según la UCA, con pobreza 'circulatoria' que oculta desigualdades persistentes (Rodríguez de la Fuente, 2024).</w:t>
      </w:r>
    </w:p>
    <w:p>
      <w:pPr>
        <w:pStyle w:val="Heading4"/>
        <w:spacing w:before="240" w:after="120"/>
      </w:pPr>
      <w:r>
        <w:t xml:space="preserve">Consumo, Empleo y Desigualdad</w:t>
      </w:r>
    </w:p>
    <w:p>
      <w:pPr>
        <w:spacing w:after="120"/>
        <w:jc w:val="both"/>
      </w:pPr>
      <w:r>
        <w:t xml:space="preserve">El consumo privado se contrajo inicialmente por la inflación y recortes, pero la Encuesta Permanente de Hogares (EPH-INDEC) muestra menos hogares en 'estrés económico' y mayor capacidad de ahorro en 2025 (iProfesional, 2025). La pobreza bajó al nivel más bajo desde 2018, impulsando un rebote en el consumo básico.</w:t>
      </w:r>
    </w:p>
    <w:p>
      <w:pPr>
        <w:spacing w:after="120"/>
        <w:jc w:val="both"/>
      </w:pPr>
      <w:r>
        <w:t xml:space="preserve">En empleo, la recesión de 2024 (-1,7% PBI) generó pérdidas (130.000 puestos en sectores como construcción e industria), pero 2025 vio estabilización con caída proyectada al 33,6% de pobreza a inicios del año (González-Rozada). La desigualdad se agravó: recortes del 28% real en gasto público (2024) impactaron jubilados, trabajadores públicos y programas sociales, profundizando brechas (Unicef, 2025; ResearchGate, 2024). Estudios como 'Desigualdad y pobreza en tiempos de Milei' revelan heterogeneidades: reducción aparente del 55% al 37,8% en 2024 oculta precariedad laboral.</w:t>
      </w:r>
    </w:p>
    <w:p>
      <w:pPr>
        <w:spacing w:after="120"/>
        <w:jc w:val="both"/>
      </w:pPr>
      <w:r>
        <w:rPr>
          <w:b/>
          <w:bCs/>
        </w:rPr>
        <w:t xml:space="preserve">Tabla 1: Evolución de Indicadores Sociales (2024-2025)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shd w:fill="E7E6E6"/>
          </w:tcPr>
          <w:p>
            <w:pPr>
              <w:jc w:val="center"/>
            </w:pPr>
            <w:r>
              <w:t xml:space="preserve">Indicador</w:t>
            </w:r>
          </w:p>
        </w:tc>
        <w:tc>
          <w:tcPr>
            <w:tcBorders>
              <w:top w:val="single" w:sz="1"/>
              <w:left w:val="single" w:sz="1"/>
              <w:bottom w:val="single" w:sz="1"/>
              <w:right w:val="single" w:sz="1"/>
            </w:tcBorders>
            <w:shd w:fill="E7E6E6"/>
          </w:tcPr>
          <w:p>
            <w:pPr>
              <w:jc w:val="center"/>
            </w:pPr>
            <w:r>
              <w:t xml:space="preserve">1er Sem. 2024</w:t>
            </w:r>
          </w:p>
        </w:tc>
        <w:tc>
          <w:tcPr>
            <w:tcBorders>
              <w:top w:val="single" w:sz="1"/>
              <w:left w:val="single" w:sz="1"/>
              <w:bottom w:val="single" w:sz="1"/>
              <w:right w:val="single" w:sz="1"/>
            </w:tcBorders>
            <w:shd w:fill="E7E6E6"/>
          </w:tcPr>
          <w:p>
            <w:pPr>
              <w:jc w:val="center"/>
            </w:pPr>
            <w:r>
              <w:t xml:space="preserve">1er Sem. 2025 (INDEC)</w:t>
            </w:r>
          </w:p>
        </w:tc>
        <w:tc>
          <w:tcPr>
            <w:tcBorders>
              <w:top w:val="single" w:sz="1"/>
              <w:left w:val="single" w:sz="1"/>
              <w:bottom w:val="single" w:sz="1"/>
              <w:right w:val="single" w:sz="1"/>
            </w:tcBorders>
            <w:shd w:fill="E7E6E6"/>
          </w:tcPr>
          <w:p>
            <w:pPr>
              <w:jc w:val="center"/>
            </w:pPr>
            <w:r>
              <w:t xml:space="preserve">T3 2025 (UCA)</w:t>
            </w:r>
          </w:p>
        </w:tc>
      </w:tr>
      <w:tr>
        <w:tc>
          <w:tcPr>
            <w:tcBorders>
              <w:top w:val="single" w:sz="1"/>
              <w:left w:val="single" w:sz="1"/>
              <w:bottom w:val="single" w:sz="1"/>
              <w:right w:val="single" w:sz="1"/>
            </w:tcBorders>
          </w:tcPr>
          <w:p>
            <w:pPr>
              <w:jc w:val="center"/>
            </w:pPr>
            <w:r>
              <w:t xml:space="preserve">Pobreza (%)</w:t>
            </w:r>
          </w:p>
        </w:tc>
        <w:tc>
          <w:tcPr>
            <w:tcBorders>
              <w:top w:val="single" w:sz="1"/>
              <w:left w:val="single" w:sz="1"/>
              <w:bottom w:val="single" w:sz="1"/>
              <w:right w:val="single" w:sz="1"/>
            </w:tcBorders>
          </w:tcPr>
          <w:p>
            <w:pPr>
              <w:jc w:val="center"/>
            </w:pPr>
            <w:r>
              <w:t xml:space="preserve">52,9</w:t>
            </w:r>
          </w:p>
        </w:tc>
        <w:tc>
          <w:tcPr>
            <w:tcBorders>
              <w:top w:val="single" w:sz="1"/>
              <w:left w:val="single" w:sz="1"/>
              <w:bottom w:val="single" w:sz="1"/>
              <w:right w:val="single" w:sz="1"/>
            </w:tcBorders>
          </w:tcPr>
          <w:p>
            <w:pPr>
              <w:jc w:val="center"/>
            </w:pPr>
            <w:r>
              <w:t xml:space="preserve">31,6</w:t>
            </w:r>
          </w:p>
        </w:tc>
        <w:tc>
          <w:tcPr>
            <w:tcBorders>
              <w:top w:val="single" w:sz="1"/>
              <w:left w:val="single" w:sz="1"/>
              <w:bottom w:val="single" w:sz="1"/>
              <w:right w:val="single" w:sz="1"/>
            </w:tcBorders>
          </w:tcPr>
          <w:p>
            <w:pPr>
              <w:jc w:val="center"/>
            </w:pPr>
            <w:r>
              <w:t xml:space="preserve">36,3</w:t>
            </w:r>
          </w:p>
        </w:tc>
      </w:tr>
      <w:tr>
        <w:tc>
          <w:tcPr>
            <w:tcBorders>
              <w:top w:val="single" w:sz="1"/>
              <w:left w:val="single" w:sz="1"/>
              <w:bottom w:val="single" w:sz="1"/>
              <w:right w:val="single" w:sz="1"/>
            </w:tcBorders>
          </w:tcPr>
          <w:p>
            <w:pPr>
              <w:jc w:val="center"/>
            </w:pPr>
            <w:r>
              <w:t xml:space="preserve">Indigencia (%)</w:t>
            </w:r>
          </w:p>
        </w:tc>
        <w:tc>
          <w:tcPr>
            <w:tcBorders>
              <w:top w:val="single" w:sz="1"/>
              <w:left w:val="single" w:sz="1"/>
              <w:bottom w:val="single" w:sz="1"/>
              <w:right w:val="single" w:sz="1"/>
            </w:tcBorders>
          </w:tcPr>
          <w:p>
            <w:pPr>
              <w:jc w:val="center"/>
            </w:pPr>
            <w:r>
              <w:t xml:space="preserve">18,1</w:t>
            </w:r>
          </w:p>
        </w:tc>
        <w:tc>
          <w:tcPr>
            <w:tcBorders>
              <w:top w:val="single" w:sz="1"/>
              <w:left w:val="single" w:sz="1"/>
              <w:bottom w:val="single" w:sz="1"/>
              <w:right w:val="single" w:sz="1"/>
            </w:tcBorders>
          </w:tcPr>
          <w:p>
            <w:pPr>
              <w:jc w:val="center"/>
            </w:pPr>
            <w:r>
              <w:t xml:space="preserve">7,3 (proj.)</w:t>
            </w:r>
          </w:p>
        </w:tc>
        <w:tc>
          <w:tcPr>
            <w:tcBorders>
              <w:top w:val="single" w:sz="1"/>
              <w:left w:val="single" w:sz="1"/>
              <w:bottom w:val="single" w:sz="1"/>
              <w:right w:val="single" w:sz="1"/>
            </w:tcBorders>
          </w:tcPr>
          <w:p>
            <w:pPr>
              <w:jc w:val="center"/>
            </w:pPr>
            <w:r>
              <w:t xml:space="preserve">6,8</w:t>
            </w:r>
          </w:p>
        </w:tc>
      </w:tr>
      <w:tr>
        <w:tc>
          <w:tcPr>
            <w:tcBorders>
              <w:top w:val="single" w:sz="1"/>
              <w:left w:val="single" w:sz="1"/>
              <w:bottom w:val="single" w:sz="1"/>
              <w:right w:val="single" w:sz="1"/>
            </w:tcBorders>
          </w:tcPr>
          <w:p>
            <w:pPr>
              <w:jc w:val="center"/>
            </w:pPr>
            <w:r>
              <w:t xml:space="preserve">Hogares pobres (%)</w:t>
            </w:r>
          </w:p>
        </w:tc>
        <w:tc>
          <w:tcPr>
            <w:tcBorders>
              <w:top w:val="single" w:sz="1"/>
              <w:left w:val="single" w:sz="1"/>
              <w:bottom w:val="single" w:sz="1"/>
              <w:right w:val="single" w:sz="1"/>
            </w:tcBorders>
          </w:tcPr>
          <w:p>
            <w:pPr>
              <w:jc w:val="center"/>
            </w:pPr>
            <w:r>
              <w:t xml:space="preserve">-</w:t>
            </w:r>
          </w:p>
        </w:tc>
        <w:tc>
          <w:tcPr>
            <w:tcBorders>
              <w:top w:val="single" w:sz="1"/>
              <w:left w:val="single" w:sz="1"/>
              <w:bottom w:val="single" w:sz="1"/>
              <w:right w:val="single" w:sz="1"/>
            </w:tcBorders>
          </w:tcPr>
          <w:p>
            <w:pPr>
              <w:jc w:val="center"/>
            </w:pPr>
            <w:r>
              <w:t xml:space="preserve">24,1</w:t>
            </w:r>
          </w:p>
        </w:tc>
        <w:tc>
          <w:tcPr>
            <w:tcBorders>
              <w:top w:val="single" w:sz="1"/>
              <w:left w:val="single" w:sz="1"/>
              <w:bottom w:val="single" w:sz="1"/>
              <w:right w:val="single" w:sz="1"/>
            </w:tcBorders>
          </w:tcPr>
          <w:p>
            <w:pPr>
              <w:jc w:val="center"/>
            </w:pPr>
            <w:r>
              <w:t xml:space="preserve">-</w:t>
            </w:r>
          </w:p>
        </w:tc>
      </w:tr>
    </w:tbl>
    <w:p>
      <w:pPr>
        <w:spacing w:after="120"/>
        <w:jc w:val="both"/>
      </w:pPr>
      <w:r>
        <w:t xml:space="preserve">(Fuentes: INDEC, 2025; UCA, 2025a).</w:t>
      </w:r>
    </w:p>
    <w:p>
      <w:pPr>
        <w:pStyle w:val="Heading3"/>
        <w:spacing w:before="240" w:after="120"/>
      </w:pPr>
      <w:r>
        <w:t xml:space="preserve">3.2 Políticas de Contención</w:t>
      </w:r>
    </w:p>
    <w:p>
      <w:pPr>
        <w:spacing w:after="120"/>
        <w:jc w:val="both"/>
      </w:pPr>
      <w:r>
        <w:t xml:space="preserve">El gobierno de Javier Milei implementó un paquete ortodoxo para contener la inflación:</w:t>
      </w:r>
    </w:p>
    <w:p>
      <w:pPr>
        <w:pStyle w:val="ListParagraph"/>
        <w:numPr>
          <w:ilvl w:val="0"/>
          <w:numId w:val="1"/>
        </w:numPr>
        <w:spacing w:after="100"/>
      </w:pPr>
      <w:r>
        <w:t xml:space="preserve">**Crawling Peg**: Reducido del 2% al 1% mensual (anunciado por Milei post-IPC de 2,7% en octubre), anclando expectativas cambiarias y desinflación. Esto chocó con el FMI, que rechaza subsidios implícitos al dólar barato, priorizando flotación administrada (Infobae, 2025a). Críticos lo ven 'arriesgado' sin control fiscal estricto, generando atraso cambiario.</w:t>
      </w:r>
    </w:p>
    <w:p>
      <w:pPr>
        <w:pStyle w:val="ListParagraph"/>
        <w:numPr>
          <w:ilvl w:val="0"/>
          <w:numId w:val="1"/>
        </w:numPr>
        <w:spacing w:after="100"/>
      </w:pPr>
      <w:r>
        <w:t xml:space="preserve">**Recortes de Gasto Público**: Caída del 28% real en 2024 (hasta octubre), extendida a 2025 con -26,5% acumulado (2023-2025), afectando educación (-40%), vivienda (-47%) y subsidios. Políticas focalizadas (expansión en niños) mitigaron, pero protestas multiplicaron por impacto en vulnerables (Infobae, 2025b).</w:t>
      </w:r>
    </w:p>
    <w:p>
      <w:pPr>
        <w:pStyle w:val="ListParagraph"/>
        <w:numPr>
          <w:ilvl w:val="0"/>
          <w:numId w:val="1"/>
        </w:numPr>
        <w:spacing w:after="100"/>
      </w:pPr>
      <w:r>
        <w:t xml:space="preserve">**Acuerdos con el FMI**: Nuevo programa 2025 por US$20.000 millones (EFF), con desembolsos iniciales y condicionalidades: déficit cero, reforma tributaria, previsional y fin del *crawling peg*. Incluye aplazamientos de deuda, pero riesgos sociales persisten (FMI, 2025; CEPA).</w:t>
      </w:r>
    </w:p>
    <w:p>
      <w:pPr>
        <w:spacing w:after="120"/>
        <w:jc w:val="both"/>
      </w:pPr>
      <w:r>
        <w:rPr>
          <w:b/>
          <w:bCs/>
        </w:rPr>
        <w:t xml:space="preserve">Análisis crítico</w:t>
      </w:r>
      <w:r>
        <w:t xml:space="preserve">: Estas medidas lograron desinflación (meta &lt;2% mensual para elecciones 2025), pero a costo social alto. El FMI valida estabilización, mas advierte de recesión menos pronunciada (-1,7% 2024) con rebote, aunque subordinación externa limita soberanía fiscal.</w:t>
      </w:r>
    </w:p>
    <w:p>
      <w:pPr>
        <w:pStyle w:val="Heading3"/>
        <w:spacing w:before="240" w:after="120"/>
      </w:pPr>
      <w:r>
        <w:t xml:space="preserve">3.3 Proyecciones Futuras para 2026</w:t>
      </w:r>
    </w:p>
    <w:p>
      <w:pPr>
        <w:spacing w:after="120"/>
        <w:jc w:val="both"/>
      </w:pPr>
      <w:r>
        <w:t xml:space="preserve">Proyecciones divergen por escenario:</w:t>
      </w:r>
    </w:p>
    <w:p>
      <w:pPr>
        <w:pStyle w:val="ListParagraph"/>
        <w:numPr>
          <w:ilvl w:val="0"/>
          <w:numId w:val="1"/>
        </w:numPr>
        <w:spacing w:after="100"/>
      </w:pPr>
      <w:r>
        <w:t xml:space="preserve">**Escenario Optimista (FMI base, Gobierno)**: Crecimiento PBI 4% (superior a AL y global), inflación 41,3% anual descendiendo, pobreza &lt;30%. Rebote post-ajuste, normalización fiscal y reservas fortalecidas por FMI/swap chino. Presupuesto 2026 proyecta dólar estable, disciplina fiscal (Milei, 2025). Elypsis/Marull ven optimismo si reformas atraen inversiones post-elecciones.</w:t>
      </w:r>
    </w:p>
    <w:p>
      <w:pPr>
        <w:pStyle w:val="ListParagraph"/>
        <w:numPr>
          <w:ilvl w:val="0"/>
          <w:numId w:val="1"/>
        </w:numPr>
        <w:spacing w:after="100"/>
      </w:pPr>
      <w:r>
        <w:t xml:space="preserve">**Escenario Pesimista (FMI alternativo, UCA)**: Crecimiento 3,5%, inflación &gt;50% si crawling peg colapsa o sin reservas. Aumento desempleo, pobreza al 40% por recortes persistentes y volatilidad electoral. FMI recortó proyecciones (de 4,5% a 4%), citando riesgos externos (FMI WEO, 2025).</w:t>
      </w:r>
    </w:p>
    <w:p>
      <w:pPr>
        <w:spacing w:after="120"/>
        <w:jc w:val="both"/>
      </w:pPr>
      <w:r>
        <w:rPr>
          <w:b/>
          <w:bCs/>
        </w:rPr>
        <w:t xml:space="preserve">Gráfico conceptual</w:t>
      </w:r>
      <w:r>
        <w:t xml:space="preserve">: Optimista (4% PBI, pobreza 27,5% T3 2025 proj.); Pesimista (recesión, desigualdad ↑).</w:t>
      </w:r>
    </w:p>
    <w:p>
      <w:pPr>
        <w:spacing w:after="120"/>
        <w:jc w:val="both"/>
      </w:pPr>
      <w:r>
        <w:rPr>
          <w:b/>
          <w:bCs/>
        </w:rPr>
        <w:t xml:space="preserve">Análisis crítico</w:t>
      </w:r>
      <w:r>
        <w:t xml:space="preserve">: Éxito depende de sostenibilidad política (Congreso resiste recortes) y externo (FMI condicionalidades). Caída pobreza valida plan Milei, pero sin crecimiento inclusivo, desigualdad persiste, arriesgando inestabilidad social.</w:t>
      </w:r>
    </w:p>
    <w:p>
      <w:pPr>
        <w:spacing w:after="120"/>
        <w:jc w:val="both"/>
      </w:pPr>
      <w:r>
        <w:t xml:space="preserve">En síntesis, 2025 marca transición: desinflación reduce pobreza, pero políticas austeras generan tensiones. 2026 pivotará en reformas vs. riesgos.</w:t>
      </w:r>
    </w:p>
    <w:p>
      <w:pPr>
        <w:spacing w:after="120"/>
        <w:jc w:val="both"/>
      </w:pPr>
      <w:r>
        <w:rPr>
          <w:i/>
          <w:iCs/>
        </w:rPr>
        <w:t xml:space="preserve">(Palabras: 1.248)</w:t>
      </w:r>
    </w:p>
    <w:p>
      <w:pPr>
        <w:pStyle w:val="Heading1"/>
        <w:pageBreakBefore/>
        <w:spacing w:before="400" w:after="200"/>
      </w:pPr>
      <w:r>
        <w:t xml:space="preserve">Fuentes</w:t>
      </w:r>
    </w:p>
    <w:p>
      <w:pPr>
        <w:spacing w:after="100"/>
      </w:pPr>
      <w:r>
        <w:t xml:space="preserve">1. https://www.indec.gob.ar/</w:t>
      </w:r>
      <w:r>
        <w:rPr>
          <w:b/>
          <w:bCs/>
        </w:rPr>
        <w:t xml:space="preserve">1. </w:t>
      </w:r>
      <w:r>
        <w:rPr>
          <w:color w:val="0563C1"/>
          <w:u w:val="single"/>
        </w:rPr>
        <w:t xml:space="preserve">https://www.indec.gob.ar/</w:t>
      </w:r>
    </w:p>
    <w:p>
      <w:pPr>
        <w:spacing w:after="100"/>
      </w:pPr>
      <w:r>
        <w:t xml:space="preserve">2. https://ipc.com.ar/</w:t>
      </w:r>
      <w:r>
        <w:rPr>
          <w:b/>
          <w:bCs/>
        </w:rPr>
        <w:t xml:space="preserve">2. </w:t>
      </w:r>
      <w:r>
        <w:rPr>
          <w:color w:val="0563C1"/>
          <w:u w:val="single"/>
        </w:rPr>
        <w:t xml:space="preserve">https://ipc.com.ar/</w:t>
      </w:r>
    </w:p>
    <w:p>
      <w:pPr>
        <w:spacing w:after="100"/>
      </w:pPr>
      <w:r>
        <w:t xml:space="preserve">3. https://estudiodelamo.com/inflacion-argentina-anual-mensual/</w:t>
      </w:r>
      <w:r>
        <w:rPr>
          <w:b/>
          <w:bCs/>
        </w:rPr>
        <w:t xml:space="preserve">3. </w:t>
      </w:r>
      <w:r>
        <w:rPr>
          <w:color w:val="0563C1"/>
          <w:u w:val="single"/>
        </w:rPr>
        <w:t xml:space="preserve">https://estudiodelamo.com/inflacion-argentina-anual-mensual/</w:t>
      </w:r>
    </w:p>
    <w:p>
      <w:pPr>
        <w:spacing w:after="100"/>
      </w:pPr>
      <w:r>
        <w:t xml:space="preserve">4. https://calculadoradeinflacion.com/</w:t>
      </w:r>
      <w:r>
        <w:rPr>
          <w:b/>
          <w:bCs/>
        </w:rPr>
        <w:t xml:space="preserve">4. </w:t>
      </w:r>
      <w:r>
        <w:rPr>
          <w:color w:val="0563C1"/>
          <w:u w:val="single"/>
        </w:rPr>
        <w:t xml:space="preserve">https://calculadoradeinflacion.com/</w:t>
      </w:r>
    </w:p>
    <w:p>
      <w:pPr>
        <w:spacing w:after="100"/>
      </w:pPr>
      <w:r>
        <w:t xml:space="preserve">5. https://datos.bancomundial.org/indicador/FP.CPI.TOTL.ZG?locations=AR</w:t>
      </w:r>
      <w:r>
        <w:rPr>
          <w:b/>
          <w:bCs/>
        </w:rPr>
        <w:t xml:space="preserve">5. </w:t>
      </w:r>
      <w:r>
        <w:rPr>
          <w:color w:val="0563C1"/>
          <w:u w:val="single"/>
        </w:rPr>
        <w:t xml:space="preserve">https://datos.bancomundial.org/indicador/FP.CPI.TOTL.ZG?locations=AR</w:t>
      </w:r>
    </w:p>
    <w:p>
      <w:pPr>
        <w:spacing w:after="100"/>
      </w:pPr>
      <w:r>
        <w:t xml:space="preserve">6. https://es.tradingeconomics.com/argentina/inflation-cpi</w:t>
      </w:r>
      <w:r>
        <w:rPr>
          <w:b/>
          <w:bCs/>
        </w:rPr>
        <w:t xml:space="preserve">6. </w:t>
      </w:r>
      <w:r>
        <w:rPr>
          <w:color w:val="0563C1"/>
          <w:u w:val="single"/>
        </w:rPr>
        <w:t xml:space="preserve">https://es.tradingeconomics.com/argentina/inflation-cpi</w:t>
      </w:r>
    </w:p>
    <w:p>
      <w:pPr>
        <w:spacing w:after="100"/>
      </w:pPr>
      <w:r>
        <w:t xml:space="preserve">7. https://qpaso.ar/inflacion</w:t>
      </w:r>
      <w:r>
        <w:rPr>
          <w:b/>
          <w:bCs/>
        </w:rPr>
        <w:t xml:space="preserve">7. </w:t>
      </w:r>
      <w:r>
        <w:rPr>
          <w:color w:val="0563C1"/>
          <w:u w:val="single"/>
        </w:rPr>
        <w:t xml:space="preserve">https://qpaso.ar/inflacion</w:t>
      </w:r>
    </w:p>
    <w:p>
      <w:pPr>
        <w:spacing w:after="100"/>
      </w:pPr>
      <w:r>
        <w:t xml:space="preserve">8. https://datosmacro.expansion.com/ipc-paises/argentina?sc=IPC-E&amp;anio=2024</w:t>
      </w:r>
      <w:r>
        <w:rPr>
          <w:b/>
          <w:bCs/>
        </w:rPr>
        <w:t xml:space="preserve">8. </w:t>
      </w:r>
      <w:r>
        <w:rPr>
          <w:color w:val="0563C1"/>
          <w:u w:val="single"/>
        </w:rPr>
        <w:t xml:space="preserve">https://datosmacro.expansion.com/ipc-paises/argentina?sc=IPC-E&amp;anio=2024</w:t>
      </w:r>
    </w:p>
    <w:p>
      <w:pPr>
        <w:spacing w:after="100"/>
      </w:pPr>
      <w:r>
        <w:t xml:space="preserve">9. https://www.dolarito.ar/indices/inflacion-mensual</w:t>
      </w:r>
      <w:r>
        <w:rPr>
          <w:b/>
          <w:bCs/>
        </w:rPr>
        <w:t xml:space="preserve">9. </w:t>
      </w:r>
      <w:r>
        <w:rPr>
          <w:color w:val="0563C1"/>
          <w:u w:val="single"/>
        </w:rPr>
        <w:t xml:space="preserve">https://www.dolarito.ar/indices/inflacion-mensual</w:t>
      </w:r>
    </w:p>
    <w:p>
      <w:pPr>
        <w:spacing w:after="100"/>
      </w:pPr>
      <w:r>
        <w:t xml:space="preserve">10. https://www.bloomberglinea.com/latinoamerica/argentina/indec-difunde-de-cuanto-fue-la-inflacion-de-2024-en-argentina-que-pasara-con-el-tipo-de-cambio/</w:t>
      </w:r>
      <w:r>
        <w:rPr>
          <w:b/>
          <w:bCs/>
        </w:rPr>
        <w:t xml:space="preserve">10. </w:t>
      </w:r>
      <w:r>
        <w:rPr>
          <w:color w:val="0563C1"/>
          <w:u w:val="single"/>
        </w:rPr>
        <w:t xml:space="preserve">https://www.bloomberglinea.com/latinoamerica/argentina/indec-difunde-de-cuanto-fue-la-inflacion-de-2024-en-argentina-que-pasara-con-el-tipo-de-cambio/</w:t>
      </w:r>
    </w:p>
    <w:p>
      <w:pPr>
        <w:spacing w:after="100"/>
      </w:pPr>
      <w:r>
        <w:t xml:space="preserve">11. https://www.infobae.com/economia/2026/02/17/el-desafio-de-milei-y-caputo-pasar-del-crecimiento-de-la-economia-en-2025-a-reactivarla-este-ano/</w:t>
      </w:r>
      <w:r>
        <w:rPr>
          <w:b/>
          <w:bCs/>
        </w:rPr>
        <w:t xml:space="preserve">11. </w:t>
      </w:r>
      <w:r>
        <w:rPr>
          <w:color w:val="0563C1"/>
          <w:u w:val="single"/>
        </w:rPr>
        <w:t xml:space="preserve">https://www.infobae.com/economia/2026/02/17/el-desafio-de-milei-y-caputo-pasar-del-crecimiento-de-la-economia-en-2025-a-reactivarla-este-ano/</w:t>
      </w:r>
    </w:p>
    <w:p>
      <w:pPr>
        <w:spacing w:after="100"/>
      </w:pPr>
      <w:r>
        <w:t xml:space="preserve">12. https://www.escenariomundial.com/2024/12/10/y-si-sale-bien-la-politica-economica-de-milei-en-este-2024/</w:t>
      </w:r>
      <w:r>
        <w:rPr>
          <w:b/>
          <w:bCs/>
        </w:rPr>
        <w:t xml:space="preserve">12. </w:t>
      </w:r>
      <w:r>
        <w:rPr>
          <w:color w:val="0563C1"/>
          <w:u w:val="single"/>
        </w:rPr>
        <w:t xml:space="preserve">https://www.escenariomundial.com/2024/12/10/y-si-sale-bien-la-politica-economica-de-milei-en-este-2024/</w:t>
      </w:r>
    </w:p>
    <w:p>
      <w:pPr>
        <w:spacing w:after="100"/>
      </w:pPr>
      <w:r>
        <w:t xml:space="preserve">13. https://elpais.com/argentina/2024-07-21/el-trilema-de-milei-bajar-la-inflacion-acumular-reservas-y-levantar-el-cepo-cambiario.html</w:t>
      </w:r>
      <w:r>
        <w:rPr>
          <w:b/>
          <w:bCs/>
        </w:rPr>
        <w:t xml:space="preserve">13. </w:t>
      </w:r>
      <w:r>
        <w:rPr>
          <w:color w:val="0563C1"/>
          <w:u w:val="single"/>
        </w:rPr>
        <w:t xml:space="preserve">https://elpais.com/argentina/2024-07-21/el-trilema-de-milei-bajar-la-inflacion-acumular-reservas-y-levantar-el-cepo-cambiario.html</w:t>
      </w:r>
    </w:p>
    <w:p>
      <w:pPr>
        <w:spacing w:after="100"/>
      </w:pPr>
      <w:r>
        <w:t xml:space="preserve">14. https://www.baenegocios.com/economia/Empieza-la-Fase-4-del-programa-economico-de-Milei-con-el-foco-en-reservas-y-desinflacion-20251230-0001.html</w:t>
      </w:r>
      <w:r>
        <w:rPr>
          <w:b/>
          <w:bCs/>
        </w:rPr>
        <w:t xml:space="preserve">14. </w:t>
      </w:r>
      <w:r>
        <w:rPr>
          <w:color w:val="0563C1"/>
          <w:u w:val="single"/>
        </w:rPr>
        <w:t xml:space="preserve">https://www.baenegocios.com/economia/Empieza-la-Fase-4-del-programa-economico-de-Milei-con-el-foco-en-reservas-y-desinflacion-20251230-0001.html</w:t>
      </w:r>
    </w:p>
    <w:p>
      <w:pPr>
        <w:spacing w:after="100"/>
      </w:pPr>
      <w:r>
        <w:t xml:space="preserve">15. https://radio.unr.edu.ar/2024/12/10/un-ano-de-javier-milei-en-el-gobierno-recesion-inflacion-y-el-costo-social-de-las-reformas-economicas/</w:t>
      </w:r>
      <w:r>
        <w:rPr>
          <w:b/>
          <w:bCs/>
        </w:rPr>
        <w:t xml:space="preserve">15. </w:t>
      </w:r>
      <w:r>
        <w:rPr>
          <w:color w:val="0563C1"/>
          <w:u w:val="single"/>
        </w:rPr>
        <w:t xml:space="preserve">https://radio.unr.edu.ar/2024/12/10/un-ano-de-javier-milei-en-el-gobierno-recesion-inflacion-y-el-costo-social-de-las-reformas-economicas/</w:t>
      </w:r>
    </w:p>
    <w:p>
      <w:pPr>
        <w:spacing w:after="100"/>
      </w:pPr>
      <w:r>
        <w:t xml:space="preserve">16. https://www.focus-economics.com/es/blog/comprendiendo-la-transformacion-de-la-economia-argentina-bajo-milei/</w:t>
      </w:r>
      <w:r>
        <w:rPr>
          <w:b/>
          <w:bCs/>
        </w:rPr>
        <w:t xml:space="preserve">16. </w:t>
      </w:r>
      <w:r>
        <w:rPr>
          <w:color w:val="0563C1"/>
          <w:u w:val="single"/>
        </w:rPr>
        <w:t xml:space="preserve">https://www.focus-economics.com/es/blog/comprendiendo-la-transformacion-de-la-economia-argentina-bajo-milei/</w:t>
      </w:r>
    </w:p>
    <w:p>
      <w:pPr>
        <w:spacing w:after="100"/>
      </w:pPr>
      <w:r>
        <w:t xml:space="preserve">17. https://www.mdzol.com/dinero/entusiasmo-y-alerta-las-reservas-que-proyectan-los-analistas-la-nueva-etapa-del-gobierno-javier-milei-n1388757</w:t>
      </w:r>
      <w:r>
        <w:rPr>
          <w:b/>
          <w:bCs/>
        </w:rPr>
        <w:t xml:space="preserve">17. </w:t>
      </w:r>
      <w:r>
        <w:rPr>
          <w:color w:val="0563C1"/>
          <w:u w:val="single"/>
        </w:rPr>
        <w:t xml:space="preserve">https://www.mdzol.com/dinero/entusiasmo-y-alerta-las-reservas-que-proyectan-los-analistas-la-nueva-etapa-del-gobierno-javier-milei-n1388757</w:t>
      </w:r>
    </w:p>
    <w:p>
      <w:pPr>
        <w:spacing w:after="100"/>
      </w:pPr>
      <w:r>
        <w:t xml:space="preserve">18. https://segundoenfoque.com/primer-ano-de-javier-milei-de-la-crisis-al-control-de-la-inflacion</w:t>
      </w:r>
      <w:r>
        <w:rPr>
          <w:b/>
          <w:bCs/>
        </w:rPr>
        <w:t xml:space="preserve">18. </w:t>
      </w:r>
      <w:r>
        <w:rPr>
          <w:color w:val="0563C1"/>
          <w:u w:val="single"/>
        </w:rPr>
        <w:t xml:space="preserve">https://segundoenfoque.com/primer-ano-de-javier-milei-de-la-crisis-al-control-de-la-inflacion</w:t>
      </w:r>
    </w:p>
    <w:p>
      <w:pPr>
        <w:spacing w:after="100"/>
      </w:pPr>
      <w:r>
        <w:t xml:space="preserve">19. https://www.iprofesional.com/elinversor/419875-argentina-2024-logros-gobierno-de-javier-milei-desafios-para-2025</w:t>
      </w:r>
      <w:r>
        <w:rPr>
          <w:b/>
          <w:bCs/>
        </w:rPr>
        <w:t xml:space="preserve">19. </w:t>
      </w:r>
      <w:r>
        <w:rPr>
          <w:color w:val="0563C1"/>
          <w:u w:val="single"/>
        </w:rPr>
        <w:t xml:space="preserve">https://www.iprofesional.com/elinversor/419875-argentina-2024-logros-gobierno-de-javier-milei-desafios-para-2025</w:t>
      </w:r>
    </w:p>
    <w:p>
      <w:pPr>
        <w:spacing w:after="100"/>
      </w:pPr>
      <w:r>
        <w:t xml:space="preserve">20. https://www.infobae.com/economia/2024/09/16/10-claves-para-entender-los-planes-de-milei-en-economia-y-politicas-publicas/</w:t>
      </w:r>
      <w:r>
        <w:rPr>
          <w:b/>
          <w:bCs/>
        </w:rPr>
        <w:t xml:space="preserve">20. </w:t>
      </w:r>
      <w:r>
        <w:rPr>
          <w:color w:val="0563C1"/>
          <w:u w:val="single"/>
        </w:rPr>
        <w:t xml:space="preserve">https://www.infobae.com/economia/2024/09/16/10-claves-para-entender-los-planes-de-milei-en-economia-y-politicas-publicas/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2026-02-18T13:53:07.960Z</dcterms:created>
  <dcterms:modified xsi:type="dcterms:W3CDTF">2026-02-18T13:53:07.960Z</dcterms:modified>
</cp:coreProperties>
</file>

<file path=docProps/custom.xml><?xml version="1.0" encoding="utf-8"?>
<Properties xmlns="http://schemas.openxmlformats.org/officeDocument/2006/custom-properties" xmlns:vt="http://schemas.openxmlformats.org/officeDocument/2006/docPropsVTypes"/>
</file>