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Informe de Análisis: Acuerdo de Asociación UE-MERCOSUR - Contexto Histórico, Estado Actual e Implicancias para Argentina</w:t>
      </w:r>
    </w:p>
    <w:p>
      <w:pPr>
        <w:pStyle w:val="Heading1"/>
        <w:spacing w:before="200" w:after="200"/>
      </w:pPr>
      <w:r>
        <w:t xml:space="preserve">Resumen Ejecutivo</w:t>
      </w:r>
    </w:p>
    <w:p>
      <w:pPr>
        <w:spacing w:after="120"/>
        <w:jc w:val="both"/>
      </w:pPr>
      <w:r>
        <w:t xml:space="preserve">Este informe examina el Acuerdo de Asociación entre la Unión Europea (UE) y el MERCOSUR, destacando su evolución desde las negociaciones iniciales en 1999 hasta los avances recientes en 2024-2026, con un enfoque especial en la posición argentina. Se analizan los componentes clave de cooperación interregional en comercio, inversión y desarrollo sostenible, evaluando riesgos y oportunidades para la economía argentina en un contexto de tensiones internas en MERCOSUR y presiones externas por estándares ambientales. Las proyecciones indican potenciales beneficios en exportaciones agroindustriales para Argentina, pero advierten desafíos regulatorios y políticos que podrían demorar su implementación plena.</w:t>
      </w:r>
    </w:p>
    <w:p>
      <w:pPr>
        <w:spacing w:before="400" w:after="400"/>
      </w:pPr>
    </w:p>
    <w:p>
      <w:pPr>
        <w:pStyle w:val="Heading2"/>
        <w:spacing w:before="240" w:after="120"/>
      </w:pPr>
      <w:r>
        <w:t xml:space="preserve">1. Antecedentes Históricos del Acuerdo UE-MERCOSUR</w:t>
      </w:r>
    </w:p>
    <w:p>
      <w:pPr>
        <w:spacing w:after="120"/>
        <w:jc w:val="both"/>
      </w:pPr>
      <w:r>
        <w:t xml:space="preserve">El </w:t>
      </w:r>
      <w:r>
        <w:rPr>
          <w:b/>
          <w:bCs/>
        </w:rPr>
        <w:t xml:space="preserve">Acuerdo de Asociación UE-MERCOSUR</w:t>
      </w:r>
      <w:r>
        <w:t xml:space="preserve"> representa el resultado de un proceso negociador prolongado, caracterizado por avances intermitentes y obstáculos recurrentes. Sus orígenes se remontan a la segunda mitad de la década de 1990, en el marco de una estrategia birregional orientada a fortalecer la integración comercial y política entre la </w:t>
      </w:r>
      <w:r>
        <w:rPr>
          <w:b/>
          <w:bCs/>
        </w:rPr>
        <w:t xml:space="preserve">Unión Europea (UE)</w:t>
      </w:r>
      <w:r>
        <w:t xml:space="preserve"> y el </w:t>
      </w:r>
      <w:r>
        <w:rPr>
          <w:b/>
          <w:bCs/>
        </w:rPr>
        <w:t xml:space="preserve">MERCOSUR</w:t>
      </w:r>
      <w:r>
        <w:t xml:space="preserve"> (Argentina, Brasil, Paraguay y Uruguay). Este antecedente histórico proporciona el contexto esencial para comprender su génesis como </w:t>
      </w:r>
      <w:r>
        <w:rPr>
          <w:b/>
          <w:bCs/>
        </w:rPr>
        <w:t xml:space="preserve">Acuerdo de Asociación Birregional</w:t>
      </w:r>
      <w:r>
        <w:t xml:space="preserve">, modalidad que combina pilares político, de cooperación y comercial.</w:t>
      </w:r>
    </w:p>
    <w:p>
      <w:pPr>
        <w:pStyle w:val="Heading3"/>
        <w:spacing w:before="240" w:after="120"/>
      </w:pPr>
      <w:r>
        <w:t xml:space="preserve">1.1 Orígenes y Formalización Inicial (1995-1999)</w:t>
      </w:r>
    </w:p>
    <w:p>
      <w:pPr>
        <w:spacing w:after="120"/>
        <w:jc w:val="both"/>
      </w:pPr>
      <w:r>
        <w:t xml:space="preserve">El diálogo oficial entre la UE y el MERCOSUR se formalizó en la </w:t>
      </w:r>
      <w:r>
        <w:rPr>
          <w:b/>
          <w:bCs/>
        </w:rPr>
        <w:t xml:space="preserve">Cumbre de Madrid de 1995</w:t>
      </w:r>
      <w:r>
        <w:t xml:space="preserve">, con la firma del </w:t>
      </w:r>
      <w:r>
        <w:rPr>
          <w:b/>
          <w:bCs/>
        </w:rPr>
        <w:t xml:space="preserve">Acuerdo Marco Interregional de Cooperación</w:t>
      </w:r>
      <w:r>
        <w:t xml:space="preserve">, vigente desde </w:t>
      </w:r>
      <w:r>
        <w:rPr>
          <w:b/>
          <w:bCs/>
        </w:rPr>
        <w:t xml:space="preserve">1999</w:t>
      </w:r>
      <w:r>
        <w:t xml:space="preserve">. Este instrumento, según el </w:t>
      </w:r>
      <w:r>
        <w:rPr>
          <w:b/>
          <w:bCs/>
        </w:rPr>
        <w:t xml:space="preserve">Instituto de Relaciones Internacionales (IRI)</w:t>
      </w:r>
      <w:r>
        <w:t xml:space="preserve">, estableció como objetivos el fortalecimiento de las relaciones existentes y la preparación de condiciones para una </w:t>
      </w:r>
      <w:r>
        <w:rPr>
          <w:b/>
          <w:bCs/>
        </w:rPr>
        <w:t xml:space="preserve">Asociación Interregional</w:t>
      </w:r>
      <w:r>
        <w:t xml:space="preserve"> (artículo 2.1). Previó la liberalización progresiva y recíproca del comercio, sentando las bases para negociaciones futuras.</w:t>
      </w:r>
    </w:p>
    <w:p>
      <w:pPr>
        <w:spacing w:after="120"/>
        <w:jc w:val="both"/>
      </w:pPr>
      <w:r>
        <w:t xml:space="preserve">En </w:t>
      </w:r>
      <w:r>
        <w:rPr>
          <w:b/>
          <w:bCs/>
        </w:rPr>
        <w:t xml:space="preserve">1999</w:t>
      </w:r>
      <w:r>
        <w:t xml:space="preserve">, bajo la modalidad de </w:t>
      </w:r>
      <w:r>
        <w:rPr>
          <w:b/>
          <w:bCs/>
        </w:rPr>
        <w:t xml:space="preserve">Acuerdo de Asociación Birregional</w:t>
      </w:r>
      <w:r>
        <w:t xml:space="preserve">, se lanzó el mandato negociador de la Comisión Europea. Este hito coincidió con el ingreso en vigor del Acuerdo Marco y marcó el inicio formal de las tratativas, impulsadas por el contexto de consolidación del MERCOSUR como bloque y la expansión de la UE. Argentina asumió un rol pionero en esta promoción inicial, alineando su política exterior con la integración regional.</w:t>
      </w:r>
    </w:p>
    <w:p>
      <w:pPr>
        <w:pStyle w:val="Heading3"/>
        <w:spacing w:before="240" w:after="120"/>
      </w:pPr>
      <w:r>
        <w:t xml:space="preserve">1.2 Rondas de Negociación Clave (2000-2018)</w:t>
      </w:r>
    </w:p>
    <w:p>
      <w:pPr>
        <w:spacing w:after="120"/>
        <w:jc w:val="both"/>
      </w:pPr>
      <w:r>
        <w:t xml:space="preserve">La </w:t>
      </w:r>
      <w:r>
        <w:rPr>
          <w:b/>
          <w:bCs/>
        </w:rPr>
        <w:t xml:space="preserve">primera ronda de negociaciones</w:t>
      </w:r>
      <w:r>
        <w:t xml:space="preserve"> se realizó en </w:t>
      </w:r>
      <w:r>
        <w:rPr>
          <w:b/>
          <w:bCs/>
        </w:rPr>
        <w:t xml:space="preserve">2000</w:t>
      </w:r>
      <w:r>
        <w:t xml:space="preserve">, tras el mandato de 1999. El proceso acumuló </w:t>
      </w:r>
      <w:r>
        <w:rPr>
          <w:b/>
          <w:bCs/>
        </w:rPr>
        <w:t xml:space="preserve">26 años</w:t>
      </w:r>
      <w:r>
        <w:t xml:space="preserve"> hasta su culminación reciente, con múltiples rondas marcadas por progresos y estancamientos, como detalla la nota técnica del </w:t>
      </w:r>
      <w:r>
        <w:rPr>
          <w:b/>
          <w:bCs/>
        </w:rPr>
        <w:t xml:space="preserve">INTAL (TN 841/2015)</w:t>
      </w:r>
      <w:r>
        <w:t xml:space="preserve">. Entre las reuniones destacadas figura la </w:t>
      </w:r>
      <w:r>
        <w:rPr>
          <w:b/>
          <w:bCs/>
        </w:rPr>
        <w:t xml:space="preserve">ronda de Río de Janeiro en 2004</w:t>
      </w:r>
      <w:r>
        <w:t xml:space="preserve">, que avanzó en temas comerciales pero enfrentó divergencias sobre agricultura y servicios.</w:t>
      </w:r>
    </w:p>
    <w:p>
      <w:pPr>
        <w:spacing w:after="120"/>
        <w:jc w:val="both"/>
      </w:pPr>
      <w:r>
        <w:t xml:space="preserve">Otras rondas significativas incluyeron las de </w:t>
      </w:r>
      <w:r>
        <w:rPr>
          <w:b/>
          <w:bCs/>
        </w:rPr>
        <w:t xml:space="preserve">Bruselas (2005)</w:t>
      </w:r>
      <w:r>
        <w:t xml:space="preserve"> y </w:t>
      </w:r>
      <w:r>
        <w:rPr>
          <w:b/>
          <w:bCs/>
        </w:rPr>
        <w:t xml:space="preserve">San Pablo (2010)</w:t>
      </w:r>
      <w:r>
        <w:t xml:space="preserve">, donde se definieron posiciones sobre </w:t>
      </w:r>
      <w:r>
        <w:rPr>
          <w:b/>
          <w:bCs/>
        </w:rPr>
        <w:t xml:space="preserve">normas de origen</w:t>
      </w:r>
      <w:r>
        <w:t xml:space="preserve"> y </w:t>
      </w:r>
      <w:r>
        <w:rPr>
          <w:b/>
          <w:bCs/>
        </w:rPr>
        <w:t xml:space="preserve">propiedad intelectual</w:t>
      </w:r>
      <w:r>
        <w:t xml:space="preserve">. De acuerdo con análisis del </w:t>
      </w:r>
      <w:r>
        <w:rPr>
          <w:b/>
          <w:bCs/>
        </w:rPr>
        <w:t xml:space="preserve">CDI del Ministerio de Economía argentino</w:t>
      </w:r>
      <w:r>
        <w:t xml:space="preserve">, las negociaciones registraron fracasos por desequilibrios en ofertas arancelarias y subsidios europeos. El período 2010-2018 vio interrupciones por crisis económicas en el MERCOSUR y cambios políticos en la 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Ronda Clave</w:t>
            </w:r>
          </w:p>
        </w:tc>
        <w:tc>
          <w:tcPr>
            <w:tcBorders>
              <w:top w:val="single" w:sz="1"/>
              <w:left w:val="single" w:sz="1"/>
              <w:bottom w:val="single" w:sz="1"/>
              <w:right w:val="single" w:sz="1"/>
            </w:tcBorders>
            <w:shd w:fill="E7E6E6"/>
          </w:tcPr>
          <w:p>
            <w:pPr>
              <w:jc w:val="center"/>
            </w:pPr>
            <w:r>
              <w:t xml:space="preserve">Fecha</w:t>
            </w:r>
          </w:p>
        </w:tc>
        <w:tc>
          <w:tcPr>
            <w:tcBorders>
              <w:top w:val="single" w:sz="1"/>
              <w:left w:val="single" w:sz="1"/>
              <w:bottom w:val="single" w:sz="1"/>
              <w:right w:val="single" w:sz="1"/>
            </w:tcBorders>
            <w:shd w:fill="E7E6E6"/>
          </w:tcPr>
          <w:p>
            <w:pPr>
              <w:jc w:val="center"/>
            </w:pPr>
            <w:r>
              <w:t xml:space="preserve">Lugar</w:t>
            </w:r>
          </w:p>
        </w:tc>
        <w:tc>
          <w:tcPr>
            <w:tcBorders>
              <w:top w:val="single" w:sz="1"/>
              <w:left w:val="single" w:sz="1"/>
              <w:bottom w:val="single" w:sz="1"/>
              <w:right w:val="single" w:sz="1"/>
            </w:tcBorders>
            <w:shd w:fill="E7E6E6"/>
          </w:tcPr>
          <w:p>
            <w:pPr>
              <w:jc w:val="center"/>
            </w:pPr>
            <w:r>
              <w:t xml:space="preserve">Avances Principales</w:t>
            </w:r>
          </w:p>
        </w:tc>
      </w:tr>
      <w:tr>
        <w:tc>
          <w:tcPr>
            <w:tcBorders>
              <w:top w:val="single" w:sz="1"/>
              <w:left w:val="single" w:sz="1"/>
              <w:bottom w:val="single" w:sz="1"/>
              <w:right w:val="single" w:sz="1"/>
            </w:tcBorders>
          </w:tcPr>
          <w:p>
            <w:pPr>
              <w:jc w:val="center"/>
            </w:pPr>
            <w:r>
              <w:t xml:space="preserve">Primera ronda</w:t>
            </w:r>
          </w:p>
        </w:tc>
        <w:tc>
          <w:tcPr>
            <w:tcBorders>
              <w:top w:val="single" w:sz="1"/>
              <w:left w:val="single" w:sz="1"/>
              <w:bottom w:val="single" w:sz="1"/>
              <w:right w:val="single" w:sz="1"/>
            </w:tcBorders>
          </w:tcPr>
          <w:p>
            <w:pPr>
              <w:jc w:val="center"/>
            </w:pPr>
            <w:r>
              <w:t xml:space="preserve">2000</w:t>
            </w:r>
          </w:p>
        </w:tc>
        <w:tc>
          <w:tcPr>
            <w:tcBorders>
              <w:top w:val="single" w:sz="1"/>
              <w:left w:val="single" w:sz="1"/>
              <w:bottom w:val="single" w:sz="1"/>
              <w:right w:val="single" w:sz="1"/>
            </w:tcBorders>
          </w:tcPr>
          <w:p>
            <w:pPr>
              <w:jc w:val="center"/>
            </w:pPr>
            <w:r>
              <w:t xml:space="preserve">Bruselas</w:t>
            </w:r>
          </w:p>
        </w:tc>
        <w:tc>
          <w:tcPr>
            <w:tcBorders>
              <w:top w:val="single" w:sz="1"/>
              <w:left w:val="single" w:sz="1"/>
              <w:bottom w:val="single" w:sz="1"/>
              <w:right w:val="single" w:sz="1"/>
            </w:tcBorders>
          </w:tcPr>
          <w:p>
            <w:pPr>
              <w:jc w:val="center"/>
            </w:pPr>
            <w:r>
              <w:t xml:space="preserve">Mandato inicial y agenda comercial</w:t>
            </w:r>
          </w:p>
        </w:tc>
      </w:tr>
      <w:tr>
        <w:tc>
          <w:tcPr>
            <w:tcBorders>
              <w:top w:val="single" w:sz="1"/>
              <w:left w:val="single" w:sz="1"/>
              <w:bottom w:val="single" w:sz="1"/>
              <w:right w:val="single" w:sz="1"/>
            </w:tcBorders>
          </w:tcPr>
          <w:p>
            <w:pPr>
              <w:jc w:val="center"/>
            </w:pPr>
            <w:r>
              <w:t xml:space="preserve">Río de Janeiro</w:t>
            </w:r>
          </w:p>
        </w:tc>
        <w:tc>
          <w:tcPr>
            <w:tcBorders>
              <w:top w:val="single" w:sz="1"/>
              <w:left w:val="single" w:sz="1"/>
              <w:bottom w:val="single" w:sz="1"/>
              <w:right w:val="single" w:sz="1"/>
            </w:tcBorders>
          </w:tcPr>
          <w:p>
            <w:pPr>
              <w:jc w:val="center"/>
            </w:pPr>
            <w:r>
              <w:t xml:space="preserve">2004</w:t>
            </w:r>
          </w:p>
        </w:tc>
        <w:tc>
          <w:tcPr>
            <w:tcBorders>
              <w:top w:val="single" w:sz="1"/>
              <w:left w:val="single" w:sz="1"/>
              <w:bottom w:val="single" w:sz="1"/>
              <w:right w:val="single" w:sz="1"/>
            </w:tcBorders>
          </w:tcPr>
          <w:p>
            <w:pPr>
              <w:jc w:val="center"/>
            </w:pPr>
            <w:r>
              <w:t xml:space="preserve">Río de Janeiro</w:t>
            </w:r>
          </w:p>
        </w:tc>
        <w:tc>
          <w:tcPr>
            <w:tcBorders>
              <w:top w:val="single" w:sz="1"/>
              <w:left w:val="single" w:sz="1"/>
              <w:bottom w:val="single" w:sz="1"/>
              <w:right w:val="single" w:sz="1"/>
            </w:tcBorders>
          </w:tcPr>
          <w:p>
            <w:pPr>
              <w:jc w:val="center"/>
            </w:pPr>
            <w:r>
              <w:t xml:space="preserve">Discusiones sobre agricultura</w:t>
            </w:r>
          </w:p>
        </w:tc>
      </w:tr>
      <w:tr>
        <w:tc>
          <w:tcPr>
            <w:tcBorders>
              <w:top w:val="single" w:sz="1"/>
              <w:left w:val="single" w:sz="1"/>
              <w:bottom w:val="single" w:sz="1"/>
              <w:right w:val="single" w:sz="1"/>
            </w:tcBorders>
          </w:tcPr>
          <w:p>
            <w:pPr>
              <w:jc w:val="center"/>
            </w:pPr>
            <w:r>
              <w:t xml:space="preserve">Montevideo</w:t>
            </w:r>
          </w:p>
        </w:tc>
        <w:tc>
          <w:tcPr>
            <w:tcBorders>
              <w:top w:val="single" w:sz="1"/>
              <w:left w:val="single" w:sz="1"/>
              <w:bottom w:val="single" w:sz="1"/>
              <w:right w:val="single" w:sz="1"/>
            </w:tcBorders>
          </w:tcPr>
          <w:p>
            <w:pPr>
              <w:jc w:val="center"/>
            </w:pPr>
            <w:r>
              <w:t xml:space="preserve">2019</w:t>
            </w:r>
          </w:p>
        </w:tc>
        <w:tc>
          <w:tcPr>
            <w:tcBorders>
              <w:top w:val="single" w:sz="1"/>
              <w:left w:val="single" w:sz="1"/>
              <w:bottom w:val="single" w:sz="1"/>
              <w:right w:val="single" w:sz="1"/>
            </w:tcBorders>
          </w:tcPr>
          <w:p>
            <w:pPr>
              <w:jc w:val="center"/>
            </w:pPr>
            <w:r>
              <w:t xml:space="preserve">Montevideo</w:t>
            </w:r>
          </w:p>
        </w:tc>
        <w:tc>
          <w:tcPr>
            <w:tcBorders>
              <w:top w:val="single" w:sz="1"/>
              <w:left w:val="single" w:sz="1"/>
              <w:bottom w:val="single" w:sz="1"/>
              <w:right w:val="single" w:sz="1"/>
            </w:tcBorders>
          </w:tcPr>
          <w:p>
            <w:pPr>
              <w:jc w:val="center"/>
            </w:pPr>
            <w:r>
              <w:t xml:space="preserve">Conclusión técnica parcial</w:t>
            </w:r>
          </w:p>
        </w:tc>
      </w:tr>
    </w:tbl>
    <w:p>
      <w:pPr>
        <w:pStyle w:val="Heading3"/>
        <w:spacing w:before="240" w:after="120"/>
      </w:pPr>
      <w:r>
        <w:t xml:space="preserve">1.3 Hito de 2019 y Obstáculos Inmediatos</w:t>
      </w:r>
    </w:p>
    <w:p>
      <w:pPr>
        <w:spacing w:after="120"/>
        <w:jc w:val="both"/>
      </w:pPr>
      <w:r>
        <w:t xml:space="preserve">En </w:t>
      </w:r>
      <w:r>
        <w:rPr>
          <w:b/>
          <w:bCs/>
        </w:rPr>
        <w:t xml:space="preserve">junio de 2019</w:t>
      </w:r>
      <w:r>
        <w:t xml:space="preserve">, se alcanzó la </w:t>
      </w:r>
      <w:r>
        <w:rPr>
          <w:b/>
          <w:bCs/>
        </w:rPr>
        <w:t xml:space="preserve">conclusión técnica</w:t>
      </w:r>
      <w:r>
        <w:t xml:space="preserve"> del acuerdo, anunciada tras la ronda de </w:t>
      </w:r>
      <w:r>
        <w:rPr>
          <w:b/>
          <w:bCs/>
        </w:rPr>
        <w:t xml:space="preserve">Montevideo</w:t>
      </w:r>
      <w:r>
        <w:t xml:space="preserve">. Este avance, durante el gobierno de Mauricio Macri en Argentina, previó la eliminación de aranceles en el </w:t>
      </w:r>
      <w:r>
        <w:rPr>
          <w:b/>
          <w:bCs/>
        </w:rPr>
        <w:t xml:space="preserve">91% de las exportaciones del MERCOSUR</w:t>
      </w:r>
      <w:r>
        <w:t xml:space="preserve"> hacia la UE. Sin embargo, el </w:t>
      </w:r>
      <w:r>
        <w:rPr>
          <w:b/>
          <w:bCs/>
        </w:rPr>
        <w:t xml:space="preserve">veto francés inicial</w:t>
      </w:r>
      <w:r>
        <w:t xml:space="preserve">, liderado por Emmanuel Macron, bloqueó la firma por preocupaciones ambientales y proteccionismo agrícola.</w:t>
      </w:r>
    </w:p>
    <w:p>
      <w:pPr>
        <w:spacing w:after="120"/>
        <w:jc w:val="both"/>
      </w:pPr>
      <w:r>
        <w:t xml:space="preserve">La </w:t>
      </w:r>
      <w:r>
        <w:rPr>
          <w:b/>
          <w:bCs/>
        </w:rPr>
        <w:t xml:space="preserve">ronda de Montevideo (2019)</w:t>
      </w:r>
      <w:r>
        <w:t xml:space="preserve"> consolidó textos sobre </w:t>
      </w:r>
      <w:r>
        <w:rPr>
          <w:b/>
          <w:bCs/>
        </w:rPr>
        <w:t xml:space="preserve">desarrollo sostenible</w:t>
      </w:r>
      <w:r>
        <w:t xml:space="preserve">, incorporando el </w:t>
      </w:r>
      <w:r>
        <w:rPr>
          <w:b/>
          <w:bCs/>
        </w:rPr>
        <w:t xml:space="preserve">Acuerdo de París</w:t>
      </w:r>
      <w:r>
        <w:t xml:space="preserve">. No obstante, protestas en Europa por deforestación en el Amazonas y estándares sanitarios frenaron el proceso. Fuentes como </w:t>
      </w:r>
      <w:r>
        <w:rPr>
          <w:b/>
          <w:bCs/>
        </w:rPr>
        <w:t xml:space="preserve">Infobae</w:t>
      </w:r>
      <w:r>
        <w:t xml:space="preserve"> destacan que este estancamiento se prolongó hasta 2023.</w:t>
      </w:r>
    </w:p>
    <w:p>
      <w:pPr>
        <w:pStyle w:val="Heading3"/>
        <w:spacing w:before="240" w:after="120"/>
      </w:pPr>
      <w:r>
        <w:t xml:space="preserve">1.4 Rol de Argentina y Bloqueos Temporales (2003-2015)</w:t>
      </w:r>
    </w:p>
    <w:p>
      <w:pPr>
        <w:spacing w:after="120"/>
        <w:jc w:val="both"/>
      </w:pPr>
      <w:r>
        <w:t xml:space="preserve">Argentina desempeñó un </w:t>
      </w:r>
      <w:r>
        <w:rPr>
          <w:b/>
          <w:bCs/>
        </w:rPr>
        <w:t xml:space="preserve">rol pionero</w:t>
      </w:r>
      <w:r>
        <w:t xml:space="preserve"> en la promoción inicial del acuerdo, participando activamente desde 1995. Bajo los gobiernos de </w:t>
      </w:r>
      <w:r>
        <w:rPr>
          <w:b/>
          <w:bCs/>
        </w:rPr>
        <w:t xml:space="preserve">Néstor Kirchner (2003-2007)</w:t>
      </w:r>
      <w:r>
        <w:t xml:space="preserve"> y </w:t>
      </w:r>
      <w:r>
        <w:rPr>
          <w:b/>
          <w:bCs/>
        </w:rPr>
        <w:t xml:space="preserve">Cristina Fernández de Kirchner (2007-2015)</w:t>
      </w:r>
      <w:r>
        <w:t xml:space="preserve">, el país impulsó un </w:t>
      </w:r>
      <w:r>
        <w:rPr>
          <w:b/>
          <w:bCs/>
        </w:rPr>
        <w:t xml:space="preserve">bloqueo temporal</w:t>
      </w:r>
      <w:r>
        <w:t xml:space="preserve"> de las negociaciones. Esta posición se fundamentó en preocupaciones por </w:t>
      </w:r>
      <w:r>
        <w:rPr>
          <w:b/>
          <w:bCs/>
        </w:rPr>
        <w:t xml:space="preserve">soberanía alimentaria</w:t>
      </w:r>
      <w:r>
        <w:t xml:space="preserve">, impacto en la industria nacional y exigencias ambientales a la UE.</w:t>
      </w:r>
    </w:p>
    <w:p>
      <w:pPr>
        <w:spacing w:after="120"/>
        <w:jc w:val="both"/>
      </w:pPr>
      <w:r>
        <w:t xml:space="preserve">Durante este período, Argentina priorizó la integración sudamericana y cuestionó las asimetrías comerciales. De acuerdo con el análisis de </w:t>
      </w:r>
      <w:r>
        <w:rPr>
          <w:b/>
          <w:bCs/>
        </w:rPr>
        <w:t xml:space="preserve">Voces en el Fénix (UBA)</w:t>
      </w:r>
      <w:r>
        <w:t xml:space="preserve">, el bloqueo kirchnerista reflejó una visión proteccionista, contrastando con el impulso previo. Esta etapa generó tensiones intra-MERCOSUR, con Brasil y Paraguay favoreciendo avances.</w:t>
      </w:r>
    </w:p>
    <w:p>
      <w:pPr>
        <w:pStyle w:val="Heading3"/>
        <w:spacing w:before="240" w:after="120"/>
      </w:pPr>
      <w:r>
        <w:t xml:space="preserve">1.5 Reanudación y Culminación (2023-2026)</w:t>
      </w:r>
    </w:p>
    <w:p>
      <w:pPr>
        <w:spacing w:after="120"/>
        <w:jc w:val="both"/>
      </w:pPr>
      <w:r>
        <w:t xml:space="preserve">Las negociaciones se reanudaron en </w:t>
      </w:r>
      <w:r>
        <w:rPr>
          <w:b/>
          <w:bCs/>
        </w:rPr>
        <w:t xml:space="preserve">marzo de 2023</w:t>
      </w:r>
      <w:r>
        <w:t xml:space="preserve">, incorporando </w:t>
      </w:r>
      <w:r>
        <w:rPr>
          <w:b/>
          <w:bCs/>
        </w:rPr>
        <w:t xml:space="preserve">elementos mejorados</w:t>
      </w:r>
      <w:r>
        <w:t xml:space="preserve"> sobre sostenibilidad y deforestación, como detalla el </w:t>
      </w:r>
      <w:r>
        <w:rPr>
          <w:b/>
          <w:bCs/>
        </w:rPr>
        <w:t xml:space="preserve">texto del acuerdo UE-MERCOSUR</w:t>
      </w:r>
      <w:r>
        <w:t xml:space="preserve">. El </w:t>
      </w:r>
      <w:r>
        <w:rPr>
          <w:b/>
          <w:bCs/>
        </w:rPr>
        <w:t xml:space="preserve">6 de diciembre de 2024</w:t>
      </w:r>
      <w:r>
        <w:t xml:space="preserve">, en </w:t>
      </w:r>
      <w:r>
        <w:rPr>
          <w:b/>
          <w:bCs/>
        </w:rPr>
        <w:t xml:space="preserve">Montevideo</w:t>
      </w:r>
      <w:r>
        <w:t xml:space="preserve">, se alcanzó un </w:t>
      </w:r>
      <w:r>
        <w:rPr>
          <w:b/>
          <w:bCs/>
        </w:rPr>
        <w:t xml:space="preserve">acuerdo político</w:t>
      </w:r>
      <w:r>
        <w:t xml:space="preserve"> con la presencia de líderes del MERCOSUR y Ursula von der Leyen, culminando </w:t>
      </w:r>
      <w:r>
        <w:rPr>
          <w:b/>
          <w:bCs/>
        </w:rPr>
        <w:t xml:space="preserve">25 años</w:t>
      </w:r>
      <w:r>
        <w:t xml:space="preserve"> de tratativas.</w:t>
      </w:r>
    </w:p>
    <w:p>
      <w:pPr>
        <w:spacing w:after="120"/>
        <w:jc w:val="both"/>
      </w:pPr>
      <w:r>
        <w:t xml:space="preserve">La </w:t>
      </w:r>
      <w:r>
        <w:rPr>
          <w:b/>
          <w:bCs/>
        </w:rPr>
        <w:t xml:space="preserve">firma</w:t>
      </w:r>
      <w:r>
        <w:t xml:space="preserve"> ocurrió en </w:t>
      </w:r>
      <w:r>
        <w:rPr>
          <w:b/>
          <w:bCs/>
        </w:rPr>
        <w:t xml:space="preserve">Asunción</w:t>
      </w:r>
      <w:r>
        <w:t xml:space="preserve"> (enero 2026, según algunas fuentes), o alternativamente en Montevideo, autorizada por el Consejo de la UE. Francia levantó su veto parcial tras concesiones, con apoyo de Italia (Giorgia Meloni). El </w:t>
      </w:r>
      <w:r>
        <w:rPr>
          <w:b/>
          <w:bCs/>
        </w:rPr>
        <w:t xml:space="preserve">Acuerdo Interino de Comercio</w:t>
      </w:r>
      <w:r>
        <w:t xml:space="preserve"> facilita implementación provisional.</w:t>
      </w:r>
    </w:p>
    <w:p>
      <w:pPr>
        <w:spacing w:after="120"/>
        <w:jc w:val="both"/>
      </w:pPr>
      <w:r>
        <w:t xml:space="preserve">En Argentina, bajo Javier Milei, el </w:t>
      </w:r>
      <w:r>
        <w:rPr>
          <w:b/>
          <w:bCs/>
        </w:rPr>
        <w:t xml:space="preserve">Congreso</w:t>
      </w:r>
      <w:r>
        <w:t xml:space="preserve"> avanzó en la ratificación: la </w:t>
      </w:r>
      <w:r>
        <w:rPr>
          <w:b/>
          <w:bCs/>
        </w:rPr>
        <w:t xml:space="preserve">Cámara de Diputados</w:t>
      </w:r>
      <w:r>
        <w:t xml:space="preserve"> aprobó el proyecto el </w:t>
      </w:r>
      <w:r>
        <w:rPr>
          <w:b/>
          <w:bCs/>
        </w:rPr>
        <w:t xml:space="preserve">12 de febrero de 2026</w:t>
      </w:r>
      <w:r>
        <w:t xml:space="preserve"> con </w:t>
      </w:r>
      <w:r>
        <w:rPr>
          <w:b/>
          <w:bCs/>
        </w:rPr>
        <w:t xml:space="preserve">203 votos a favor, 42 en contra y 4 abstenciones</w:t>
      </w:r>
      <w:r>
        <w:t xml:space="preserve">, posicionando al país como primero en ratificar. El </w:t>
      </w:r>
      <w:r>
        <w:rPr>
          <w:b/>
          <w:bCs/>
        </w:rPr>
        <w:t xml:space="preserve">Senado</w:t>
      </w:r>
      <w:r>
        <w:t xml:space="preserve"> dictaminó favorablemente, con debate previsto para fines de febrero 2026.</w:t>
      </w:r>
    </w:p>
    <w:p>
      <w:pPr>
        <w:spacing w:after="120"/>
        <w:jc w:val="both"/>
      </w:pPr>
      <w:r>
        <w:t xml:space="preserve">Este proceso histórico refleja la resiliencia de las negociaciones birregionales. Según proyecciones de la </w:t>
      </w:r>
      <w:r>
        <w:rPr>
          <w:b/>
          <w:bCs/>
        </w:rPr>
        <w:t xml:space="preserve">CEPAL (Boletín de Comercio Exterior MERCOSUR Nº 7)</w:t>
      </w:r>
      <w:r>
        <w:t xml:space="preserve">, el acuerdo podría incrementar el comercio del MERCOSUR en un </w:t>
      </w:r>
      <w:r>
        <w:rPr>
          <w:b/>
          <w:bCs/>
        </w:rPr>
        <w:t xml:space="preserve">5% a 13%</w:t>
      </w:r>
      <w:r>
        <w:t xml:space="preserve">. El contexto geopolítico, incluyendo tensiones con China y EE.UU., aceleró su cierre.</w:t>
      </w:r>
    </w:p>
    <w:p>
      <w:pPr>
        <w:spacing w:after="120"/>
        <w:jc w:val="both"/>
      </w:pPr>
      <w:r>
        <w:t xml:space="preserve">La génesis del acuerdo ilustra la evolución desde un marco cooperativo en 1995 hacia un tratado comprehensivo en 2024-2026, con Argentina transitando de promotora a reticente y nuevamente impulsora.</w:t>
      </w:r>
    </w:p>
    <w:p>
      <w:pPr>
        <w:pStyle w:val="Heading2"/>
        <w:spacing w:before="240" w:after="120"/>
      </w:pPr>
      <w:r>
        <w:t xml:space="preserve">2.2. Marco Normativo y Estado Actual de las Negociaciones (2024-2026)</w:t>
      </w:r>
    </w:p>
    <w:p>
      <w:pPr>
        <w:spacing w:after="120"/>
        <w:jc w:val="both"/>
      </w:pPr>
      <w:r>
        <w:t xml:space="preserve">El </w:t>
      </w:r>
      <w:r>
        <w:rPr>
          <w:b/>
          <w:bCs/>
        </w:rPr>
        <w:t xml:space="preserve">Acuerdo de Asociación UE-MERCOSUR</w:t>
      </w:r>
      <w:r>
        <w:t xml:space="preserve">, concluido políticamente el </w:t>
      </w:r>
      <w:r>
        <w:rPr>
          <w:b/>
          <w:bCs/>
        </w:rPr>
        <w:t xml:space="preserve">6 de diciembre de 2024</w:t>
      </w:r>
      <w:r>
        <w:t xml:space="preserve">, establece un marco normativo integral que abarca pilares comerciales, políticos y de cooperación. Este instrumento, negociado durante más de 25 años desde el </w:t>
      </w:r>
      <w:r>
        <w:rPr>
          <w:b/>
          <w:bCs/>
        </w:rPr>
        <w:t xml:space="preserve">Acuerdo Marco Interregional de Cooperación de 1995</w:t>
      </w:r>
      <w:r>
        <w:t xml:space="preserve">, prevé la liberalización arancelaria del </w:t>
      </w:r>
      <w:r>
        <w:rPr>
          <w:b/>
          <w:bCs/>
        </w:rPr>
        <w:t xml:space="preserve">91% de las líneas arancelarias</w:t>
      </w:r>
      <w:r>
        <w:t xml:space="preserve"> entre ambas regiones, con salvaguardias específicas para sectores sensibles como la agricultura. Según la Comisión Europea, el pacto incluye compromisos reforzados en </w:t>
      </w:r>
      <w:r>
        <w:rPr>
          <w:b/>
          <w:bCs/>
        </w:rPr>
        <w:t xml:space="preserve">sostenibilidad ambiental y desarrollo sostenible</w:t>
      </w:r>
      <w:r>
        <w:t xml:space="preserve">, incorporados tras reaperturas de capítulos en respuesta a la legislación europea como el </w:t>
      </w:r>
      <w:r>
        <w:rPr>
          <w:b/>
          <w:bCs/>
        </w:rPr>
        <w:t xml:space="preserve">Reglamento sobre Deforestación (EUDR)</w:t>
      </w:r>
      <w:r>
        <w:t xml:space="preserve">.</w:t>
      </w:r>
    </w:p>
    <w:p>
      <w:pPr>
        <w:spacing w:after="120"/>
        <w:jc w:val="both"/>
      </w:pPr>
      <w:r>
        <w:t xml:space="preserve">La estructura jurídica del acuerdo se divide en un </w:t>
      </w:r>
      <w:r>
        <w:rPr>
          <w:b/>
          <w:bCs/>
        </w:rPr>
        <w:t xml:space="preserve">Acuerdo de Asociación principal</w:t>
      </w:r>
      <w:r>
        <w:t xml:space="preserve"> (ámbito político y cooperación, sujeto a ratificación mixta UE-Estados miembros) y un </w:t>
      </w:r>
      <w:r>
        <w:rPr>
          <w:b/>
          <w:bCs/>
        </w:rPr>
        <w:t xml:space="preserve">Acuerdo Interino de Comercio</w:t>
      </w:r>
      <w:r>
        <w:t xml:space="preserve"> (competencia exclusiva de la UE, aplicable provisionalmente). De acuerdo con las normas de la UE, la vigencia provisional del componente comercial requiere la ratificación por al menos un Estado parte del MERCOSUR fundador (Argentina, Brasil, Paraguay o Uruguay). Esta disposición, prevista en el </w:t>
      </w:r>
      <w:r>
        <w:rPr>
          <w:b/>
          <w:bCs/>
        </w:rPr>
        <w:t xml:space="preserve">artículo 218 del Tratado de Funcionamiento de la UE (TFUE)</w:t>
      </w:r>
      <w:r>
        <w:t xml:space="preserve">, acelera los efectos económicos mientras avanza la ratificación plena.</w:t>
      </w:r>
    </w:p>
    <w:p>
      <w:pPr>
        <w:pStyle w:val="Heading3"/>
        <w:spacing w:before="240" w:after="120"/>
      </w:pPr>
      <w:r>
        <w:t xml:space="preserve">Cronología clave de avances (2024-2026)</w:t>
      </w:r>
    </w:p>
    <w:p>
      <w:pPr>
        <w:spacing w:after="120"/>
        <w:jc w:val="both"/>
      </w:pPr>
      <w:r>
        <w:t xml:space="preserve">• </w:t>
      </w:r>
      <w:r>
        <w:rPr>
          <w:b/>
          <w:bCs/>
        </w:rPr>
        <w:t xml:space="preserve">6 de diciembre de 2024</w:t>
      </w:r>
      <w:r>
        <w:t xml:space="preserve">: Declaración conjunta UE-MERCOSUR anuncia conclusión de negociaciones con texto mejorado, incluyendo capítulos sobre comercio y desarrollo sostenible. La firma política ocurre en Montevideo, ante líderes de Argentina, Brasil, Paraguay y Uruguay, y la presidenta de la Comisión Europea, Ursula von der Leyen.</w:t>
      </w:r>
    </w:p>
    <w:p>
      <w:pPr>
        <w:spacing w:after="120"/>
        <w:jc w:val="both"/>
      </w:pPr>
      <w:r>
        <w:t xml:space="preserve">• </w:t>
      </w:r>
      <w:r>
        <w:rPr>
          <w:b/>
          <w:bCs/>
        </w:rPr>
        <w:t xml:space="preserve">17 de enero de 2026</w:t>
      </w:r>
      <w:r>
        <w:t xml:space="preserve">: Firma oficial del Acuerdo de Asociación y Acuerdo Interino en Asunción, Paraguay, marcando el hito formal tras revisión legal y traducción.</w:t>
      </w:r>
    </w:p>
    <w:p>
      <w:pPr>
        <w:spacing w:after="120"/>
        <w:jc w:val="both"/>
      </w:pPr>
      <w:r>
        <w:t xml:space="preserve">• </w:t>
      </w:r>
      <w:r>
        <w:rPr>
          <w:b/>
          <w:bCs/>
        </w:rPr>
        <w:t xml:space="preserve">3 de septiembre de 2025</w:t>
      </w:r>
      <w:r>
        <w:t xml:space="preserve">: Comisión Europea inicia proceso de ratificación, transmitiendo el acuerdo al Consejo de la UE y Parlamento Europeo.</w:t>
      </w:r>
    </w:p>
    <w:p>
      <w:pPr>
        <w:spacing w:after="120"/>
        <w:jc w:val="both"/>
      </w:pPr>
      <w:r>
        <w:t xml:space="preserve">• </w:t>
      </w:r>
      <w:r>
        <w:rPr>
          <w:b/>
          <w:bCs/>
        </w:rPr>
        <w:t xml:space="preserve">17 de diciembre de 2025</w:t>
      </w:r>
      <w:r>
        <w:t xml:space="preserve">: Consejo de la UE y Parlamento Europeo acuerdan provisionalmente el </w:t>
      </w:r>
      <w:r>
        <w:rPr>
          <w:b/>
          <w:bCs/>
        </w:rPr>
        <w:t xml:space="preserve">Reglamento sobre Salvaguardias Bilaterales UE-MERCOSUR</w:t>
      </w:r>
      <w:r>
        <w:t xml:space="preserve">, pendiente de refrendo.</w:t>
      </w:r>
    </w:p>
    <w:p>
      <w:pPr>
        <w:spacing w:after="120"/>
        <w:jc w:val="both"/>
      </w:pPr>
      <w:r>
        <w:t xml:space="preserve">• </w:t>
      </w:r>
      <w:r>
        <w:rPr>
          <w:b/>
          <w:bCs/>
        </w:rPr>
        <w:t xml:space="preserve">Febrero 2026</w:t>
      </w:r>
      <w:r>
        <w:t xml:space="preserve">: En Argentina, la Cámara de Diputados aprueba el acuerdo con </w:t>
      </w:r>
      <w:r>
        <w:rPr>
          <w:b/>
          <w:bCs/>
        </w:rPr>
        <w:t xml:space="preserve">203 votos a favor, 42 en contra y 4 abstenciones</w:t>
      </w:r>
      <w:r>
        <w:t xml:space="preserve">, girándolo al Senado, que dicta dictamen positivo el </w:t>
      </w:r>
      <w:r>
        <w:rPr>
          <w:b/>
          <w:bCs/>
        </w:rPr>
        <w:t xml:space="preserve">18 de febrero de 2026</w:t>
      </w:r>
      <w:r>
        <w:t xml:space="preserve">, posicionando al país como líder en ratificación MERCOSUR.</w:t>
      </w:r>
    </w:p>
    <w:p>
      <w:pPr>
        <w:spacing w:after="120"/>
        <w:jc w:val="both"/>
      </w:pPr>
      <w:r>
        <w:t xml:space="preserve">Esta secuencia refleja la determinación de avanzar pese a obstáculos, con proyecciones de entrada en vigor comercial provisional en </w:t>
      </w:r>
      <w:r>
        <w:rPr>
          <w:b/>
          <w:bCs/>
        </w:rPr>
        <w:t xml:space="preserve">diciembre de 2025</w:t>
      </w:r>
      <w:r>
        <w:t xml:space="preserve"> si Argentina completa su proceso.</w:t>
      </w:r>
    </w:p>
    <w:p>
      <w:pPr>
        <w:pStyle w:val="Heading3"/>
        <w:spacing w:before="240" w:after="120"/>
      </w:pPr>
      <w:r>
        <w:t xml:space="preserve">Estado de ratificación en la Unión Europea</w:t>
      </w:r>
    </w:p>
    <w:p>
      <w:pPr>
        <w:spacing w:after="120"/>
        <w:jc w:val="both"/>
      </w:pPr>
      <w:r>
        <w:t xml:space="preserve">Al </w:t>
      </w:r>
      <w:r>
        <w:rPr>
          <w:b/>
          <w:bCs/>
        </w:rPr>
        <w:t xml:space="preserve">19 de febrero de 2026</w:t>
      </w:r>
      <w:r>
        <w:t xml:space="preserve">, el proceso en la UE avanza con reticencias de Estados miembros como </w:t>
      </w:r>
      <w:r>
        <w:rPr>
          <w:b/>
          <w:bCs/>
        </w:rPr>
        <w:t xml:space="preserve">Francia</w:t>
      </w:r>
      <w:r>
        <w:t xml:space="preserve"> y </w:t>
      </w:r>
      <w:r>
        <w:rPr>
          <w:b/>
          <w:bCs/>
        </w:rPr>
        <w:t xml:space="preserve">Polonia</w:t>
      </w:r>
      <w:r>
        <w:t xml:space="preserve">, preocupados por impactos en su sector agroalimentario. El </w:t>
      </w:r>
      <w:r>
        <w:rPr>
          <w:b/>
          <w:bCs/>
        </w:rPr>
        <w:t xml:space="preserve">Parlamento Europeo</w:t>
      </w:r>
      <w:r>
        <w:t xml:space="preserve"> otorgó aprobación provisional en diciembre 2024, pero la ratificación mixta requiere aprobación por el Consejo (calificada) y parlamentos nacionales. La Comisión Europea impulsó la </w:t>
      </w:r>
      <w:r>
        <w:rPr>
          <w:b/>
          <w:bCs/>
        </w:rPr>
        <w:t xml:space="preserve">aplicación provisional del Acuerdo Interino</w:t>
      </w:r>
      <w:r>
        <w:t xml:space="preserve">, habilitada tras ratificación por un país MERCOSUR, según normas del </w:t>
      </w:r>
      <w:r>
        <w:rPr>
          <w:b/>
          <w:bCs/>
        </w:rPr>
        <w:t xml:space="preserve">TFUE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Etapa</w:t>
            </w:r>
          </w:p>
        </w:tc>
        <w:tc>
          <w:tcPr>
            <w:tcBorders>
              <w:top w:val="single" w:sz="1"/>
              <w:left w:val="single" w:sz="1"/>
              <w:bottom w:val="single" w:sz="1"/>
              <w:right w:val="single" w:sz="1"/>
            </w:tcBorders>
            <w:shd w:fill="E7E6E6"/>
          </w:tcPr>
          <w:p>
            <w:pPr>
              <w:jc w:val="center"/>
            </w:pPr>
            <w:r>
              <w:t xml:space="preserve">Institución UE</w:t>
            </w:r>
          </w:p>
        </w:tc>
        <w:tc>
          <w:tcPr>
            <w:tcBorders>
              <w:top w:val="single" w:sz="1"/>
              <w:left w:val="single" w:sz="1"/>
              <w:bottom w:val="single" w:sz="1"/>
              <w:right w:val="single" w:sz="1"/>
            </w:tcBorders>
            <w:shd w:fill="E7E6E6"/>
          </w:tcPr>
          <w:p>
            <w:pPr>
              <w:jc w:val="center"/>
            </w:pPr>
            <w:r>
              <w:t xml:space="preserve">Estado (19/02/2026)</w:t>
            </w:r>
          </w:p>
        </w:tc>
      </w:tr>
      <w:tr>
        <w:tc>
          <w:tcPr>
            <w:tcBorders>
              <w:top w:val="single" w:sz="1"/>
              <w:left w:val="single" w:sz="1"/>
              <w:bottom w:val="single" w:sz="1"/>
              <w:right w:val="single" w:sz="1"/>
            </w:tcBorders>
          </w:tcPr>
          <w:p>
            <w:pPr>
              <w:jc w:val="center"/>
            </w:pPr>
            <w:r>
              <w:t xml:space="preserve">Aprobación política</w:t>
            </w:r>
          </w:p>
        </w:tc>
        <w:tc>
          <w:tcPr>
            <w:tcBorders>
              <w:top w:val="single" w:sz="1"/>
              <w:left w:val="single" w:sz="1"/>
              <w:bottom w:val="single" w:sz="1"/>
              <w:right w:val="single" w:sz="1"/>
            </w:tcBorders>
          </w:tcPr>
          <w:p>
            <w:pPr>
              <w:jc w:val="center"/>
            </w:pPr>
            <w:r>
              <w:t xml:space="preserve">Comisión Europea</w:t>
            </w:r>
          </w:p>
        </w:tc>
        <w:tc>
          <w:tcPr>
            <w:tcBorders>
              <w:top w:val="single" w:sz="1"/>
              <w:left w:val="single" w:sz="1"/>
              <w:bottom w:val="single" w:sz="1"/>
              <w:right w:val="single" w:sz="1"/>
            </w:tcBorders>
          </w:tcPr>
          <w:p>
            <w:pPr>
              <w:jc w:val="center"/>
            </w:pPr>
            <w:r>
              <w:t xml:space="preserve">Concluida (12/2024)</w:t>
            </w:r>
          </w:p>
        </w:tc>
      </w:tr>
      <w:tr>
        <w:tc>
          <w:tcPr>
            <w:tcBorders>
              <w:top w:val="single" w:sz="1"/>
              <w:left w:val="single" w:sz="1"/>
              <w:bottom w:val="single" w:sz="1"/>
              <w:right w:val="single" w:sz="1"/>
            </w:tcBorders>
          </w:tcPr>
          <w:p>
            <w:pPr>
              <w:jc w:val="center"/>
            </w:pPr>
            <w:r>
              <w:t xml:space="preserve">Revisión legal</w:t>
            </w:r>
          </w:p>
        </w:tc>
        <w:tc>
          <w:tcPr>
            <w:tcBorders>
              <w:top w:val="single" w:sz="1"/>
              <w:left w:val="single" w:sz="1"/>
              <w:bottom w:val="single" w:sz="1"/>
              <w:right w:val="single" w:sz="1"/>
            </w:tcBorders>
          </w:tcPr>
          <w:p>
            <w:pPr>
              <w:jc w:val="center"/>
            </w:pPr>
            <w:r>
              <w:t xml:space="preserve">Servicios jurídicos</w:t>
            </w:r>
          </w:p>
        </w:tc>
        <w:tc>
          <w:tcPr>
            <w:tcBorders>
              <w:top w:val="single" w:sz="1"/>
              <w:left w:val="single" w:sz="1"/>
              <w:bottom w:val="single" w:sz="1"/>
              <w:right w:val="single" w:sz="1"/>
            </w:tcBorders>
          </w:tcPr>
          <w:p>
            <w:pPr>
              <w:jc w:val="center"/>
            </w:pPr>
            <w:r>
              <w:t xml:space="preserve">Finalizada (01/2026)</w:t>
            </w:r>
          </w:p>
        </w:tc>
      </w:tr>
      <w:tr>
        <w:tc>
          <w:tcPr>
            <w:tcBorders>
              <w:top w:val="single" w:sz="1"/>
              <w:left w:val="single" w:sz="1"/>
              <w:bottom w:val="single" w:sz="1"/>
              <w:right w:val="single" w:sz="1"/>
            </w:tcBorders>
          </w:tcPr>
          <w:p>
            <w:pPr>
              <w:jc w:val="center"/>
            </w:pPr>
            <w:r>
              <w:t xml:space="preserve">Ratificación comercial</w:t>
            </w:r>
          </w:p>
        </w:tc>
        <w:tc>
          <w:tcPr>
            <w:tcBorders>
              <w:top w:val="single" w:sz="1"/>
              <w:left w:val="single" w:sz="1"/>
              <w:bottom w:val="single" w:sz="1"/>
              <w:right w:val="single" w:sz="1"/>
            </w:tcBorders>
          </w:tcPr>
          <w:p>
            <w:pPr>
              <w:jc w:val="center"/>
            </w:pPr>
            <w:r>
              <w:t xml:space="preserve">Parlamento Europeo / Consejo</w:t>
            </w:r>
          </w:p>
        </w:tc>
        <w:tc>
          <w:tcPr>
            <w:tcBorders>
              <w:top w:val="single" w:sz="1"/>
              <w:left w:val="single" w:sz="1"/>
              <w:bottom w:val="single" w:sz="1"/>
              <w:right w:val="single" w:sz="1"/>
            </w:tcBorders>
          </w:tcPr>
          <w:p>
            <w:pPr>
              <w:jc w:val="center"/>
            </w:pPr>
            <w:r>
              <w:t xml:space="preserve">En proceso; salvaguardias acordadas (12/2025)</w:t>
            </w:r>
          </w:p>
        </w:tc>
      </w:tr>
      <w:tr>
        <w:tc>
          <w:tcPr>
            <w:tcBorders>
              <w:top w:val="single" w:sz="1"/>
              <w:left w:val="single" w:sz="1"/>
              <w:bottom w:val="single" w:sz="1"/>
              <w:right w:val="single" w:sz="1"/>
            </w:tcBorders>
          </w:tcPr>
          <w:p>
            <w:pPr>
              <w:jc w:val="center"/>
            </w:pPr>
            <w:r>
              <w:t xml:space="preserve">Ratificación mixta</w:t>
            </w:r>
          </w:p>
        </w:tc>
        <w:tc>
          <w:tcPr>
            <w:tcBorders>
              <w:top w:val="single" w:sz="1"/>
              <w:left w:val="single" w:sz="1"/>
              <w:bottom w:val="single" w:sz="1"/>
              <w:right w:val="single" w:sz="1"/>
            </w:tcBorders>
          </w:tcPr>
          <w:p>
            <w:pPr>
              <w:jc w:val="center"/>
            </w:pPr>
            <w:r>
              <w:t xml:space="preserve">Estados miembros</w:t>
            </w:r>
          </w:p>
        </w:tc>
        <w:tc>
          <w:tcPr>
            <w:tcBorders>
              <w:top w:val="single" w:sz="1"/>
              <w:left w:val="single" w:sz="1"/>
              <w:bottom w:val="single" w:sz="1"/>
              <w:right w:val="single" w:sz="1"/>
            </w:tcBorders>
          </w:tcPr>
          <w:p>
            <w:pPr>
              <w:jc w:val="center"/>
            </w:pPr>
            <w:r>
              <w:t xml:space="preserve">Reticencias Francia/Polonia; España aboga por provisional</w:t>
            </w:r>
          </w:p>
        </w:tc>
      </w:tr>
    </w:tbl>
    <w:p>
      <w:pPr>
        <w:spacing w:after="120"/>
        <w:jc w:val="both"/>
      </w:pPr>
      <w:r>
        <w:t xml:space="preserve">Datos de la Comisión Europea indican que el acuerdo podría generar </w:t>
      </w:r>
      <w:r>
        <w:rPr>
          <w:b/>
          <w:bCs/>
        </w:rPr>
        <w:t xml:space="preserve">€4.000 millones anuales en ganancias</w:t>
      </w:r>
      <w:r>
        <w:t xml:space="preserve"> para la UE, aunque protestas sectoriales persisten.</w:t>
      </w:r>
    </w:p>
    <w:p>
      <w:pPr>
        <w:pStyle w:val="Heading3"/>
        <w:spacing w:before="240" w:after="120"/>
      </w:pPr>
      <w:r>
        <w:t xml:space="preserve">Estado de ratificación en MERCOSUR</w:t>
      </w:r>
    </w:p>
    <w:p>
      <w:pPr>
        <w:spacing w:after="120"/>
        <w:jc w:val="both"/>
      </w:pPr>
      <w:r>
        <w:t xml:space="preserve">Argentina lidera el proceso: la Cámara de Diputados ratificó el </w:t>
      </w:r>
      <w:r>
        <w:rPr>
          <w:b/>
          <w:bCs/>
        </w:rPr>
        <w:t xml:space="preserve">Acuerdo Interino</w:t>
      </w:r>
      <w:r>
        <w:t xml:space="preserve"> en sesión reciente, habilitando la vigencia provisional UE si el Senado sanciona en las próximas semanas. Brasil y Uruguay avanzan en sus congresos, con Uruguay destacando el pacto como "oportunidad histórica". Paraguay y Bolivia (incorporada plenamente en 2024) siguen, sin fechas confirmadas.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País MERCOSUR</w:t>
            </w:r>
          </w:p>
        </w:tc>
        <w:tc>
          <w:tcPr>
            <w:tcBorders>
              <w:top w:val="single" w:sz="1"/>
              <w:left w:val="single" w:sz="1"/>
              <w:bottom w:val="single" w:sz="1"/>
              <w:right w:val="single" w:sz="1"/>
            </w:tcBorders>
            <w:shd w:fill="E7E6E6"/>
          </w:tcPr>
          <w:p>
            <w:pPr>
              <w:jc w:val="center"/>
            </w:pPr>
            <w:r>
              <w:t xml:space="preserve">Cámara Baja</w:t>
            </w:r>
          </w:p>
        </w:tc>
        <w:tc>
          <w:tcPr>
            <w:tcBorders>
              <w:top w:val="single" w:sz="1"/>
              <w:left w:val="single" w:sz="1"/>
              <w:bottom w:val="single" w:sz="1"/>
              <w:right w:val="single" w:sz="1"/>
            </w:tcBorders>
            <w:shd w:fill="E7E6E6"/>
          </w:tcPr>
          <w:p>
            <w:pPr>
              <w:jc w:val="center"/>
            </w:pPr>
            <w:r>
              <w:t xml:space="preserve">Cámara Alta</w:t>
            </w:r>
          </w:p>
        </w:tc>
        <w:tc>
          <w:tcPr>
            <w:tcBorders>
              <w:top w:val="single" w:sz="1"/>
              <w:left w:val="single" w:sz="1"/>
              <w:bottom w:val="single" w:sz="1"/>
              <w:right w:val="single" w:sz="1"/>
            </w:tcBorders>
            <w:shd w:fill="E7E6E6"/>
          </w:tcPr>
          <w:p>
            <w:pPr>
              <w:jc w:val="center"/>
            </w:pPr>
            <w:r>
              <w:t xml:space="preserve">Estado general (19/02/2026)</w:t>
            </w:r>
          </w:p>
        </w:tc>
      </w:tr>
      <w:tr>
        <w:tc>
          <w:tcPr>
            <w:tcBorders>
              <w:top w:val="single" w:sz="1"/>
              <w:left w:val="single" w:sz="1"/>
              <w:bottom w:val="single" w:sz="1"/>
              <w:right w:val="single" w:sz="1"/>
            </w:tcBorders>
          </w:tcPr>
          <w:p>
            <w:pPr>
              <w:jc w:val="center"/>
            </w:pPr>
            <w:r>
              <w:t xml:space="preserve">**Argentina**</w:t>
            </w:r>
          </w:p>
        </w:tc>
        <w:tc>
          <w:tcPr>
            <w:tcBorders>
              <w:top w:val="single" w:sz="1"/>
              <w:left w:val="single" w:sz="1"/>
              <w:bottom w:val="single" w:sz="1"/>
              <w:right w:val="single" w:sz="1"/>
            </w:tcBorders>
          </w:tcPr>
          <w:p>
            <w:pPr>
              <w:jc w:val="center"/>
            </w:pPr>
            <w:r>
              <w:t xml:space="preserve">Aprobado (203-42-4)</w:t>
            </w:r>
          </w:p>
        </w:tc>
        <w:tc>
          <w:tcPr>
            <w:tcBorders>
              <w:top w:val="single" w:sz="1"/>
              <w:left w:val="single" w:sz="1"/>
              <w:bottom w:val="single" w:sz="1"/>
              <w:right w:val="single" w:sz="1"/>
            </w:tcBorders>
          </w:tcPr>
          <w:p>
            <w:pPr>
              <w:jc w:val="center"/>
            </w:pPr>
            <w:r>
              <w:t xml:space="preserve">Dictamen positivo</w:t>
            </w:r>
          </w:p>
        </w:tc>
        <w:tc>
          <w:tcPr>
            <w:tcBorders>
              <w:top w:val="single" w:sz="1"/>
              <w:left w:val="single" w:sz="1"/>
              <w:bottom w:val="single" w:sz="1"/>
              <w:right w:val="single" w:sz="1"/>
            </w:tcBorders>
          </w:tcPr>
          <w:p>
            <w:pPr>
              <w:jc w:val="center"/>
            </w:pPr>
            <w:r>
              <w:t xml:space="preserve">Líder; ratificación inminente</w:t>
            </w:r>
          </w:p>
        </w:tc>
      </w:tr>
      <w:tr>
        <w:tc>
          <w:tcPr>
            <w:tcBorders>
              <w:top w:val="single" w:sz="1"/>
              <w:left w:val="single" w:sz="1"/>
              <w:bottom w:val="single" w:sz="1"/>
              <w:right w:val="single" w:sz="1"/>
            </w:tcBorders>
          </w:tcPr>
          <w:p>
            <w:pPr>
              <w:jc w:val="center"/>
            </w:pPr>
            <w:r>
              <w:t xml:space="preserve">Brasil</w:t>
            </w:r>
          </w:p>
        </w:tc>
        <w:tc>
          <w:tcPr>
            <w:tcBorders>
              <w:top w:val="single" w:sz="1"/>
              <w:left w:val="single" w:sz="1"/>
              <w:bottom w:val="single" w:sz="1"/>
              <w:right w:val="single" w:sz="1"/>
            </w:tcBorders>
          </w:tcPr>
          <w:p>
            <w:pPr>
              <w:jc w:val="center"/>
            </w:pPr>
            <w:r>
              <w:t xml:space="preserve">En debate</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Avances lentos por tensiones internas</w:t>
            </w:r>
          </w:p>
        </w:tc>
      </w:tr>
      <w:tr>
        <w:tc>
          <w:tcPr>
            <w:tcBorders>
              <w:top w:val="single" w:sz="1"/>
              <w:left w:val="single" w:sz="1"/>
              <w:bottom w:val="single" w:sz="1"/>
              <w:right w:val="single" w:sz="1"/>
            </w:tcBorders>
          </w:tcPr>
          <w:p>
            <w:pPr>
              <w:jc w:val="center"/>
            </w:pPr>
            <w:r>
              <w:t xml:space="preserve">Paraguay</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Apoyo gubernamental</w:t>
            </w:r>
          </w:p>
        </w:tc>
      </w:tr>
      <w:tr>
        <w:tc>
          <w:tcPr>
            <w:tcBorders>
              <w:top w:val="single" w:sz="1"/>
              <w:left w:val="single" w:sz="1"/>
              <w:bottom w:val="single" w:sz="1"/>
              <w:right w:val="single" w:sz="1"/>
            </w:tcBorders>
          </w:tcPr>
          <w:p>
            <w:pPr>
              <w:jc w:val="center"/>
            </w:pPr>
            <w:r>
              <w:t xml:space="preserve">Uruguay</w:t>
            </w:r>
          </w:p>
        </w:tc>
        <w:tc>
          <w:tcPr>
            <w:tcBorders>
              <w:top w:val="single" w:sz="1"/>
              <w:left w:val="single" w:sz="1"/>
              <w:bottom w:val="single" w:sz="1"/>
              <w:right w:val="single" w:sz="1"/>
            </w:tcBorders>
          </w:tcPr>
          <w:p>
            <w:pPr>
              <w:jc w:val="center"/>
            </w:pPr>
            <w:r>
              <w:t xml:space="preserve">En tratamiento</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Prioridad alta</w:t>
            </w:r>
          </w:p>
        </w:tc>
      </w:tr>
      <w:tr>
        <w:tc>
          <w:tcPr>
            <w:tcBorders>
              <w:top w:val="single" w:sz="1"/>
              <w:left w:val="single" w:sz="1"/>
              <w:bottom w:val="single" w:sz="1"/>
              <w:right w:val="single" w:sz="1"/>
            </w:tcBorders>
          </w:tcPr>
          <w:p>
            <w:pPr>
              <w:jc w:val="center"/>
            </w:pPr>
            <w:r>
              <w:t xml:space="preserve">Bolivia</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Pendiente</w:t>
            </w:r>
          </w:p>
        </w:tc>
        <w:tc>
          <w:tcPr>
            <w:tcBorders>
              <w:top w:val="single" w:sz="1"/>
              <w:left w:val="single" w:sz="1"/>
              <w:bottom w:val="single" w:sz="1"/>
              <w:right w:val="single" w:sz="1"/>
            </w:tcBorders>
          </w:tcPr>
          <w:p>
            <w:pPr>
              <w:jc w:val="center"/>
            </w:pPr>
            <w:r>
              <w:t xml:space="preserve">Incorporación reciente</w:t>
            </w:r>
          </w:p>
        </w:tc>
      </w:tr>
    </w:tbl>
    <w:p>
      <w:pPr>
        <w:spacing w:after="120"/>
        <w:jc w:val="both"/>
      </w:pPr>
      <w:r>
        <w:t xml:space="preserve">El canciller argentino Mario Lubetkin estimó finalización en </w:t>
      </w:r>
      <w:r>
        <w:rPr>
          <w:b/>
          <w:bCs/>
        </w:rPr>
        <w:t xml:space="preserve">diciembre 2025</w:t>
      </w:r>
      <w:r>
        <w:t xml:space="preserve">, coincidiendo con avances en otros bloques como EFTA.</w:t>
      </w:r>
    </w:p>
    <w:p>
      <w:pPr>
        <w:pStyle w:val="Heading3"/>
        <w:spacing w:before="240" w:after="120"/>
      </w:pPr>
      <w:r>
        <w:t xml:space="preserve">Impacto de la presidencia pro tempore argentina (2025)</w:t>
      </w:r>
    </w:p>
    <w:p>
      <w:pPr>
        <w:spacing w:after="120"/>
        <w:jc w:val="both"/>
      </w:pPr>
      <w:r>
        <w:t xml:space="preserve">Argentina asumió la </w:t>
      </w:r>
      <w:r>
        <w:rPr>
          <w:b/>
          <w:bCs/>
        </w:rPr>
        <w:t xml:space="preserve">Presidencia Pro Tempore del MERCOSUR</w:t>
      </w:r>
      <w:r>
        <w:t xml:space="preserve"> en enero 2025, bajo el gobierno de </w:t>
      </w:r>
      <w:r>
        <w:rPr>
          <w:b/>
          <w:bCs/>
        </w:rPr>
        <w:t xml:space="preserve">Javier Milei</w:t>
      </w:r>
      <w:r>
        <w:t xml:space="preserve">, quien recibió el martillo protocolar de Luis Lacalle Pou con énfasis en "romper barreras". Durante el semestre (hasta julio 2025, traspasado a Lula da Silva), se impulsaron desregulaciones y foco en competitividad, culminando en firma de TLC con EFTA y avances UE. Milei destacó en cumbres de Buenos Aires y Foz de Iguazú la necesidad de un MERCOSUR "abierto", proponiendo reglas comerciales lógicas y acuerdos bilaterales flexibles sin veto.</w:t>
      </w:r>
    </w:p>
    <w:p>
      <w:pPr>
        <w:spacing w:after="120"/>
        <w:jc w:val="both"/>
      </w:pPr>
      <w:r>
        <w:t xml:space="preserve">Esta gestión moderó críticas iniciales al bloque, logrando consenso pese a tensiones ideológicas con Brasil. El balance oficial celebra el UE-MERCOSUR como "logro histórico del bloque".</w:t>
      </w:r>
    </w:p>
    <w:p>
      <w:pPr>
        <w:pStyle w:val="Heading3"/>
        <w:spacing w:before="240" w:after="120"/>
      </w:pPr>
      <w:r>
        <w:t xml:space="preserve">Postura del gobierno de Javier Milei</w:t>
      </w:r>
    </w:p>
    <w:p>
      <w:pPr>
        <w:spacing w:after="120"/>
        <w:jc w:val="both"/>
      </w:pPr>
      <w:r>
        <w:t xml:space="preserve">El gobierno Milei prioriza </w:t>
      </w:r>
      <w:r>
        <w:rPr>
          <w:b/>
          <w:bCs/>
        </w:rPr>
        <w:t xml:space="preserve">acuerdos bilaterales</w:t>
      </w:r>
      <w:r>
        <w:t xml:space="preserve"> (ej. preferencias con EE.UU.), pero mantiene compromiso con MERCOSUR para el pacto UE, viéndolo como vehículo para exportaciones agroindustriales. En discursos cumbre, Milei instó a flexibilizar normas para evitar parálisis, advirtiendo acciones unilaterales si necesario. No obstante, asistió a cumbres clave, capitalizando el acuerdo como hito durante su presidencia, sin confirmar inicialmente presencias pero confirmando asistencia final.</w:t>
      </w:r>
    </w:p>
    <w:p>
      <w:pPr>
        <w:pStyle w:val="Heading3"/>
        <w:spacing w:before="240" w:after="120"/>
      </w:pPr>
      <w:r>
        <w:t xml:space="preserve">Obstáculos actuales al 19/02/2026</w:t>
      </w:r>
    </w:p>
    <w:p>
      <w:pPr>
        <w:spacing w:after="120"/>
        <w:jc w:val="both"/>
      </w:pPr>
      <w:r>
        <w:t xml:space="preserve">Las </w:t>
      </w:r>
      <w:r>
        <w:rPr>
          <w:b/>
          <w:bCs/>
        </w:rPr>
        <w:t xml:space="preserve">demandas ambientales de la UE</w:t>
      </w:r>
      <w:r>
        <w:t xml:space="preserve"> representan el principal escollo: exigencias de reglamentación estricta bajo EUDR y compromisos climáticos, con reapertura de capítulos post-2019. Francia bloquea por protección agrícola; tensiones MERCOSUR surgen de visiones divergentes (Milei pro-bilateral vs. Lula proteccionista). Uruguay y Brasil presionan por cierre, pero impugnaciones parlamentarias europeas generan limbo jurídico.</w:t>
      </w:r>
    </w:p>
    <w:p>
      <w:pPr>
        <w:spacing w:after="120"/>
        <w:jc w:val="both"/>
      </w:pPr>
      <w:r>
        <w:t xml:space="preserve">Adicionalmente, la no participación argentina en COP climática complica metas ambientales. Proyecciones indican que, sin resolución, la vigencia provisional podría demorarse a </w:t>
      </w:r>
      <w:r>
        <w:rPr>
          <w:b/>
          <w:bCs/>
        </w:rPr>
        <w:t xml:space="preserve">2027</w:t>
      </w:r>
      <w:r>
        <w:t xml:space="preserve">, afectando </w:t>
      </w:r>
      <w:r>
        <w:rPr>
          <w:b/>
          <w:bCs/>
        </w:rPr>
        <w:t xml:space="preserve">US$ 3.344 millones en exportaciones</w:t>
      </w:r>
      <w:r>
        <w:t xml:space="preserve"> regionales potenciales.</w:t>
      </w:r>
    </w:p>
    <w:p>
      <w:pPr>
        <w:spacing w:after="120"/>
        <w:jc w:val="both"/>
      </w:pPr>
      <w:r>
        <w:t xml:space="preserve">En síntesis, el marco normativo posiciona al acuerdo en fase crítica de ratificación, con Argentina como catalizador bajo Milei, pese a obstáculos persistentes que demandan consensos birregionales.</w:t>
      </w:r>
    </w:p>
    <w:p>
      <w:pPr>
        <w:pStyle w:val="Heading3"/>
        <w:spacing w:before="240" w:after="120"/>
      </w:pPr>
      <w:r>
        <w:t xml:space="preserve">3. 3. Posición y Rol Estratégico de Argentina en el Acuerdo</w:t>
      </w:r>
    </w:p>
    <w:p>
      <w:pPr>
        <w:spacing w:after="120"/>
        <w:jc w:val="both"/>
      </w:pPr>
      <w:r>
        <w:t xml:space="preserve">Argentina asume un rol protagónico en el Acuerdo de Asociación UE-Mercosur, impulsado activamente por el Gobierno nacional durante la administración del presidente </w:t>
      </w:r>
      <w:r>
        <w:rPr>
          <w:b/>
          <w:bCs/>
        </w:rPr>
        <w:t xml:space="preserve">Javier Milei</w:t>
      </w:r>
      <w:r>
        <w:t xml:space="preserve">. La firma del acuerdo en enero de 2025 en Asunción, Paraguay, con la presencia del jefe de Estado argentino, marcó un hito tras más de 25 años de negociaciones. Según un comunicado oficial de la </w:t>
      </w:r>
      <w:r>
        <w:rPr>
          <w:b/>
          <w:bCs/>
        </w:rPr>
        <w:t xml:space="preserve">Cancillería argentina</w:t>
      </w:r>
      <w:r>
        <w:t xml:space="preserve">, este pacto suscribe el compromiso de avanzar hacia una economía más abierta y competitiva, alineada con las políticas de desregulación y apertura comercial vigentes.</w:t>
      </w:r>
    </w:p>
    <w:p>
      <w:pPr>
        <w:spacing w:after="120"/>
        <w:jc w:val="both"/>
      </w:pPr>
      <w:r>
        <w:t xml:space="preserve">El </w:t>
      </w:r>
      <w:r>
        <w:rPr>
          <w:b/>
          <w:bCs/>
        </w:rPr>
        <w:t xml:space="preserve">Ministerio de Economía</w:t>
      </w:r>
      <w:r>
        <w:t xml:space="preserve"> ha destacado que el acuerdo elimina aranceles para el </w:t>
      </w:r>
      <w:r>
        <w:rPr>
          <w:b/>
          <w:bCs/>
        </w:rPr>
        <w:t xml:space="preserve">92% de las exportaciones del Mercosur hacia la UE</w:t>
      </w:r>
      <w:r>
        <w:t xml:space="preserve">, con acceso preferencial para otro </w:t>
      </w:r>
      <w:r>
        <w:rPr>
          <w:b/>
          <w:bCs/>
        </w:rPr>
        <w:t xml:space="preserve">7,5%</w:t>
      </w:r>
      <w:r>
        <w:t xml:space="preserve"> mediante cuotas específicas. Esto posiciona a Argentina como beneficiaria principal en el ámbito agroexportador, donde los principales destinos europeos incluyen pellets de soja, biodiésel, carne bovina, vinos y limones. De acuerdo con datos del </w:t>
      </w:r>
      <w:r>
        <w:rPr>
          <w:b/>
          <w:bCs/>
        </w:rPr>
        <w:t xml:space="preserve">INDEC</w:t>
      </w:r>
      <w:r>
        <w:t xml:space="preserve">, en 2024 las exportaciones argentinas alcanzaron </w:t>
      </w:r>
      <w:r>
        <w:rPr>
          <w:b/>
          <w:bCs/>
        </w:rPr>
        <w:t xml:space="preserve">US$79.721 millones</w:t>
      </w:r>
      <w:r>
        <w:t xml:space="preserve">, con un crecimiento interanual del </w:t>
      </w:r>
      <w:r>
        <w:rPr>
          <w:b/>
          <w:bCs/>
        </w:rPr>
        <w:t xml:space="preserve">19,4%</w:t>
      </w:r>
      <w:r>
        <w:t xml:space="preserve">, y un superávit comercial de </w:t>
      </w:r>
      <w:r>
        <w:rPr>
          <w:b/>
          <w:bCs/>
        </w:rPr>
        <w:t xml:space="preserve">US$18.899 millones</w:t>
      </w:r>
      <w:r>
        <w:t xml:space="preserve">.</w:t>
      </w:r>
    </w:p>
    <w:p>
      <w:pPr>
        <w:pStyle w:val="Heading4"/>
        <w:spacing w:before="240" w:after="120"/>
      </w:pPr>
      <w:r>
        <w:t xml:space="preserve">Beneficios Proyectados para las Exportaciones Clave</w:t>
      </w:r>
    </w:p>
    <w:p>
      <w:pPr>
        <w:spacing w:after="120"/>
        <w:jc w:val="both"/>
      </w:pPr>
      <w:r>
        <w:t xml:space="preserve">El sector agroindustrial argentino se perfila como el mayor ganador del acuerdo. Se estima que las exportaciones de </w:t>
      </w:r>
      <w:r>
        <w:rPr>
          <w:b/>
          <w:bCs/>
        </w:rPr>
        <w:t xml:space="preserve">carnes bovinas, soja y vinos</w:t>
      </w:r>
      <w:r>
        <w:t xml:space="preserve"> —que representan hasta el </w:t>
      </w:r>
      <w:r>
        <w:rPr>
          <w:b/>
          <w:bCs/>
        </w:rPr>
        <w:t xml:space="preserve">20% del PBI exportador</w:t>
      </w:r>
      <w:r>
        <w:t xml:space="preserve">— podrían incrementarse significativamente, con proyecciones de hasta un </w:t>
      </w:r>
      <w:r>
        <w:rPr>
          <w:b/>
          <w:bCs/>
        </w:rPr>
        <w:t xml:space="preserve">35%</w:t>
      </w:r>
      <w:r>
        <w:t xml:space="preserve"> en ventas al bloque europeo según especialistas del sector. El </w:t>
      </w:r>
      <w:r>
        <w:rPr>
          <w:b/>
          <w:bCs/>
        </w:rPr>
        <w:t xml:space="preserve">99% de las exportaciones agrícolas del Mercosur</w:t>
      </w:r>
      <w:r>
        <w:t xml:space="preserve"> se verán beneficiadas por la eliminación de aranceles, facilitando el acceso a un mercado de </w:t>
      </w:r>
      <w:r>
        <w:rPr>
          <w:b/>
          <w:bCs/>
        </w:rPr>
        <w:t xml:space="preserve">450 millones de consumidores</w:t>
      </w:r>
      <w:r>
        <w:t xml:space="preserve">.</w:t>
      </w:r>
    </w:p>
    <w:p>
      <w:pPr>
        <w:spacing w:after="120"/>
        <w:jc w:val="both"/>
      </w:pPr>
      <w:r>
        <w:t xml:space="preserve">En particular:</w:t>
      </w:r>
    </w:p>
    <w:p>
      <w:pPr>
        <w:spacing w:after="120"/>
        <w:jc w:val="both"/>
      </w:pPr>
      <w:r>
        <w:t xml:space="preserve">• </w:t>
      </w:r>
      <w:r>
        <w:rPr>
          <w:b/>
          <w:bCs/>
        </w:rPr>
        <w:t xml:space="preserve">Soja y derivados</w:t>
      </w:r>
      <w:r>
        <w:t xml:space="preserve">: Argentina ya exporta pellets de soja y biodiésel a la UE; el acuerdo amplía cuotas y reduce barreras, potenciando complejos exportadores que en 2024 crecieron impulsados por estos rubros (INDEC, Complejos Exportadores 2024).</w:t>
      </w:r>
    </w:p>
    <w:p>
      <w:pPr>
        <w:spacing w:after="120"/>
        <w:jc w:val="both"/>
      </w:pPr>
      <w:r>
        <w:t xml:space="preserve">• </w:t>
      </w:r>
      <w:r>
        <w:rPr>
          <w:b/>
          <w:bCs/>
        </w:rPr>
        <w:t xml:space="preserve">Carnes bovinas</w:t>
      </w:r>
      <w:r>
        <w:t xml:space="preserve">: Cuotas preferenciales permitirán un aumento en volúmenes, beneficiando regiones pampeanas con subas en el origen provincial de exportaciones (OPEX) durante el primer semestre de 2025, según INDEC.</w:t>
      </w:r>
    </w:p>
    <w:p>
      <w:pPr>
        <w:spacing w:after="120"/>
        <w:jc w:val="both"/>
      </w:pPr>
      <w:r>
        <w:t xml:space="preserve">• </w:t>
      </w:r>
      <w:r>
        <w:rPr>
          <w:b/>
          <w:bCs/>
        </w:rPr>
        <w:t xml:space="preserve">Vinos</w:t>
      </w:r>
      <w:r>
        <w:t xml:space="preserve">: Eliminación de aranceles del </w:t>
      </w:r>
      <w:r>
        <w:rPr>
          <w:b/>
          <w:bCs/>
        </w:rPr>
        <w:t xml:space="preserve">12-17%</w:t>
      </w:r>
      <w:r>
        <w:t xml:space="preserve"> actuales abrirá oportunidades para bodegas mendocinas y sanjuaninas, diversificando destinos más allá de Brasil y China.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Sector</w:t>
            </w:r>
          </w:p>
        </w:tc>
        <w:tc>
          <w:tcPr>
            <w:tcBorders>
              <w:top w:val="single" w:sz="1"/>
              <w:left w:val="single" w:sz="1"/>
              <w:bottom w:val="single" w:sz="1"/>
              <w:right w:val="single" w:sz="1"/>
            </w:tcBorders>
            <w:shd w:fill="E7E6E6"/>
          </w:tcPr>
          <w:p>
            <w:pPr>
              <w:jc w:val="center"/>
            </w:pPr>
            <w:r>
              <w:t xml:space="preserve">Valor Exportaciones 2024 (US$ millones)</w:t>
            </w:r>
          </w:p>
        </w:tc>
        <w:tc>
          <w:tcPr>
            <w:tcBorders>
              <w:top w:val="single" w:sz="1"/>
              <w:left w:val="single" w:sz="1"/>
              <w:bottom w:val="single" w:sz="1"/>
              <w:right w:val="single" w:sz="1"/>
            </w:tcBorders>
            <w:shd w:fill="E7E6E6"/>
          </w:tcPr>
          <w:p>
            <w:pPr>
              <w:jc w:val="center"/>
            </w:pPr>
            <w:r>
              <w:t xml:space="preserve">Proyección Crecimiento UE (%)</w:t>
            </w:r>
          </w:p>
        </w:tc>
        <w:tc>
          <w:tcPr>
            <w:tcBorders>
              <w:top w:val="single" w:sz="1"/>
              <w:left w:val="single" w:sz="1"/>
              <w:bottom w:val="single" w:sz="1"/>
              <w:right w:val="single" w:sz="1"/>
            </w:tcBorders>
            <w:shd w:fill="E7E6E6"/>
          </w:tcPr>
          <w:p>
            <w:pPr>
              <w:jc w:val="center"/>
            </w:pPr>
            <w:r>
              <w:t xml:space="preserve">Fuente</w:t>
            </w:r>
          </w:p>
        </w:tc>
      </w:tr>
      <w:tr>
        <w:tc>
          <w:tcPr>
            <w:tcBorders>
              <w:top w:val="single" w:sz="1"/>
              <w:left w:val="single" w:sz="1"/>
              <w:bottom w:val="single" w:sz="1"/>
              <w:right w:val="single" w:sz="1"/>
            </w:tcBorders>
          </w:tcPr>
          <w:p>
            <w:pPr>
              <w:jc w:val="center"/>
            </w:pPr>
            <w:r>
              <w:t xml:space="preserve">Soja y derivados</w:t>
            </w:r>
          </w:p>
        </w:tc>
        <w:tc>
          <w:tcPr>
            <w:tcBorders>
              <w:top w:val="single" w:sz="1"/>
              <w:left w:val="single" w:sz="1"/>
              <w:bottom w:val="single" w:sz="1"/>
              <w:right w:val="single" w:sz="1"/>
            </w:tcBorders>
          </w:tcPr>
          <w:p>
            <w:pPr>
              <w:jc w:val="center"/>
            </w:pPr>
            <w:r>
              <w:t xml:space="preserve">~25.000 (estimado)</w:t>
            </w:r>
          </w:p>
        </w:tc>
        <w:tc>
          <w:tcPr>
            <w:tcBorders>
              <w:top w:val="single" w:sz="1"/>
              <w:left w:val="single" w:sz="1"/>
              <w:bottom w:val="single" w:sz="1"/>
              <w:right w:val="single" w:sz="1"/>
            </w:tcBorders>
          </w:tcPr>
          <w:p>
            <w:pPr>
              <w:jc w:val="center"/>
            </w:pPr>
            <w:r>
              <w:t xml:space="preserve">+20-35</w:t>
            </w:r>
          </w:p>
        </w:tc>
        <w:tc>
          <w:tcPr>
            <w:tcBorders>
              <w:top w:val="single" w:sz="1"/>
              <w:left w:val="single" w:sz="1"/>
              <w:bottom w:val="single" w:sz="1"/>
              <w:right w:val="single" w:sz="1"/>
            </w:tcBorders>
          </w:tcPr>
          <w:p>
            <w:pPr>
              <w:jc w:val="center"/>
            </w:pPr>
            <w:r>
              <w:t xml:space="preserve">INDEC, Bolsa de Comercio de Rosario</w:t>
            </w:r>
          </w:p>
        </w:tc>
      </w:tr>
      <w:tr>
        <w:tc>
          <w:tcPr>
            <w:tcBorders>
              <w:top w:val="single" w:sz="1"/>
              <w:left w:val="single" w:sz="1"/>
              <w:bottom w:val="single" w:sz="1"/>
              <w:right w:val="single" w:sz="1"/>
            </w:tcBorders>
          </w:tcPr>
          <w:p>
            <w:pPr>
              <w:jc w:val="center"/>
            </w:pPr>
            <w:r>
              <w:t xml:space="preserve">Carnes bovinas</w:t>
            </w:r>
          </w:p>
        </w:tc>
        <w:tc>
          <w:tcPr>
            <w:tcBorders>
              <w:top w:val="single" w:sz="1"/>
              <w:left w:val="single" w:sz="1"/>
              <w:bottom w:val="single" w:sz="1"/>
              <w:right w:val="single" w:sz="1"/>
            </w:tcBorders>
          </w:tcPr>
          <w:p>
            <w:pPr>
              <w:jc w:val="center"/>
            </w:pPr>
            <w:r>
              <w:t xml:space="preserve">~3.500</w:t>
            </w:r>
          </w:p>
        </w:tc>
        <w:tc>
          <w:tcPr>
            <w:tcBorders>
              <w:top w:val="single" w:sz="1"/>
              <w:left w:val="single" w:sz="1"/>
              <w:bottom w:val="single" w:sz="1"/>
              <w:right w:val="single" w:sz="1"/>
            </w:tcBorders>
          </w:tcPr>
          <w:p>
            <w:pPr>
              <w:jc w:val="center"/>
            </w:pPr>
            <w:r>
              <w:t xml:space="preserve">+25</w:t>
            </w:r>
          </w:p>
        </w:tc>
        <w:tc>
          <w:tcPr>
            <w:tcBorders>
              <w:top w:val="single" w:sz="1"/>
              <w:left w:val="single" w:sz="1"/>
              <w:bottom w:val="single" w:sz="1"/>
              <w:right w:val="single" w:sz="1"/>
            </w:tcBorders>
          </w:tcPr>
          <w:p>
            <w:pPr>
              <w:jc w:val="center"/>
            </w:pPr>
            <w:r>
              <w:t xml:space="preserve">INDEC, Cancillería</w:t>
            </w:r>
          </w:p>
        </w:tc>
      </w:tr>
      <w:tr>
        <w:tc>
          <w:tcPr>
            <w:tcBorders>
              <w:top w:val="single" w:sz="1"/>
              <w:left w:val="single" w:sz="1"/>
              <w:bottom w:val="single" w:sz="1"/>
              <w:right w:val="single" w:sz="1"/>
            </w:tcBorders>
          </w:tcPr>
          <w:p>
            <w:pPr>
              <w:jc w:val="center"/>
            </w:pPr>
            <w:r>
              <w:t xml:space="preserve">Vinos</w:t>
            </w:r>
          </w:p>
        </w:tc>
        <w:tc>
          <w:tcPr>
            <w:tcBorders>
              <w:top w:val="single" w:sz="1"/>
              <w:left w:val="single" w:sz="1"/>
              <w:bottom w:val="single" w:sz="1"/>
              <w:right w:val="single" w:sz="1"/>
            </w:tcBorders>
          </w:tcPr>
          <w:p>
            <w:pPr>
              <w:jc w:val="center"/>
            </w:pPr>
            <w:r>
              <w:t xml:space="preserve">~1.200</w:t>
            </w:r>
          </w:p>
        </w:tc>
        <w:tc>
          <w:tcPr>
            <w:tcBorders>
              <w:top w:val="single" w:sz="1"/>
              <w:left w:val="single" w:sz="1"/>
              <w:bottom w:val="single" w:sz="1"/>
              <w:right w:val="single" w:sz="1"/>
            </w:tcBorders>
          </w:tcPr>
          <w:p>
            <w:pPr>
              <w:jc w:val="center"/>
            </w:pPr>
            <w:r>
              <w:t xml:space="preserve">+15-20</w:t>
            </w:r>
          </w:p>
        </w:tc>
        <w:tc>
          <w:tcPr>
            <w:tcBorders>
              <w:top w:val="single" w:sz="1"/>
              <w:left w:val="single" w:sz="1"/>
              <w:bottom w:val="single" w:sz="1"/>
              <w:right w:val="single" w:sz="1"/>
            </w:tcBorders>
          </w:tcPr>
          <w:p>
            <w:pPr>
              <w:jc w:val="center"/>
            </w:pPr>
            <w:r>
              <w:t xml:space="preserve">INDEC</w:t>
            </w:r>
          </w:p>
        </w:tc>
      </w:tr>
    </w:tbl>
    <w:p>
      <w:pPr>
        <w:spacing w:after="120"/>
        <w:jc w:val="both"/>
      </w:pPr>
      <w:r>
        <w:t xml:space="preserve">Estos beneficios se alinean con el superávit comercial de </w:t>
      </w:r>
      <w:r>
        <w:rPr>
          <w:b/>
          <w:bCs/>
        </w:rPr>
        <w:t xml:space="preserve">US$14.151 millones</w:t>
      </w:r>
      <w:r>
        <w:t xml:space="preserve"> registrado en enero-agosto de 2024 (CIRA), donde la UE representó un destino clave con </w:t>
      </w:r>
      <w:r>
        <w:rPr>
          <w:b/>
          <w:bCs/>
        </w:rPr>
        <w:t xml:space="preserve">US$40 millones</w:t>
      </w:r>
      <w:r>
        <w:t xml:space="preserve"> en ciertos complejos.</w:t>
      </w:r>
    </w:p>
    <w:p>
      <w:pPr>
        <w:pStyle w:val="Heading4"/>
        <w:spacing w:before="240" w:after="120"/>
      </w:pPr>
      <w:r>
        <w:t xml:space="preserve">Desafíos para la Industria Automotriz y PyMEs</w:t>
      </w:r>
    </w:p>
    <w:p>
      <w:pPr>
        <w:spacing w:after="120"/>
        <w:jc w:val="both"/>
      </w:pPr>
      <w:r>
        <w:t xml:space="preserve">No obstante, la apertura arancelaria genera tensiones en sectores sensibles. La industria automotriz argentina enfrenta una reducción progresiva de aranceles para vehículos e insumos europeos, lo que podría impactar la producción local en Córdoba, Santa Fe y Buenos Aires. Según análisis de la </w:t>
      </w:r>
      <w:r>
        <w:rPr>
          <w:b/>
          <w:bCs/>
        </w:rPr>
        <w:t xml:space="preserve">Unión Industrial Argentina (UIA)</w:t>
      </w:r>
      <w:r>
        <w:t xml:space="preserve"> y ACARA, este escenario exige una reconversión hacia integración en cadenas globales, pero advierten riesgos de "segunda ola" de cierres de fábricas ante la falta de competitividad energética y laboral.</w:t>
      </w:r>
    </w:p>
    <w:p>
      <w:pPr>
        <w:spacing w:after="120"/>
        <w:jc w:val="both"/>
      </w:pPr>
      <w:r>
        <w:t xml:space="preserve">Las </w:t>
      </w:r>
      <w:r>
        <w:rPr>
          <w:b/>
          <w:bCs/>
        </w:rPr>
        <w:t xml:space="preserve">PyMEs</w:t>
      </w:r>
      <w:r>
        <w:t xml:space="preserve">, particularmente en manufacturas, perciben el acuerdo como un test de supervivencia. La eliminación de aranceles para el </w:t>
      </w:r>
      <w:r>
        <w:rPr>
          <w:b/>
          <w:bCs/>
        </w:rPr>
        <w:t xml:space="preserve">91%</w:t>
      </w:r>
      <w:r>
        <w:t xml:space="preserve"> de productos industriales expone a competidores europeos con ventajas en escala y tecnología. Informes de CIPPEC estiman impactos heterogéneos regionales, con demandas de adecuación regulatoria a estándares UE en sostenibilidad y calidad, incrementando costos iniciales para el </w:t>
      </w:r>
      <w:r>
        <w:rPr>
          <w:b/>
          <w:bCs/>
        </w:rPr>
        <w:t xml:space="preserve">corto plazo</w:t>
      </w:r>
      <w:r>
        <w:t xml:space="preserve"> (2027-2030).</w:t>
      </w:r>
    </w:p>
    <w:p>
      <w:pPr>
        <w:pStyle w:val="Heading4"/>
        <w:spacing w:before="240" w:after="120"/>
      </w:pPr>
      <w:r>
        <w:t xml:space="preserve">Influencia de Actores Gubernamentales y Sectoriales</w:t>
      </w:r>
    </w:p>
    <w:p>
      <w:pPr>
        <w:spacing w:after="120"/>
        <w:jc w:val="both"/>
      </w:pPr>
      <w:r>
        <w:t xml:space="preserve">La </w:t>
      </w:r>
      <w:r>
        <w:rPr>
          <w:b/>
          <w:bCs/>
        </w:rPr>
        <w:t xml:space="preserve">Cancillería argentina</w:t>
      </w:r>
      <w:r>
        <w:t xml:space="preserve"> lideró las negociaciones finales, celebrando la firma como un "logro histórico". El proyecto fue enviado al Congreso en sesiones extraordinarias de febrero 2025, con aprobación en la Cámara de Diputados el </w:t>
      </w:r>
      <w:r>
        <w:rPr>
          <w:b/>
          <w:bCs/>
        </w:rPr>
        <w:t xml:space="preserve">12 de febrero de 2026</w:t>
      </w:r>
      <w:r>
        <w:t xml:space="preserve"> (203 votos a favor, 42 en contra). El </w:t>
      </w:r>
      <w:r>
        <w:rPr>
          <w:b/>
          <w:bCs/>
        </w:rPr>
        <w:t xml:space="preserve">Ministerio de Economía</w:t>
      </w:r>
      <w:r>
        <w:t xml:space="preserve"> proyecta atracción de </w:t>
      </w:r>
      <w:r>
        <w:rPr>
          <w:b/>
          <w:bCs/>
        </w:rPr>
        <w:t xml:space="preserve">Inversión Extranjera Directa (IED)</w:t>
      </w:r>
      <w:r>
        <w:t xml:space="preserve"> desde la UE, fortaleciendo balanza de pagos.</w:t>
      </w:r>
    </w:p>
    <w:p>
      <w:pPr>
        <w:spacing w:after="120"/>
        <w:jc w:val="both"/>
      </w:pPr>
      <w:r>
        <w:t xml:space="preserve">Sectores agroexportadores respaldan firmemente el acuerdo. La </w:t>
      </w:r>
      <w:r>
        <w:rPr>
          <w:b/>
          <w:bCs/>
        </w:rPr>
        <w:t xml:space="preserve">Sociedad Rural Argentina (SRA)</w:t>
      </w:r>
      <w:r>
        <w:t xml:space="preserve"> y el </w:t>
      </w:r>
      <w:r>
        <w:rPr>
          <w:b/>
          <w:bCs/>
        </w:rPr>
        <w:t xml:space="preserve">Grupo de los 6</w:t>
      </w:r>
      <w:r>
        <w:t xml:space="preserve"> (incluyendo FAA en su vertiente productiva) ratificaron apoyo, destacando oportunidades para cadenas agroindustriales. Entidades como CIPPEC analizan un potencial puente hacia transformación productiva, con énfasis en bioenergías y servicios del conocimiento.</w:t>
      </w:r>
    </w:p>
    <w:p>
      <w:pPr>
        <w:pStyle w:val="Heading4"/>
        <w:spacing w:before="240" w:after="120"/>
      </w:pPr>
      <w:r>
        <w:t xml:space="preserve">Oposiciones Internas y Externas</w:t>
      </w:r>
    </w:p>
    <w:p>
      <w:pPr>
        <w:spacing w:after="120"/>
        <w:jc w:val="both"/>
      </w:pPr>
      <w:r>
        <w:t xml:space="preserve">Contrasta con resistencias sindicales y ambientales. La </w:t>
      </w:r>
      <w:r>
        <w:rPr>
          <w:b/>
          <w:bCs/>
        </w:rPr>
        <w:t xml:space="preserve">Unión Argentina de Trabajadores Rurales y Estibadores (UATRE)</w:t>
      </w:r>
      <w:r>
        <w:t xml:space="preserve"> y </w:t>
      </w:r>
      <w:r>
        <w:rPr>
          <w:b/>
          <w:bCs/>
        </w:rPr>
        <w:t xml:space="preserve">Federación Agraria Argentina (FAA)</w:t>
      </w:r>
      <w:r>
        <w:t xml:space="preserve"> expresan preocupaciones por impactos laborales en el agro, demandando cláusulas vinculantes de justicia social alineadas con OIT. Greenpeace Argentina y más de </w:t>
      </w:r>
      <w:r>
        <w:rPr>
          <w:b/>
          <w:bCs/>
        </w:rPr>
        <w:t xml:space="preserve">400 organizaciones</w:t>
      </w:r>
      <w:r>
        <w:t xml:space="preserve"> rechazan el pacto por riesgos climáticos, alegando negociaciones con "gobiernos negacionistas" y amenazas a deforestación en el Gran Chaco.</w:t>
      </w:r>
    </w:p>
    <w:p>
      <w:pPr>
        <w:spacing w:after="120"/>
        <w:jc w:val="both"/>
      </w:pPr>
      <w:r>
        <w:t xml:space="preserve">Sindicatos europeos y de Mercosur (CES-CCSCS) piden sanciones por incumplimientos laborales. En Argentina, la UIA y PyMEs advierten sobre empleo industrial, con proyecciones de </w:t>
      </w:r>
      <w:r>
        <w:rPr>
          <w:b/>
          <w:bCs/>
        </w:rPr>
        <w:t xml:space="preserve">pérdida neta</w:t>
      </w:r>
      <w:r>
        <w:t xml:space="preserve"> si no se mitigan asimetrías vía políticas compensatorias.</w:t>
      </w:r>
    </w:p>
    <w:p>
      <w:pPr>
        <w:pStyle w:val="Heading4"/>
        <w:spacing w:before="240" w:after="120"/>
      </w:pPr>
      <w:r>
        <w:t xml:space="preserve">Escenarios Prospectivos</w:t>
      </w:r>
    </w:p>
    <w:p>
      <w:pPr>
        <w:spacing w:after="120"/>
        <w:jc w:val="both"/>
      </w:pPr>
      <w:r>
        <w:t xml:space="preserve">En el </w:t>
      </w:r>
      <w:r>
        <w:rPr>
          <w:b/>
          <w:bCs/>
        </w:rPr>
        <w:t xml:space="preserve">corto plazo</w:t>
      </w:r>
      <w:r>
        <w:t xml:space="preserve">, la ratificación parlamentaria (Senado pendiente) definirá vigencia provisional hacia 2027. Se espera un impulso a exportaciones por </w:t>
      </w:r>
      <w:r>
        <w:rPr>
          <w:b/>
          <w:bCs/>
        </w:rPr>
        <w:t xml:space="preserve">US$4.000 millones anuales</w:t>
      </w:r>
      <w:r>
        <w:t xml:space="preserve"> en agro, según Gobierno. A </w:t>
      </w:r>
      <w:r>
        <w:rPr>
          <w:b/>
          <w:bCs/>
        </w:rPr>
        <w:t xml:space="preserve">mediano plazo</w:t>
      </w:r>
      <w:r>
        <w:t xml:space="preserve">, desafíos regulatorios (Nomenclatura Común del Mercosur - NCM, Decretos 410/21 y 541/19) requerirán adecuaciones, con potencial crecimiento del PBI del </w:t>
      </w:r>
      <w:r>
        <w:rPr>
          <w:b/>
          <w:bCs/>
        </w:rPr>
        <w:t xml:space="preserve">1-2%</w:t>
      </w:r>
      <w:r>
        <w:t xml:space="preserve"> si se resuelven resistencias (CIPPEC). El rol estratégico de Argentina radica en su capacidad para liderar implementación birregional, equilibrando apertura con protección selectiva mediante cupos y salvaguardas.</w:t>
      </w:r>
    </w:p>
    <w:p>
      <w:pPr>
        <w:pStyle w:val="Heading4"/>
        <w:spacing w:before="240" w:after="120"/>
      </w:pPr>
      <w:r>
        <w:t xml:space="preserve">4. Componentes Principales del Acuerdo: Comercio, Inversión y Cooperación</w:t>
      </w:r>
    </w:p>
    <w:p>
      <w:pPr>
        <w:spacing w:after="120"/>
        <w:jc w:val="both"/>
      </w:pPr>
      <w:r>
        <w:t xml:space="preserve">El Acuerdo de Asociación UE-MERCOSUR se estructura en tres pilares fundamentales: </w:t>
      </w:r>
      <w:r>
        <w:rPr>
          <w:b/>
          <w:bCs/>
        </w:rPr>
        <w:t xml:space="preserve">comercial</w:t>
      </w:r>
      <w:r>
        <w:t xml:space="preserve">, </w:t>
      </w:r>
      <w:r>
        <w:rPr>
          <w:b/>
          <w:bCs/>
        </w:rPr>
        <w:t xml:space="preserve">de inversión</w:t>
      </w:r>
      <w:r>
        <w:t xml:space="preserve"> y </w:t>
      </w:r>
      <w:r>
        <w:rPr>
          <w:b/>
          <w:bCs/>
        </w:rPr>
        <w:t xml:space="preserve">de cooperación</w:t>
      </w:r>
      <w:r>
        <w:t xml:space="preserve">. Estos componentes buscan liberalizar el comercio recíproco, promover flujos de inversión directa y fomentar colaboraciones en áreas estratégicas. Según el texto auténtico publicado por la Cancillería argentina, el acuerdo interino comercial cubre la eliminación progresiva de aranceles y barreras no arancelarias, con énfasis en sectores complementarios entre ambas regiones.</w:t>
      </w:r>
    </w:p>
    <w:p>
      <w:pPr>
        <w:spacing w:after="120"/>
        <w:jc w:val="both"/>
      </w:pPr>
      <w:r>
        <w:t xml:space="preserve">El pilar comercial representa el núcleo del acuerdo, con desgravaciones arancelarias asimétricas que benefician las exportaciones agroalimentarias del MERCOSUR y los bienes industriales de la UE. El capítulo de inversiones incorpora mecanismos moderados de protección, mientras que la cooperación aborda desafíos contemporáneos como la sostenibilidad y la digitalización. A continuación, se detalla cada componente con foco en sus implicancias para Argentina.</w:t>
      </w:r>
    </w:p>
    <w:p>
      <w:pPr>
        <w:pStyle w:val="Heading5"/>
        <w:spacing w:before="240" w:after="120"/>
      </w:pPr>
      <w:r>
        <w:t xml:space="preserve">4.1. Pilar Comercial</w:t>
      </w:r>
    </w:p>
    <w:p>
      <w:pPr>
        <w:spacing w:after="120"/>
        <w:jc w:val="both"/>
      </w:pPr>
      <w:r>
        <w:t xml:space="preserve">El pilar comercial establece la </w:t>
      </w:r>
      <w:r>
        <w:rPr>
          <w:b/>
          <w:bCs/>
        </w:rPr>
        <w:t xml:space="preserve">eliminación de aranceles en el 91% de las líneas arancelarias</w:t>
      </w:r>
      <w:r>
        <w:t xml:space="preserve"> para las importaciones del MERCOSUR provenientes de la UE, y en el </w:t>
      </w:r>
      <w:r>
        <w:rPr>
          <w:b/>
          <w:bCs/>
        </w:rPr>
        <w:t xml:space="preserve">92% de las exportaciones del MERCOSUR hacia la UE</w:t>
      </w:r>
      <w:r>
        <w:t xml:space="preserve">, según el resumen informativo elaborado por el Gobierno argentino. La UE otorga acceso inmediato libre de aranceles al </w:t>
      </w:r>
      <w:r>
        <w:rPr>
          <w:b/>
          <w:bCs/>
        </w:rPr>
        <w:t xml:space="preserve">74%</w:t>
      </w:r>
      <w:r>
        <w:t xml:space="preserve"> de las exportaciones del MERCOSUR, elevándose al </w:t>
      </w:r>
      <w:r>
        <w:rPr>
          <w:b/>
          <w:bCs/>
        </w:rPr>
        <w:t xml:space="preserve">92%</w:t>
      </w:r>
      <w:r>
        <w:t xml:space="preserve"> en un plazo de diez años, con cuotas preferenciales para el </w:t>
      </w:r>
      <w:r>
        <w:rPr>
          <w:b/>
          <w:bCs/>
        </w:rPr>
        <w:t xml:space="preserve">7,5%</w:t>
      </w:r>
      <w:r>
        <w:t xml:space="preserve"> restante y exclusión de menos del </w:t>
      </w:r>
      <w:r>
        <w:rPr>
          <w:b/>
          <w:bCs/>
        </w:rPr>
        <w:t xml:space="preserve">1%</w:t>
      </w:r>
      <w:r>
        <w:t xml:space="preserve"> de productos sensibles. En contrapartida, el MERCOSUR excluye el </w:t>
      </w:r>
      <w:r>
        <w:rPr>
          <w:b/>
          <w:bCs/>
        </w:rPr>
        <w:t xml:space="preserve">9%</w:t>
      </w:r>
      <w:r>
        <w:t xml:space="preserve"> de productos sensibles de la desgravación total, preservando sectores industriales estratégicos para Argentina.</w:t>
      </w:r>
    </w:p>
    <w:p>
      <w:pPr>
        <w:spacing w:after="120"/>
        <w:jc w:val="both"/>
      </w:pPr>
      <w:r>
        <w:t xml:space="preserve">Para Argentina, este pilar prioriza las exportaciones agroalimentarias, como </w:t>
      </w:r>
      <w:r>
        <w:rPr>
          <w:b/>
          <w:bCs/>
        </w:rPr>
        <w:t xml:space="preserve">carnes bovinas de alta calidad</w:t>
      </w:r>
      <w:r>
        <w:t xml:space="preserve"> bajo cuotas específicas como la </w:t>
      </w:r>
      <w:r>
        <w:rPr>
          <w:b/>
          <w:bCs/>
        </w:rPr>
        <w:t xml:space="preserve">cuota Hilton</w:t>
      </w:r>
      <w:r>
        <w:t xml:space="preserve">. La cuota Hilton, adjudicada por la Comisión Europea, asigna a Argentina </w:t>
      </w:r>
      <w:r>
        <w:rPr>
          <w:b/>
          <w:bCs/>
        </w:rPr>
        <w:t xml:space="preserve">29.389 toneladas</w:t>
      </w:r>
      <w:r>
        <w:t xml:space="preserve"> anuales, con una ejecución del </w:t>
      </w:r>
      <w:r>
        <w:rPr>
          <w:b/>
          <w:bCs/>
        </w:rPr>
        <w:t xml:space="preserve">69,8%</w:t>
      </w:r>
      <w:r>
        <w:t xml:space="preserve"> al 31 de enero de 2026, según datos de la Cancillería y la Comisión Europea. Las </w:t>
      </w:r>
      <w:r>
        <w:rPr>
          <w:b/>
          <w:bCs/>
        </w:rPr>
        <w:t xml:space="preserve">reglas de origen</w:t>
      </w:r>
      <w:r>
        <w:t xml:space="preserve"> del acuerdo facilitan el cumplimiento para productos argentinos, requiriendo un </w:t>
      </w:r>
      <w:r>
        <w:rPr>
          <w:b/>
          <w:bCs/>
        </w:rPr>
        <w:t xml:space="preserve">60% de valor agregado regional</w:t>
      </w:r>
      <w:r>
        <w:t xml:space="preserve"> para bienes industriales y criterios flexibles para agroalimentarios, alineados con prácticas del MERCOSUR.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Componente</w:t>
            </w:r>
          </w:p>
        </w:tc>
        <w:tc>
          <w:tcPr>
            <w:tcBorders>
              <w:top w:val="single" w:sz="1"/>
              <w:left w:val="single" w:sz="1"/>
              <w:bottom w:val="single" w:sz="1"/>
              <w:right w:val="single" w:sz="1"/>
            </w:tcBorders>
            <w:shd w:fill="E7E6E6"/>
          </w:tcPr>
          <w:p>
            <w:pPr>
              <w:jc w:val="center"/>
            </w:pPr>
            <w:r>
              <w:t xml:space="preserve">UE hacia MERCOSUR</w:t>
            </w:r>
          </w:p>
        </w:tc>
        <w:tc>
          <w:tcPr>
            <w:tcBorders>
              <w:top w:val="single" w:sz="1"/>
              <w:left w:val="single" w:sz="1"/>
              <w:bottom w:val="single" w:sz="1"/>
              <w:right w:val="single" w:sz="1"/>
            </w:tcBorders>
            <w:shd w:fill="E7E6E6"/>
          </w:tcPr>
          <w:p>
            <w:pPr>
              <w:jc w:val="center"/>
            </w:pPr>
            <w:r>
              <w:t xml:space="preserve">MERCOSUR hacia UE</w:t>
            </w:r>
          </w:p>
        </w:tc>
      </w:tr>
      <w:tr>
        <w:tc>
          <w:tcPr>
            <w:tcBorders>
              <w:top w:val="single" w:sz="1"/>
              <w:left w:val="single" w:sz="1"/>
              <w:bottom w:val="single" w:sz="1"/>
              <w:right w:val="single" w:sz="1"/>
            </w:tcBorders>
          </w:tcPr>
          <w:p>
            <w:pPr>
              <w:jc w:val="center"/>
            </w:pPr>
            <w:r>
              <w:t xml:space="preserve">**Desgravación inmediata**</w:t>
            </w:r>
          </w:p>
        </w:tc>
        <w:tc>
          <w:tcPr>
            <w:tcBorders>
              <w:top w:val="single" w:sz="1"/>
              <w:left w:val="single" w:sz="1"/>
              <w:bottom w:val="single" w:sz="1"/>
              <w:right w:val="single" w:sz="1"/>
            </w:tcBorders>
          </w:tcPr>
          <w:p>
            <w:pPr>
              <w:jc w:val="center"/>
            </w:pPr>
            <w:r>
              <w:t xml:space="preserve">91% (excluye 9% sensibles)</w:t>
            </w:r>
          </w:p>
        </w:tc>
        <w:tc>
          <w:tcPr>
            <w:tcBorders>
              <w:top w:val="single" w:sz="1"/>
              <w:left w:val="single" w:sz="1"/>
              <w:bottom w:val="single" w:sz="1"/>
              <w:right w:val="single" w:sz="1"/>
            </w:tcBorders>
          </w:tcPr>
          <w:p>
            <w:pPr>
              <w:jc w:val="center"/>
            </w:pPr>
            <w:r>
              <w:t xml:space="preserve">74%</w:t>
            </w:r>
          </w:p>
        </w:tc>
      </w:tr>
      <w:tr>
        <w:tc>
          <w:tcPr>
            <w:tcBorders>
              <w:top w:val="single" w:sz="1"/>
              <w:left w:val="single" w:sz="1"/>
              <w:bottom w:val="single" w:sz="1"/>
              <w:right w:val="single" w:sz="1"/>
            </w:tcBorders>
          </w:tcPr>
          <w:p>
            <w:pPr>
              <w:jc w:val="center"/>
            </w:pPr>
            <w:r>
              <w:t xml:space="preserve">**Desgravación en 10 años**</w:t>
            </w:r>
          </w:p>
        </w:tc>
        <w:tc>
          <w:tcPr>
            <w:tcBorders>
              <w:top w:val="single" w:sz="1"/>
              <w:left w:val="single" w:sz="1"/>
              <w:bottom w:val="single" w:sz="1"/>
              <w:right w:val="single" w:sz="1"/>
            </w:tcBorders>
          </w:tcPr>
          <w:p>
            <w:pPr>
              <w:jc w:val="center"/>
            </w:pPr>
            <w:r>
              <w:t xml:space="preserve">-</w:t>
            </w:r>
          </w:p>
        </w:tc>
        <w:tc>
          <w:tcPr>
            <w:tcBorders>
              <w:top w:val="single" w:sz="1"/>
              <w:left w:val="single" w:sz="1"/>
              <w:bottom w:val="single" w:sz="1"/>
              <w:right w:val="single" w:sz="1"/>
            </w:tcBorders>
          </w:tcPr>
          <w:p>
            <w:pPr>
              <w:jc w:val="center"/>
            </w:pPr>
            <w:r>
              <w:t xml:space="preserve">92% total</w:t>
            </w:r>
          </w:p>
        </w:tc>
      </w:tr>
      <w:tr>
        <w:tc>
          <w:tcPr>
            <w:tcBorders>
              <w:top w:val="single" w:sz="1"/>
              <w:left w:val="single" w:sz="1"/>
              <w:bottom w:val="single" w:sz="1"/>
              <w:right w:val="single" w:sz="1"/>
            </w:tcBorders>
          </w:tcPr>
          <w:p>
            <w:pPr>
              <w:jc w:val="center"/>
            </w:pPr>
            <w:r>
              <w:t xml:space="preserve">**Cuotas preferenciales**</w:t>
            </w:r>
          </w:p>
        </w:tc>
        <w:tc>
          <w:tcPr>
            <w:tcBorders>
              <w:top w:val="single" w:sz="1"/>
              <w:left w:val="single" w:sz="1"/>
              <w:bottom w:val="single" w:sz="1"/>
              <w:right w:val="single" w:sz="1"/>
            </w:tcBorders>
          </w:tcPr>
          <w:p>
            <w:pPr>
              <w:jc w:val="center"/>
            </w:pPr>
            <w:r>
              <w:t xml:space="preserve">Aplicables a agro MERCOSUR</w:t>
            </w:r>
          </w:p>
        </w:tc>
        <w:tc>
          <w:tcPr>
            <w:tcBorders>
              <w:top w:val="single" w:sz="1"/>
              <w:left w:val="single" w:sz="1"/>
              <w:bottom w:val="single" w:sz="1"/>
              <w:right w:val="single" w:sz="1"/>
            </w:tcBorders>
          </w:tcPr>
          <w:p>
            <w:pPr>
              <w:jc w:val="center"/>
            </w:pPr>
            <w:r>
              <w:t xml:space="preserve">7,5% exportaciones MERCOSUR</w:t>
            </w:r>
          </w:p>
        </w:tc>
      </w:tr>
      <w:tr>
        <w:tc>
          <w:tcPr>
            <w:tcBorders>
              <w:top w:val="single" w:sz="1"/>
              <w:left w:val="single" w:sz="1"/>
              <w:bottom w:val="single" w:sz="1"/>
              <w:right w:val="single" w:sz="1"/>
            </w:tcBorders>
          </w:tcPr>
          <w:p>
            <w:pPr>
              <w:jc w:val="center"/>
            </w:pPr>
            <w:r>
              <w:t xml:space="preserve">**Exclusiones**</w:t>
            </w:r>
          </w:p>
        </w:tc>
        <w:tc>
          <w:tcPr>
            <w:tcBorders>
              <w:top w:val="single" w:sz="1"/>
              <w:left w:val="single" w:sz="1"/>
              <w:bottom w:val="single" w:sz="1"/>
              <w:right w:val="single" w:sz="1"/>
            </w:tcBorders>
          </w:tcPr>
          <w:p>
            <w:pPr>
              <w:jc w:val="center"/>
            </w:pPr>
            <w:r>
              <w:t xml:space="preserve">Productos industriales sensibles (ej. automóviles en 15 años)</w:t>
            </w:r>
          </w:p>
        </w:tc>
        <w:tc>
          <w:tcPr>
            <w:tcBorders>
              <w:top w:val="single" w:sz="1"/>
              <w:left w:val="single" w:sz="1"/>
              <w:bottom w:val="single" w:sz="1"/>
              <w:right w:val="single" w:sz="1"/>
            </w:tcBorders>
          </w:tcPr>
          <w:p>
            <w:pPr>
              <w:jc w:val="center"/>
            </w:pPr>
            <w:r>
              <w:t xml:space="preserve">&lt;1% (ej. azúcar, etanol)</w:t>
            </w:r>
          </w:p>
        </w:tc>
      </w:tr>
    </w:tbl>
    <w:p>
      <w:pPr>
        <w:spacing w:after="120"/>
        <w:jc w:val="both"/>
      </w:pPr>
      <w:r>
        <w:t xml:space="preserve">Fuente: Resumen del Acuerdo MERCOSUR-UE, Cancillería argentina (2026).</w:t>
      </w:r>
    </w:p>
    <w:p>
      <w:pPr>
        <w:spacing w:after="120"/>
        <w:jc w:val="both"/>
      </w:pPr>
      <w:r>
        <w:t xml:space="preserve">Adicionalmente, el acuerdo incluye disciplinas en </w:t>
      </w:r>
      <w:r>
        <w:rPr>
          <w:b/>
          <w:bCs/>
        </w:rPr>
        <w:t xml:space="preserve">sanitarios y fitosanitarios (SPS)</w:t>
      </w:r>
      <w:r>
        <w:t xml:space="preserve"> alineados con la </w:t>
      </w:r>
      <w:r>
        <w:rPr>
          <w:b/>
          <w:bCs/>
        </w:rPr>
        <w:t xml:space="preserve">Resolución GMC 39/19 del MERCOSUR</w:t>
      </w:r>
      <w:r>
        <w:t xml:space="preserve">, que armoniza estándares regionales con los de la UE. Esto elimina barreras técnicas injustificadas, permitiendo mayor acceso para carnes, lácteos y frutas argentinas. Según proyecciones de la Cancillería, estas medidas podrían incrementar las exportaciones argentinas a la UE en sectores agroindustriales en un </w:t>
      </w:r>
      <w:r>
        <w:rPr>
          <w:b/>
          <w:bCs/>
        </w:rPr>
        <w:t xml:space="preserve">20-30%</w:t>
      </w:r>
      <w:r>
        <w:t xml:space="preserve"> en el mediano plazo, complementando cuotas existentes como Hilton.</w:t>
      </w:r>
    </w:p>
    <w:p>
      <w:pPr>
        <w:pStyle w:val="Heading5"/>
        <w:spacing w:before="240" w:after="120"/>
      </w:pPr>
      <w:r>
        <w:t xml:space="preserve">4.2. Capítulo de Inversiones</w:t>
      </w:r>
    </w:p>
    <w:p>
      <w:pPr>
        <w:spacing w:after="120"/>
        <w:jc w:val="both"/>
      </w:pPr>
      <w:r>
        <w:t xml:space="preserve">El capítulo de inversiones promueve la </w:t>
      </w:r>
      <w:r>
        <w:rPr>
          <w:b/>
          <w:bCs/>
        </w:rPr>
        <w:t xml:space="preserve">inversión extranjera directa (IED)</w:t>
      </w:r>
      <w:r>
        <w:t xml:space="preserve"> mediante un marco de protección recíproca, incorporando un </w:t>
      </w:r>
      <w:r>
        <w:rPr>
          <w:b/>
          <w:bCs/>
        </w:rPr>
        <w:t xml:space="preserve">mecanismo de solución de diferencias inversionista-Estado (ISDS) moderado</w:t>
      </w:r>
      <w:r>
        <w:t xml:space="preserve">. Este ISDS limita apelaciones a casos de discriminación manifiesta o expropiación indirecta, excluyendo disputas regulatorias soberanas como políticas ambientales o sanitarias. El acuerdo consolida previsibilidad jurídica, alineándose con el </w:t>
      </w:r>
      <w:r>
        <w:rPr>
          <w:b/>
          <w:bCs/>
        </w:rPr>
        <w:t xml:space="preserve">Régimen de Incentivo para Grandes Inversiones (RIGI)</w:t>
      </w:r>
      <w:r>
        <w:t xml:space="preserve"> argentino, que incentiva IED en sectores estratégicos como minería, energía y agroindustria.</w:t>
      </w:r>
    </w:p>
    <w:p>
      <w:pPr>
        <w:spacing w:after="120"/>
        <w:jc w:val="both"/>
      </w:pPr>
      <w:r>
        <w:t xml:space="preserve">Para Argentina, el texto enfatiza el atractivo como destino de IED europea, con compromisos de </w:t>
      </w:r>
      <w:r>
        <w:rPr>
          <w:b/>
          <w:bCs/>
        </w:rPr>
        <w:t xml:space="preserve">tratamiento nacional y de nación más favorecida</w:t>
      </w:r>
      <w:r>
        <w:t xml:space="preserve"> para inversores UE. Según la Cancillería, el acuerdo actúa como </w:t>
      </w:r>
      <w:r>
        <w:rPr>
          <w:b/>
          <w:bCs/>
        </w:rPr>
        <w:t xml:space="preserve">anclaje institucional</w:t>
      </w:r>
      <w:r>
        <w:t xml:space="preserve">, reforzando flujos de capital en cadenas de valor globales. Plazos de desgravación para insumos importados reducen costos de producción, beneficiando proyectos de </w:t>
      </w:r>
      <w:r>
        <w:rPr>
          <w:b/>
          <w:bCs/>
        </w:rPr>
        <w:t xml:space="preserve">transición energética</w:t>
      </w:r>
      <w:r>
        <w:t xml:space="preserve"> y </w:t>
      </w:r>
      <w:r>
        <w:rPr>
          <w:b/>
          <w:bCs/>
        </w:rPr>
        <w:t xml:space="preserve">manufactura avanzada</w:t>
      </w:r>
      <w:r>
        <w:t xml:space="preserve">. Se estima un aumento del </w:t>
      </w:r>
      <w:r>
        <w:rPr>
          <w:b/>
          <w:bCs/>
        </w:rPr>
        <w:t xml:space="preserve">15%</w:t>
      </w:r>
      <w:r>
        <w:t xml:space="preserve"> en IED europea hacia Argentina en cinco años, basado en experiencias de acuerdos similares.</w:t>
      </w:r>
    </w:p>
    <w:p>
      <w:pPr>
        <w:spacing w:after="120"/>
        <w:jc w:val="both"/>
      </w:pPr>
      <w:r>
        <w:t xml:space="preserve">El ISDS moderado responde a preocupaciones argentinas por soberanía, permitiendo exclusiones para medidas de interés público. Esto equilibra protección inversora con flexibilidad regulatoria, como en políticas de sustitución de importaciones selectivas.</w:t>
      </w:r>
    </w:p>
    <w:p>
      <w:pPr>
        <w:pStyle w:val="Heading5"/>
        <w:spacing w:before="240" w:after="120"/>
      </w:pPr>
      <w:r>
        <w:t xml:space="preserve">4.3. Pilar de Cooperación</w:t>
      </w:r>
    </w:p>
    <w:p>
      <w:pPr>
        <w:spacing w:after="120"/>
        <w:jc w:val="both"/>
      </w:pPr>
      <w:r>
        <w:t xml:space="preserve">El pilar de cooperación abarca </w:t>
      </w:r>
      <w:r>
        <w:rPr>
          <w:b/>
          <w:bCs/>
        </w:rPr>
        <w:t xml:space="preserve">transición verde</w:t>
      </w:r>
      <w:r>
        <w:t xml:space="preserve">, </w:t>
      </w:r>
      <w:r>
        <w:rPr>
          <w:b/>
          <w:bCs/>
        </w:rPr>
        <w:t xml:space="preserve">digitalización</w:t>
      </w:r>
      <w:r>
        <w:t xml:space="preserve"> y </w:t>
      </w:r>
      <w:r>
        <w:rPr>
          <w:b/>
          <w:bCs/>
        </w:rPr>
        <w:t xml:space="preserve">apoyo a PYMES</w:t>
      </w:r>
      <w:r>
        <w:t xml:space="preserve">, con compromisos no vinculantes pero estratégicos. En </w:t>
      </w:r>
      <w:r>
        <w:rPr>
          <w:b/>
          <w:bCs/>
        </w:rPr>
        <w:t xml:space="preserve">transición verde</w:t>
      </w:r>
      <w:r>
        <w:t xml:space="preserve">, se prevén diálogos sobre economía circular, deforestación cero y energías renovables, alineados con el Pacto Verde Europeo. Argentina se beneficia de transferencia tecnológica en hidrógeno verde y biocombustibles, sectores clave para su matriz exportadora.</w:t>
      </w:r>
    </w:p>
    <w:p>
      <w:pPr>
        <w:spacing w:after="120"/>
        <w:jc w:val="both"/>
      </w:pPr>
      <w:r>
        <w:t xml:space="preserve">La </w:t>
      </w:r>
      <w:r>
        <w:rPr>
          <w:b/>
          <w:bCs/>
        </w:rPr>
        <w:t xml:space="preserve">cooperación digital</w:t>
      </w:r>
      <w:r>
        <w:t xml:space="preserve"> incluye armonización de estándares en comercio electrónico, ciberseguridad y datos, facilitando exportaciones de servicios argentinos como software. Para </w:t>
      </w:r>
      <w:r>
        <w:rPr>
          <w:b/>
          <w:bCs/>
        </w:rPr>
        <w:t xml:space="preserve">PYMES</w:t>
      </w:r>
      <w:r>
        <w:t xml:space="preserve">, el acuerdo establece portales de información, reducción de costos administrativos y programas de capacitación conjunta, con foco en integración a cadenas globales. Según el Comunicado Conjunto de la firma (2024), estos ejes fortalecen la competitividad argentina, proyectando un impacto positivo en </w:t>
      </w:r>
      <w:r>
        <w:rPr>
          <w:b/>
          <w:bCs/>
        </w:rPr>
        <w:t xml:space="preserve">10-15%</w:t>
      </w:r>
      <w:r>
        <w:t xml:space="preserve"> de PYMES exportadoras.</w:t>
      </w:r>
    </w:p>
    <w:p>
      <w:pPr>
        <w:spacing w:after="120"/>
        <w:jc w:val="both"/>
      </w:pPr>
      <w:r>
        <w:t xml:space="preserve">• </w:t>
      </w:r>
      <w:r>
        <w:rPr>
          <w:b/>
          <w:bCs/>
        </w:rPr>
        <w:t xml:space="preserve">Transición verde</w:t>
      </w:r>
      <w:r>
        <w:t xml:space="preserve">: Diálogos bilaterales y multilaterales para sostenibilidad, excluyendo sanciones por incumplimiento. • </w:t>
      </w:r>
      <w:r>
        <w:rPr>
          <w:b/>
          <w:bCs/>
        </w:rPr>
        <w:t xml:space="preserve">Digital</w:t>
      </w:r>
      <w:r>
        <w:t xml:space="preserve">: Reconocimiento mutuo de firmas electrónicas y facilitación de pagos transfronterizos. • </w:t>
      </w:r>
      <w:r>
        <w:rPr>
          <w:b/>
          <w:bCs/>
        </w:rPr>
        <w:t xml:space="preserve">PYMES</w:t>
      </w:r>
      <w:r>
        <w:t xml:space="preserve">: Asistencia técnica y transparencia en procedimientos aduaneros.</w:t>
      </w:r>
    </w:p>
    <w:p>
      <w:pPr>
        <w:spacing w:after="120"/>
        <w:jc w:val="both"/>
      </w:pPr>
      <w:r>
        <w:t xml:space="preserve">Estos componentes se interrelacionan: la liberalización comercial amplifica inversiones, mientras la cooperación mitiga riesgos ambientales y digitales. En el contexto argentino, alinean con la </w:t>
      </w:r>
      <w:r>
        <w:rPr>
          <w:b/>
          <w:bCs/>
        </w:rPr>
        <w:t xml:space="preserve">Resolución 237/2024</w:t>
      </w:r>
      <w:r>
        <w:t xml:space="preserve"> y estrategias de inserción internacional, posicionando al país como puente entre bloques emergentes y desarrollados.</w:t>
      </w:r>
    </w:p>
    <w:p>
      <w:pPr>
        <w:spacing w:after="120"/>
        <w:jc w:val="both"/>
      </w:pPr>
      <w:r>
        <w:t xml:space="preserve">El acuerdo, firmado políticamente el </w:t>
      </w:r>
      <w:r>
        <w:rPr>
          <w:b/>
          <w:bCs/>
        </w:rPr>
        <w:t xml:space="preserve">6 de diciembre de 2024</w:t>
      </w:r>
      <w:r>
        <w:t xml:space="preserve"> y en revisión legal, requiere ratificación por el Congreso argentino, aprobado en Diputados el </w:t>
      </w:r>
      <w:r>
        <w:rPr>
          <w:b/>
          <w:bCs/>
        </w:rPr>
        <w:t xml:space="preserve">12 de febrero de 2026</w:t>
      </w:r>
      <w:r>
        <w:t xml:space="preserve"> con </w:t>
      </w:r>
      <w:r>
        <w:rPr>
          <w:b/>
          <w:bCs/>
        </w:rPr>
        <w:t xml:space="preserve">203 votos a favor</w:t>
      </w:r>
      <w:r>
        <w:t xml:space="preserve">. Su implementación gradual (10-15 años) permite ajustes sectoriales, preservando herramientas como cuotas Hilton y SPS regionales.</w:t>
      </w:r>
    </w:p>
    <w:p>
      <w:pPr>
        <w:pStyle w:val="Heading2"/>
        <w:spacing w:before="240" w:after="120"/>
      </w:pPr>
      <w:r>
        <w:t xml:space="preserve">5. Implicancias Económicas, Políticas y Sectoriales para Argentina</w:t>
      </w:r>
    </w:p>
    <w:p>
      <w:pPr>
        <w:spacing w:after="120"/>
        <w:jc w:val="both"/>
      </w:pPr>
      <w:r>
        <w:t xml:space="preserve">El </w:t>
      </w:r>
      <w:r>
        <w:rPr>
          <w:b/>
          <w:bCs/>
        </w:rPr>
        <w:t xml:space="preserve">Acuerdo de Asociación UE-Mercosur</w:t>
      </w:r>
      <w:r>
        <w:t xml:space="preserve">, alcanzado políticamente el 6 de diciembre de 2024, genera impactos diferenciados para la economía argentina. Según proyecciones de la </w:t>
      </w:r>
      <w:r>
        <w:rPr>
          <w:b/>
          <w:bCs/>
        </w:rPr>
        <w:t xml:space="preserve">Unión Industrial Argentina (UIA)</w:t>
      </w:r>
      <w:r>
        <w:t xml:space="preserve"> y datos del </w:t>
      </w:r>
      <w:r>
        <w:rPr>
          <w:b/>
          <w:bCs/>
        </w:rPr>
        <w:t xml:space="preserve">Instituto Nacional de Estadística y Censos (INDEC)</w:t>
      </w:r>
      <w:r>
        <w:t xml:space="preserve"> para 2025, se estima una </w:t>
      </w:r>
      <w:r>
        <w:rPr>
          <w:b/>
          <w:bCs/>
        </w:rPr>
        <w:t xml:space="preserve">ganancia neta de USD 5.000 a 8.000 millones anuales en exportaciones argentinas</w:t>
      </w:r>
      <w:r>
        <w:t xml:space="preserve"> hacia la UE, impulsada por la liberalización arancelaria en sectores clave. No obstante, surgen riesgos asociados a un incremento en importaciones industriales y potenciales efectos indirectos del </w:t>
      </w:r>
      <w:r>
        <w:rPr>
          <w:b/>
          <w:bCs/>
        </w:rPr>
        <w:t xml:space="preserve">dumping chino</w:t>
      </w:r>
      <w:r>
        <w:t xml:space="preserve">, mitigados parcialmente por medidas antidumping en la UE.</w:t>
      </w:r>
    </w:p>
    <w:p>
      <w:pPr>
        <w:pStyle w:val="Heading3"/>
        <w:spacing w:before="240" w:after="120"/>
      </w:pPr>
      <w:r>
        <w:t xml:space="preserve">5.1 Implicancias Económicas</w:t>
      </w:r>
    </w:p>
    <w:p>
      <w:pPr>
        <w:spacing w:after="120"/>
        <w:jc w:val="both"/>
      </w:pPr>
      <w:r>
        <w:t xml:space="preserve">El acuerdo prevé la eliminación progresiva de aranceles en más del 90% del comercio bilateral, lo que beneficiaría las exportaciones argentinas de </w:t>
      </w:r>
      <w:r>
        <w:rPr>
          <w:b/>
          <w:bCs/>
        </w:rPr>
        <w:t xml:space="preserve">carne bovina, soja, vinos y biocombustibles</w:t>
      </w:r>
      <w:r>
        <w:t xml:space="preserve"> hacia un mercado de 450 millones de consumidores. De acuerdo con el INDEC, el intercambio comercial argentino mostró un crecimiento sostenido en 2025: en enero, las exportaciones alcanzaron </w:t>
      </w:r>
      <w:r>
        <w:rPr>
          <w:b/>
          <w:bCs/>
        </w:rPr>
        <w:t xml:space="preserve">USD 5.890 millones</w:t>
      </w:r>
      <w:r>
        <w:t xml:space="preserve"> (+9,1% interanual) y las importaciones </w:t>
      </w:r>
      <w:r>
        <w:rPr>
          <w:b/>
          <w:bCs/>
        </w:rPr>
        <w:t xml:space="preserve">USD 5.748 millones</w:t>
      </w:r>
      <w:r>
        <w:t xml:space="preserve"> (+24,6% i.a.), resultando en un saldo comercial positivo de </w:t>
      </w:r>
      <w:r>
        <w:rPr>
          <w:b/>
          <w:bCs/>
        </w:rPr>
        <w:t xml:space="preserve">USD 142 millones</w:t>
      </w:r>
      <w:r>
        <w:t xml:space="preserve">. Esta dinámica se replicó en meses posteriores, con exportaciones de </w:t>
      </w:r>
      <w:r>
        <w:rPr>
          <w:b/>
          <w:bCs/>
        </w:rPr>
        <w:t xml:space="preserve">USD 6.329 millones</w:t>
      </w:r>
      <w:r>
        <w:t xml:space="preserve"> en marzo (+14,0% en el intercambio total) y </w:t>
      </w:r>
      <w:r>
        <w:rPr>
          <w:b/>
          <w:bCs/>
        </w:rPr>
        <w:t xml:space="preserve">USD 7.865 millones</w:t>
      </w:r>
      <w:r>
        <w:t xml:space="preserve"> en agosto (+23,1% i.a.), reflejando una balanza comercial acumulada favorable.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shd w:fill="E7E6E6"/>
          </w:tcPr>
          <w:p>
            <w:pPr>
              <w:jc w:val="center"/>
            </w:pPr>
            <w:r>
              <w:t xml:space="preserve">Mes/Año</w:t>
            </w:r>
          </w:p>
        </w:tc>
        <w:tc>
          <w:tcPr>
            <w:tcBorders>
              <w:top w:val="single" w:sz="1"/>
              <w:left w:val="single" w:sz="1"/>
              <w:bottom w:val="single" w:sz="1"/>
              <w:right w:val="single" w:sz="1"/>
            </w:tcBorders>
            <w:shd w:fill="E7E6E6"/>
          </w:tcPr>
          <w:p>
            <w:pPr>
              <w:jc w:val="center"/>
            </w:pPr>
            <w:r>
              <w:t xml:space="preserve">Exportaciones (USD millones)</w:t>
            </w:r>
          </w:p>
        </w:tc>
        <w:tc>
          <w:tcPr>
            <w:tcBorders>
              <w:top w:val="single" w:sz="1"/>
              <w:left w:val="single" w:sz="1"/>
              <w:bottom w:val="single" w:sz="1"/>
              <w:right w:val="single" w:sz="1"/>
            </w:tcBorders>
            <w:shd w:fill="E7E6E6"/>
          </w:tcPr>
          <w:p>
            <w:pPr>
              <w:jc w:val="center"/>
            </w:pPr>
            <w:r>
              <w:t xml:space="preserve">Importaciones (USD millones)</w:t>
            </w:r>
          </w:p>
        </w:tc>
        <w:tc>
          <w:tcPr>
            <w:tcBorders>
              <w:top w:val="single" w:sz="1"/>
              <w:left w:val="single" w:sz="1"/>
              <w:bottom w:val="single" w:sz="1"/>
              <w:right w:val="single" w:sz="1"/>
            </w:tcBorders>
            <w:shd w:fill="E7E6E6"/>
          </w:tcPr>
          <w:p>
            <w:pPr>
              <w:jc w:val="center"/>
            </w:pPr>
            <w:r>
              <w:t xml:space="preserve">Intercambio Total (USD millones)</w:t>
            </w:r>
          </w:p>
        </w:tc>
        <w:tc>
          <w:tcPr>
            <w:tcBorders>
              <w:top w:val="single" w:sz="1"/>
              <w:left w:val="single" w:sz="1"/>
              <w:bottom w:val="single" w:sz="1"/>
              <w:right w:val="single" w:sz="1"/>
            </w:tcBorders>
            <w:shd w:fill="E7E6E6"/>
          </w:tcPr>
          <w:p>
            <w:pPr>
              <w:jc w:val="center"/>
            </w:pPr>
            <w:r>
              <w:t xml:space="preserve">Variación Interanual Intercambio (%)</w:t>
            </w:r>
          </w:p>
        </w:tc>
      </w:tr>
      <w:tr>
        <w:tc>
          <w:tcPr>
            <w:tcBorders>
              <w:top w:val="single" w:sz="1"/>
              <w:left w:val="single" w:sz="1"/>
              <w:bottom w:val="single" w:sz="1"/>
              <w:right w:val="single" w:sz="1"/>
            </w:tcBorders>
          </w:tcPr>
          <w:p>
            <w:pPr>
              <w:jc w:val="center"/>
            </w:pPr>
            <w:r>
              <w:t xml:space="preserve">Enero 2025</w:t>
            </w:r>
          </w:p>
        </w:tc>
        <w:tc>
          <w:tcPr>
            <w:tcBorders>
              <w:top w:val="single" w:sz="1"/>
              <w:left w:val="single" w:sz="1"/>
              <w:bottom w:val="single" w:sz="1"/>
              <w:right w:val="single" w:sz="1"/>
            </w:tcBorders>
          </w:tcPr>
          <w:p>
            <w:pPr>
              <w:jc w:val="center"/>
            </w:pPr>
            <w:r>
              <w:t xml:space="preserve">5.890</w:t>
            </w:r>
          </w:p>
        </w:tc>
        <w:tc>
          <w:tcPr>
            <w:tcBorders>
              <w:top w:val="single" w:sz="1"/>
              <w:left w:val="single" w:sz="1"/>
              <w:bottom w:val="single" w:sz="1"/>
              <w:right w:val="single" w:sz="1"/>
            </w:tcBorders>
          </w:tcPr>
          <w:p>
            <w:pPr>
              <w:jc w:val="center"/>
            </w:pPr>
            <w:r>
              <w:t xml:space="preserve">5.748</w:t>
            </w:r>
          </w:p>
        </w:tc>
        <w:tc>
          <w:tcPr>
            <w:tcBorders>
              <w:top w:val="single" w:sz="1"/>
              <w:left w:val="single" w:sz="1"/>
              <w:bottom w:val="single" w:sz="1"/>
              <w:right w:val="single" w:sz="1"/>
            </w:tcBorders>
          </w:tcPr>
          <w:p>
            <w:pPr>
              <w:jc w:val="center"/>
            </w:pPr>
            <w:r>
              <w:t xml:space="preserve">11.638</w:t>
            </w:r>
          </w:p>
        </w:tc>
        <w:tc>
          <w:tcPr>
            <w:tcBorders>
              <w:top w:val="single" w:sz="1"/>
              <w:left w:val="single" w:sz="1"/>
              <w:bottom w:val="single" w:sz="1"/>
              <w:right w:val="single" w:sz="1"/>
            </w:tcBorders>
          </w:tcPr>
          <w:p>
            <w:pPr>
              <w:jc w:val="center"/>
            </w:pPr>
            <w:r>
              <w:t xml:space="preserve">+16,3</w:t>
            </w:r>
          </w:p>
        </w:tc>
      </w:tr>
      <w:tr>
        <w:tc>
          <w:tcPr>
            <w:tcBorders>
              <w:top w:val="single" w:sz="1"/>
              <w:left w:val="single" w:sz="1"/>
              <w:bottom w:val="single" w:sz="1"/>
              <w:right w:val="single" w:sz="1"/>
            </w:tcBorders>
          </w:tcPr>
          <w:p>
            <w:pPr>
              <w:jc w:val="center"/>
            </w:pPr>
            <w:r>
              <w:t xml:space="preserve">Febrero 2025</w:t>
            </w:r>
          </w:p>
        </w:tc>
        <w:tc>
          <w:tcPr>
            <w:tcBorders>
              <w:top w:val="single" w:sz="1"/>
              <w:left w:val="single" w:sz="1"/>
              <w:bottom w:val="single" w:sz="1"/>
              <w:right w:val="single" w:sz="1"/>
            </w:tcBorders>
          </w:tcPr>
          <w:p>
            <w:pPr>
              <w:jc w:val="center"/>
            </w:pPr>
            <w:r>
              <w:t xml:space="preserve">6.092</w:t>
            </w:r>
          </w:p>
        </w:tc>
        <w:tc>
          <w:tcPr>
            <w:tcBorders>
              <w:top w:val="single" w:sz="1"/>
              <w:left w:val="single" w:sz="1"/>
              <w:bottom w:val="single" w:sz="1"/>
              <w:right w:val="single" w:sz="1"/>
            </w:tcBorders>
          </w:tcPr>
          <w:p>
            <w:pPr>
              <w:jc w:val="center"/>
            </w:pPr>
            <w:r>
              <w:t xml:space="preserve">5.864</w:t>
            </w:r>
          </w:p>
        </w:tc>
        <w:tc>
          <w:tcPr>
            <w:tcBorders>
              <w:top w:val="single" w:sz="1"/>
              <w:left w:val="single" w:sz="1"/>
              <w:bottom w:val="single" w:sz="1"/>
              <w:right w:val="single" w:sz="1"/>
            </w:tcBorders>
          </w:tcPr>
          <w:p>
            <w:pPr>
              <w:jc w:val="center"/>
            </w:pPr>
            <w:r>
              <w:t xml:space="preserve">11.956</w:t>
            </w:r>
          </w:p>
        </w:tc>
        <w:tc>
          <w:tcPr>
            <w:tcBorders>
              <w:top w:val="single" w:sz="1"/>
              <w:left w:val="single" w:sz="1"/>
              <w:bottom w:val="single" w:sz="1"/>
              <w:right w:val="single" w:sz="1"/>
            </w:tcBorders>
          </w:tcPr>
          <w:p>
            <w:pPr>
              <w:jc w:val="center"/>
            </w:pPr>
            <w:r>
              <w:t xml:space="preserve">+23,9</w:t>
            </w:r>
          </w:p>
        </w:tc>
      </w:tr>
      <w:tr>
        <w:tc>
          <w:tcPr>
            <w:tcBorders>
              <w:top w:val="single" w:sz="1"/>
              <w:left w:val="single" w:sz="1"/>
              <w:bottom w:val="single" w:sz="1"/>
              <w:right w:val="single" w:sz="1"/>
            </w:tcBorders>
          </w:tcPr>
          <w:p>
            <w:pPr>
              <w:jc w:val="center"/>
            </w:pPr>
            <w:r>
              <w:t xml:space="preserve">Marzo 2025</w:t>
            </w:r>
          </w:p>
        </w:tc>
        <w:tc>
          <w:tcPr>
            <w:tcBorders>
              <w:top w:val="single" w:sz="1"/>
              <w:left w:val="single" w:sz="1"/>
              <w:bottom w:val="single" w:sz="1"/>
              <w:right w:val="single" w:sz="1"/>
            </w:tcBorders>
          </w:tcPr>
          <w:p>
            <w:pPr>
              <w:jc w:val="center"/>
            </w:pPr>
            <w:r>
              <w:t xml:space="preserve">6.329</w:t>
            </w:r>
          </w:p>
        </w:tc>
        <w:tc>
          <w:tcPr>
            <w:tcBorders>
              <w:top w:val="single" w:sz="1"/>
              <w:left w:val="single" w:sz="1"/>
              <w:bottom w:val="single" w:sz="1"/>
              <w:right w:val="single" w:sz="1"/>
            </w:tcBorders>
          </w:tcPr>
          <w:p>
            <w:pPr>
              <w:jc w:val="center"/>
            </w:pPr>
            <w:r>
              <w:t xml:space="preserve">6.006</w:t>
            </w:r>
          </w:p>
        </w:tc>
        <w:tc>
          <w:tcPr>
            <w:tcBorders>
              <w:top w:val="single" w:sz="1"/>
              <w:left w:val="single" w:sz="1"/>
              <w:bottom w:val="single" w:sz="1"/>
              <w:right w:val="single" w:sz="1"/>
            </w:tcBorders>
          </w:tcPr>
          <w:p>
            <w:pPr>
              <w:jc w:val="center"/>
            </w:pPr>
            <w:r>
              <w:t xml:space="preserve">12.334</w:t>
            </w:r>
          </w:p>
        </w:tc>
        <w:tc>
          <w:tcPr>
            <w:tcBorders>
              <w:top w:val="single" w:sz="1"/>
              <w:left w:val="single" w:sz="1"/>
              <w:bottom w:val="single" w:sz="1"/>
              <w:right w:val="single" w:sz="1"/>
            </w:tcBorders>
          </w:tcPr>
          <w:p>
            <w:pPr>
              <w:jc w:val="center"/>
            </w:pPr>
            <w:r>
              <w:t xml:space="preserve">+14,0</w:t>
            </w:r>
          </w:p>
        </w:tc>
      </w:tr>
      <w:tr>
        <w:tc>
          <w:tcPr>
            <w:tcBorders>
              <w:top w:val="single" w:sz="1"/>
              <w:left w:val="single" w:sz="1"/>
              <w:bottom w:val="single" w:sz="1"/>
              <w:right w:val="single" w:sz="1"/>
            </w:tcBorders>
          </w:tcPr>
          <w:p>
            <w:pPr>
              <w:jc w:val="center"/>
            </w:pPr>
            <w:r>
              <w:t xml:space="preserve">Mayo 2025</w:t>
            </w:r>
          </w:p>
        </w:tc>
        <w:tc>
          <w:tcPr>
            <w:tcBorders>
              <w:top w:val="single" w:sz="1"/>
              <w:left w:val="single" w:sz="1"/>
              <w:bottom w:val="single" w:sz="1"/>
              <w:right w:val="single" w:sz="1"/>
            </w:tcBorders>
          </w:tcPr>
          <w:p>
            <w:pPr>
              <w:jc w:val="center"/>
            </w:pPr>
            <w:r>
              <w:t xml:space="preserve">7.095</w:t>
            </w:r>
          </w:p>
        </w:tc>
        <w:tc>
          <w:tcPr>
            <w:tcBorders>
              <w:top w:val="single" w:sz="1"/>
              <w:left w:val="single" w:sz="1"/>
              <w:bottom w:val="single" w:sz="1"/>
              <w:right w:val="single" w:sz="1"/>
            </w:tcBorders>
          </w:tcPr>
          <w:p>
            <w:pPr>
              <w:jc w:val="center"/>
            </w:pPr>
            <w:r>
              <w:t xml:space="preserve">6.488</w:t>
            </w:r>
          </w:p>
        </w:tc>
        <w:tc>
          <w:tcPr>
            <w:tcBorders>
              <w:top w:val="single" w:sz="1"/>
              <w:left w:val="single" w:sz="1"/>
              <w:bottom w:val="single" w:sz="1"/>
              <w:right w:val="single" w:sz="1"/>
            </w:tcBorders>
          </w:tcPr>
          <w:p>
            <w:pPr>
              <w:jc w:val="center"/>
            </w:pPr>
            <w:r>
              <w:t xml:space="preserve">13.583</w:t>
            </w:r>
          </w:p>
        </w:tc>
        <w:tc>
          <w:tcPr>
            <w:tcBorders>
              <w:top w:val="single" w:sz="1"/>
              <w:left w:val="single" w:sz="1"/>
              <w:bottom w:val="single" w:sz="1"/>
              <w:right w:val="single" w:sz="1"/>
            </w:tcBorders>
          </w:tcPr>
          <w:p>
            <w:pPr>
              <w:jc w:val="center"/>
            </w:pPr>
            <w:r>
              <w:t xml:space="preserve">+7,1</w:t>
            </w:r>
          </w:p>
        </w:tc>
      </w:tr>
      <w:tr>
        <w:tc>
          <w:tcPr>
            <w:tcBorders>
              <w:top w:val="single" w:sz="1"/>
              <w:left w:val="single" w:sz="1"/>
              <w:bottom w:val="single" w:sz="1"/>
              <w:right w:val="single" w:sz="1"/>
            </w:tcBorders>
          </w:tcPr>
          <w:p>
            <w:pPr>
              <w:jc w:val="center"/>
            </w:pPr>
            <w:r>
              <w:t xml:space="preserve">Julio 2025</w:t>
            </w:r>
          </w:p>
        </w:tc>
        <w:tc>
          <w:tcPr>
            <w:tcBorders>
              <w:top w:val="single" w:sz="1"/>
              <w:left w:val="single" w:sz="1"/>
              <w:bottom w:val="single" w:sz="1"/>
              <w:right w:val="single" w:sz="1"/>
            </w:tcBorders>
          </w:tcPr>
          <w:p>
            <w:pPr>
              <w:jc w:val="center"/>
            </w:pPr>
            <w:r>
              <w:t xml:space="preserve">7.727</w:t>
            </w:r>
          </w:p>
        </w:tc>
        <w:tc>
          <w:tcPr>
            <w:tcBorders>
              <w:top w:val="single" w:sz="1"/>
              <w:left w:val="single" w:sz="1"/>
              <w:bottom w:val="single" w:sz="1"/>
              <w:right w:val="single" w:sz="1"/>
            </w:tcBorders>
          </w:tcPr>
          <w:p>
            <w:pPr>
              <w:jc w:val="center"/>
            </w:pPr>
            <w:r>
              <w:t xml:space="preserve">6.738</w:t>
            </w:r>
          </w:p>
        </w:tc>
        <w:tc>
          <w:tcPr>
            <w:tcBorders>
              <w:top w:val="single" w:sz="1"/>
              <w:left w:val="single" w:sz="1"/>
              <w:bottom w:val="single" w:sz="1"/>
              <w:right w:val="single" w:sz="1"/>
            </w:tcBorders>
          </w:tcPr>
          <w:p>
            <w:pPr>
              <w:jc w:val="center"/>
            </w:pPr>
            <w:r>
              <w:t xml:space="preserve">14.465</w:t>
            </w:r>
          </w:p>
        </w:tc>
        <w:tc>
          <w:tcPr>
            <w:tcBorders>
              <w:top w:val="single" w:sz="1"/>
              <w:left w:val="single" w:sz="1"/>
              <w:bottom w:val="single" w:sz="1"/>
              <w:right w:val="single" w:sz="1"/>
            </w:tcBorders>
          </w:tcPr>
          <w:p>
            <w:pPr>
              <w:jc w:val="center"/>
            </w:pPr>
            <w:r>
              <w:t xml:space="preserve">+12,0</w:t>
            </w:r>
          </w:p>
        </w:tc>
      </w:tr>
      <w:tr>
        <w:tc>
          <w:tcPr>
            <w:tcBorders>
              <w:top w:val="single" w:sz="1"/>
              <w:left w:val="single" w:sz="1"/>
              <w:bottom w:val="single" w:sz="1"/>
              <w:right w:val="single" w:sz="1"/>
            </w:tcBorders>
          </w:tcPr>
          <w:p>
            <w:pPr>
              <w:jc w:val="center"/>
            </w:pPr>
            <w:r>
              <w:t xml:space="preserve">Agosto 2025</w:t>
            </w:r>
          </w:p>
        </w:tc>
        <w:tc>
          <w:tcPr>
            <w:tcBorders>
              <w:top w:val="single" w:sz="1"/>
              <w:left w:val="single" w:sz="1"/>
              <w:bottom w:val="single" w:sz="1"/>
              <w:right w:val="single" w:sz="1"/>
            </w:tcBorders>
          </w:tcPr>
          <w:p>
            <w:pPr>
              <w:jc w:val="center"/>
            </w:pPr>
            <w:r>
              <w:t xml:space="preserve">7.865</w:t>
            </w:r>
          </w:p>
        </w:tc>
        <w:tc>
          <w:tcPr>
            <w:tcBorders>
              <w:top w:val="single" w:sz="1"/>
              <w:left w:val="single" w:sz="1"/>
              <w:bottom w:val="single" w:sz="1"/>
              <w:right w:val="single" w:sz="1"/>
            </w:tcBorders>
          </w:tcPr>
          <w:p>
            <w:pPr>
              <w:jc w:val="center"/>
            </w:pPr>
            <w:r>
              <w:t xml:space="preserve">6.463</w:t>
            </w:r>
          </w:p>
        </w:tc>
        <w:tc>
          <w:tcPr>
            <w:tcBorders>
              <w:top w:val="single" w:sz="1"/>
              <w:left w:val="single" w:sz="1"/>
              <w:bottom w:val="single" w:sz="1"/>
              <w:right w:val="single" w:sz="1"/>
            </w:tcBorders>
          </w:tcPr>
          <w:p>
            <w:pPr>
              <w:jc w:val="center"/>
            </w:pPr>
            <w:r>
              <w:t xml:space="preserve">14.327</w:t>
            </w:r>
          </w:p>
        </w:tc>
        <w:tc>
          <w:tcPr>
            <w:tcBorders>
              <w:top w:val="single" w:sz="1"/>
              <w:left w:val="single" w:sz="1"/>
              <w:bottom w:val="single" w:sz="1"/>
              <w:right w:val="single" w:sz="1"/>
            </w:tcBorders>
          </w:tcPr>
          <w:p>
            <w:pPr>
              <w:jc w:val="center"/>
            </w:pPr>
            <w:r>
              <w:t xml:space="preserve">+23,1</w:t>
            </w:r>
          </w:p>
        </w:tc>
      </w:tr>
    </w:tbl>
    <w:p>
      <w:pPr>
        <w:spacing w:after="120"/>
        <w:jc w:val="both"/>
      </w:pPr>
      <w:r>
        <w:rPr>
          <w:i/>
          <w:iCs/>
        </w:rPr>
        <w:t xml:space="preserve">Fuente: INDEC, informes mensuales de intercambio comercial argentino (2025).</w:t>
      </w:r>
    </w:p>
    <w:p>
      <w:pPr>
        <w:spacing w:after="120"/>
        <w:jc w:val="both"/>
      </w:pPr>
      <w:r>
        <w:t xml:space="preserve">En el corto plazo (2025-2027), se espera un impulso a los </w:t>
      </w:r>
      <w:r>
        <w:rPr>
          <w:b/>
          <w:bCs/>
        </w:rPr>
        <w:t xml:space="preserve">encadenamientos productivos</w:t>
      </w:r>
      <w:r>
        <w:t xml:space="preserve"> mediante mayor acceso a bienes de capital europeos, fortaleciendo la competitividad industrial argentina. Proyecciones de la UIA indican que el acuerdo podría elevar las exportaciones agroindustriales en un </w:t>
      </w:r>
      <w:r>
        <w:rPr>
          <w:b/>
          <w:bCs/>
        </w:rPr>
        <w:t xml:space="preserve">30-50%</w:t>
      </w:r>
      <w:r>
        <w:t xml:space="preserve"> hacia la UE en el mediano plazo, compensando parcialmente la caída interanual en índices de precios de exportaciones observada por el INDEC (-1,6% en el cuarto trimestre de 2025). Sin embargo, el aumento en importaciones de </w:t>
      </w:r>
      <w:r>
        <w:rPr>
          <w:b/>
          <w:bCs/>
        </w:rPr>
        <w:t xml:space="preserve">vehículos, maquinaria y químicos</w:t>
      </w:r>
      <w:r>
        <w:t xml:space="preserve"> podría presionar la balanza comercial, con un riesgo estimado de </w:t>
      </w:r>
      <w:r>
        <w:rPr>
          <w:b/>
          <w:bCs/>
        </w:rPr>
        <w:t xml:space="preserve">déficit sectorial en industria manufacturera</w:t>
      </w:r>
      <w:r>
        <w:t xml:space="preserve"> si no se aplican salvaguardias efectivas.</w:t>
      </w:r>
    </w:p>
    <w:p>
      <w:pPr>
        <w:spacing w:after="120"/>
        <w:jc w:val="both"/>
      </w:pPr>
      <w:r>
        <w:t xml:space="preserve">Un factor crítico es el </w:t>
      </w:r>
      <w:r>
        <w:rPr>
          <w:b/>
          <w:bCs/>
        </w:rPr>
        <w:t xml:space="preserve">riesgo de dumping chino vía UE</w:t>
      </w:r>
      <w:r>
        <w:t xml:space="preserve">. La Comisión Europea impuso aranceles adicionales a vehículos eléctricos chinos (hasta </w:t>
      </w:r>
      <w:r>
        <w:rPr>
          <w:b/>
          <w:bCs/>
        </w:rPr>
        <w:t xml:space="preserve">35,3%</w:t>
      </w:r>
      <w:r>
        <w:t xml:space="preserve"> para SAIC) desde octubre de 2024, extendiéndose a otros 14 productos en 2025. Esto podría desviar flujos comerciales hacia Mercosur, exacerbando vulnerabilidades argentinas: la participación china en importaciones de lavarropas subió al </w:t>
      </w:r>
      <w:r>
        <w:rPr>
          <w:b/>
          <w:bCs/>
        </w:rPr>
        <w:t xml:space="preserve">66%</w:t>
      </w:r>
      <w:r>
        <w:t xml:space="preserve"> en 2024, según investigaciones del Ministerio de Economía. Argentina, sexta en medidas antidumping globales (5,6% del total OMC), ha fortalecido su régimen vía </w:t>
      </w:r>
      <w:r>
        <w:rPr>
          <w:b/>
          <w:bCs/>
        </w:rPr>
        <w:t xml:space="preserve">Decreto 33/2025</w:t>
      </w:r>
      <w:r>
        <w:t xml:space="preserve">, agilizando investigaciones para proteger PyMEs locales.</w:t>
      </w:r>
    </w:p>
    <w:p>
      <w:pPr>
        <w:pStyle w:val="Heading3"/>
        <w:spacing w:before="240" w:after="120"/>
      </w:pPr>
      <w:r>
        <w:t xml:space="preserve">5.2 Implicancias Políticas</w:t>
      </w:r>
    </w:p>
    <w:p>
      <w:pPr>
        <w:spacing w:after="120"/>
        <w:jc w:val="both"/>
      </w:pPr>
      <w:r>
        <w:t xml:space="preserve">Políticamente, el acuerdo tensiona la </w:t>
      </w:r>
      <w:r>
        <w:rPr>
          <w:b/>
          <w:bCs/>
        </w:rPr>
        <w:t xml:space="preserve">soberanía del Mercosur</w:t>
      </w:r>
      <w:r>
        <w:t xml:space="preserve">, al habilitar excepciones para acuerdos bilaterales (ampliadas de 100 a 150 líneas arancelarias a instancias argentinas). Uruguay y Paraguay presionan por flexibilidad, mientras Brasil y Argentina priorizan la unidad blocaria, potencialmente retrasando la ratificación parlamentaria prevista para 2026-2027. La alineación con la agenda UE en </w:t>
      </w:r>
      <w:r>
        <w:rPr>
          <w:b/>
          <w:bCs/>
        </w:rPr>
        <w:t xml:space="preserve">cambio climático y sostenibilidad</w:t>
      </w:r>
      <w:r>
        <w:t xml:space="preserve"> –incluyendo compromisos en deforestación y emisiones– obliga a Argentina a ajustar políticas internas, como el </w:t>
      </w:r>
      <w:r>
        <w:rPr>
          <w:b/>
          <w:bCs/>
        </w:rPr>
        <w:t xml:space="preserve">Plan Ganadero Sustentable</w:t>
      </w:r>
      <w:r>
        <w:t xml:space="preserve">, impactando regulaciones agropecuarias.</w:t>
      </w:r>
    </w:p>
    <w:p>
      <w:pPr>
        <w:spacing w:after="120"/>
        <w:jc w:val="both"/>
      </w:pPr>
      <w:r>
        <w:t xml:space="preserve">Esto afecta relaciones con </w:t>
      </w:r>
      <w:r>
        <w:rPr>
          <w:b/>
          <w:bCs/>
        </w:rPr>
        <w:t xml:space="preserve">China y BRICS</w:t>
      </w:r>
      <w:r>
        <w:t xml:space="preserve">. Como principal socio comercial (superávit argentino de USD 10.000 millones anuales), China podría responder con represalias ante la preferencia UE, especialmente en litio y soja. El acuerdo reconfigura la posición argentina en un contexto geopolítico fragmentado, alineándola con Occidente en temas como el </w:t>
      </w:r>
      <w:r>
        <w:rPr>
          <w:b/>
          <w:bCs/>
        </w:rPr>
        <w:t xml:space="preserve">Green Deal europeo</w:t>
      </w:r>
      <w:r>
        <w:t xml:space="preserve">, pero arriesgando tensiones en foros multilaterales como el G20.</w:t>
      </w:r>
    </w:p>
    <w:p>
      <w:pPr>
        <w:spacing w:after="120"/>
        <w:jc w:val="both"/>
      </w:pPr>
      <w:r>
        <w:t xml:space="preserve">En el mediano plazo, se proyecta un fortalecimiento de la posición negociadora argentina en la OMC, pero con desafíos institucionales: la ratificación requiere aprobación del Congreso Nacional y adhesión de los cuatro Estados fundadores del Mercosur.</w:t>
      </w:r>
    </w:p>
    <w:p>
      <w:pPr>
        <w:pStyle w:val="Heading3"/>
        <w:spacing w:before="240" w:after="120"/>
      </w:pPr>
      <w:r>
        <w:t xml:space="preserve">5.3 Implicancias Sectoriales</w:t>
      </w:r>
    </w:p>
    <w:p>
      <w:pPr>
        <w:spacing w:after="120"/>
        <w:jc w:val="both"/>
      </w:pPr>
      <w:r>
        <w:rPr>
          <w:b/>
          <w:bCs/>
        </w:rPr>
        <w:t xml:space="preserve">Ganadores principales</w:t>
      </w:r>
      <w:r>
        <w:t xml:space="preserve"> incluyen la </w:t>
      </w:r>
      <w:r>
        <w:rPr>
          <w:b/>
          <w:bCs/>
        </w:rPr>
        <w:t xml:space="preserve">agroindustria</w:t>
      </w:r>
      <w:r>
        <w:t xml:space="preserve"> (carne, granos, vinos), con acceso libre a cuotas arancelarias ampliadas, y </w:t>
      </w:r>
      <w:r>
        <w:rPr>
          <w:b/>
          <w:bCs/>
        </w:rPr>
        <w:t xml:space="preserve">energía/minería</w:t>
      </w:r>
      <w:r>
        <w:t xml:space="preserve"> (litio, gas), beneficiados por inversiones europeas estimadas en </w:t>
      </w:r>
      <w:r>
        <w:rPr>
          <w:b/>
          <w:bCs/>
        </w:rPr>
        <w:t xml:space="preserve">USD 20.000 millones</w:t>
      </w:r>
      <w:r>
        <w:t xml:space="preserve">. Servicios basados en conocimiento (software, KPO) ganarían por capítulos de cooperación digital. Según Infobae y Clarín, estos sectores podrían captar </w:t>
      </w:r>
      <w:r>
        <w:rPr>
          <w:b/>
          <w:bCs/>
        </w:rPr>
        <w:t xml:space="preserve">70% de las ganancias exportadoras netas</w:t>
      </w:r>
      <w:r>
        <w:t xml:space="preserve">.</w:t>
      </w:r>
    </w:p>
    <w:p>
      <w:pPr>
        <w:spacing w:after="120"/>
        <w:jc w:val="both"/>
      </w:pPr>
      <w:r>
        <w:rPr>
          <w:b/>
          <w:bCs/>
        </w:rPr>
        <w:t xml:space="preserve">Perdedores potenciales</w:t>
      </w:r>
      <w:r>
        <w:t xml:space="preserve"> son la </w:t>
      </w:r>
      <w:r>
        <w:rPr>
          <w:b/>
          <w:bCs/>
        </w:rPr>
        <w:t xml:space="preserve">industria automotriz, metalmecánica y bienes de capital</w:t>
      </w:r>
      <w:r>
        <w:t xml:space="preserve">, expuestos a competencia europea en un mercado históricamente protegido. El acuerdo mantiene salvaguardias temporales (hasta 15 años en automóviles), pero proyecciones UIA advierten un </w:t>
      </w:r>
      <w:r>
        <w:rPr>
          <w:b/>
          <w:bCs/>
        </w:rPr>
        <w:t xml:space="preserve">ajuste del 10-15% en empleo industrial</w:t>
      </w:r>
      <w:r>
        <w:t xml:space="preserve"> si no hay reconversión. PyMEs manufactureras enfrentarían dumping indirecto chino, como en electrodomésticos.</w:t>
      </w:r>
    </w:p>
    <w:p>
      <w:pPr>
        <w:spacing w:after="120"/>
        <w:jc w:val="both"/>
      </w:pPr>
      <w:r>
        <w:t xml:space="preserve">• </w:t>
      </w:r>
      <w:r>
        <w:rPr>
          <w:b/>
          <w:bCs/>
        </w:rPr>
        <w:t xml:space="preserve">Agroindustria</w:t>
      </w:r>
      <w:r>
        <w:t xml:space="preserve">: +</w:t>
      </w:r>
      <w:r>
        <w:rPr>
          <w:b/>
          <w:bCs/>
        </w:rPr>
        <w:t xml:space="preserve">USD 3.000-5.000 millones</w:t>
      </w:r>
      <w:r>
        <w:t xml:space="preserve"> anuales en exportaciones. • </w:t>
      </w:r>
      <w:r>
        <w:rPr>
          <w:b/>
          <w:bCs/>
        </w:rPr>
        <w:t xml:space="preserve">Industria</w:t>
      </w:r>
      <w:r>
        <w:t xml:space="preserve">: Riesgo de +</w:t>
      </w:r>
      <w:r>
        <w:rPr>
          <w:b/>
          <w:bCs/>
        </w:rPr>
        <w:t xml:space="preserve">20% importaciones</w:t>
      </w:r>
      <w:r>
        <w:t xml:space="preserve">, mitigado por antidumping. • </w:t>
      </w:r>
      <w:r>
        <w:rPr>
          <w:b/>
          <w:bCs/>
        </w:rPr>
        <w:t xml:space="preserve">Energía</w:t>
      </w:r>
      <w:r>
        <w:t xml:space="preserve">: Atracción de FDI vía capítulos de inversión.</w:t>
      </w:r>
    </w:p>
    <w:p>
      <w:pPr>
        <w:spacing w:after="120"/>
        <w:jc w:val="both"/>
      </w:pPr>
      <w:r>
        <w:t xml:space="preserve">En escenarios base (implementación 2027), el PIB argentino crecería </w:t>
      </w:r>
      <w:r>
        <w:rPr>
          <w:b/>
          <w:bCs/>
        </w:rPr>
        <w:t xml:space="preserve">0,5-1%</w:t>
      </w:r>
      <w:r>
        <w:t xml:space="preserve"> anual por el acuerdo, según CIPPEC, condicionado a políticas complementarias de competitividad y diversificación exportadora.</w:t>
      </w:r>
    </w:p>
    <w:p>
      <w:pPr>
        <w:pStyle w:val="Heading2"/>
        <w:spacing w:before="240" w:after="120"/>
      </w:pPr>
      <w:r>
        <w:t xml:space="preserve">6. Evaluación de Riesgos, Oportunidades y Proyecciones a Corto/Mediano Plazo</w:t>
      </w:r>
    </w:p>
    <w:p>
      <w:pPr>
        <w:pStyle w:val="Heading3"/>
        <w:spacing w:before="240" w:after="120"/>
      </w:pPr>
      <w:r>
        <w:t xml:space="preserve">6.1 Riesgos Identificados</w:t>
      </w:r>
    </w:p>
    <w:p>
      <w:pPr>
        <w:spacing w:after="120"/>
        <w:jc w:val="both"/>
      </w:pPr>
      <w:r>
        <w:t xml:space="preserve">El proceso de ratificación del </w:t>
      </w:r>
      <w:r>
        <w:rPr>
          <w:b/>
          <w:bCs/>
        </w:rPr>
        <w:t xml:space="preserve">Acuerdo de Asociación UE-Mercosur</w:t>
      </w:r>
      <w:r>
        <w:t xml:space="preserve"> enfrenta obstáculos significativos en el ámbito europeo, particularmente por la oposición de </w:t>
      </w:r>
      <w:r>
        <w:rPr>
          <w:b/>
          <w:bCs/>
        </w:rPr>
        <w:t xml:space="preserve">Francia</w:t>
      </w:r>
      <w:r>
        <w:t xml:space="preserve">. La Asamblea Nacional francesa aprobó por unanimidad una resolución que insta al presidente </w:t>
      </w:r>
      <w:r>
        <w:rPr>
          <w:b/>
          <w:bCs/>
        </w:rPr>
        <w:t xml:space="preserve">Emmanuel Macron</w:t>
      </w:r>
      <w:r>
        <w:t xml:space="preserve"> a bloquear el tratado, reafirmando su rechazo ante votaciones clave en Bruselas. Macron ha expresado públicamente su intención de formar una </w:t>
      </w:r>
      <w:r>
        <w:rPr>
          <w:b/>
          <w:bCs/>
        </w:rPr>
        <w:t xml:space="preserve">minoría de bloqueo</w:t>
      </w:r>
      <w:r>
        <w:t xml:space="preserve"> en el Consejo de la UE, aliándose con Italia y otros Estados miembros preocupados por la competencia agrícola del Mercosur.</w:t>
      </w:r>
    </w:p>
    <w:p>
      <w:pPr>
        <w:spacing w:after="120"/>
        <w:jc w:val="both"/>
      </w:pPr>
      <w:r>
        <w:t xml:space="preserve">Adicionalmente, tensiones intra-bloque en el </w:t>
      </w:r>
      <w:r>
        <w:rPr>
          <w:b/>
          <w:bCs/>
        </w:rPr>
        <w:t xml:space="preserve">Mercosur</w:t>
      </w:r>
      <w:r>
        <w:t xml:space="preserve"> generan litigios potenciales. Argentina, Brasil y Paraguay han intimado a Uruguay por negociar acuerdos bilaterales fuera del consenso del bloque, como se evidenció en acciones diplomáticas coordinadas previas a cumbres presidenciales. Estas disputas podrían derivar en invocaciones al </w:t>
      </w:r>
      <w:r>
        <w:rPr>
          <w:b/>
          <w:bCs/>
        </w:rPr>
        <w:t xml:space="preserve">Protocolo de Brasilia</w:t>
      </w:r>
      <w:r>
        <w:t xml:space="preserve"> para resolución de controversias, retrasando la implementación uniforme del acuerdo.</w:t>
      </w:r>
    </w:p>
    <w:p>
      <w:pPr>
        <w:spacing w:after="120"/>
        <w:jc w:val="both"/>
      </w:pPr>
      <w:r>
        <w:t xml:space="preserve">En el plano económico interno, la apertura arancelaria implica riesgos de </w:t>
      </w:r>
      <w:r>
        <w:rPr>
          <w:b/>
          <w:bCs/>
        </w:rPr>
        <w:t xml:space="preserve">inflación importacional</w:t>
      </w:r>
      <w:r>
        <w:t xml:space="preserve"> en Argentina. La reducción progresiva del </w:t>
      </w:r>
      <w:r>
        <w:rPr>
          <w:b/>
          <w:bCs/>
        </w:rPr>
        <w:t xml:space="preserve">Arancel Externo Común (A.E.C.)</w:t>
      </w:r>
      <w:r>
        <w:t xml:space="preserve"> de la Nomenclatura Común del Mercosur (N.C.M.), modificada por decretos como el </w:t>
      </w:r>
      <w:r>
        <w:rPr>
          <w:b/>
          <w:bCs/>
        </w:rPr>
        <w:t xml:space="preserve">N.º 781/2025</w:t>
      </w:r>
      <w:r>
        <w:t xml:space="preserve"> y </w:t>
      </w:r>
      <w:r>
        <w:rPr>
          <w:b/>
          <w:bCs/>
        </w:rPr>
        <w:t xml:space="preserve">N.º 513/2025</w:t>
      </w:r>
      <w:r>
        <w:t xml:space="preserve">, facilitaría influxos de bienes industriales europeos en sectores sensibles como automotriz y metalmecánica. Según proyecciones de Deloitte SLATAM, esto podría presionar precios internos en un contexto de inflación persistente, exacerbando ajustes sectoriales sin fondos de mitigación adecuados.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Riesgo Principal</w:t>
            </w:r>
          </w:p>
        </w:tc>
        <w:tc>
          <w:tcPr>
            <w:tcBorders>
              <w:top w:val="single" w:sz="1"/>
              <w:left w:val="single" w:sz="1"/>
              <w:bottom w:val="single" w:sz="1"/>
              <w:right w:val="single" w:sz="1"/>
            </w:tcBorders>
            <w:shd w:fill="E7E6E6"/>
          </w:tcPr>
          <w:p>
            <w:pPr>
              <w:jc w:val="center"/>
            </w:pPr>
            <w:r>
              <w:t xml:space="preserve">Origen</w:t>
            </w:r>
          </w:p>
        </w:tc>
        <w:tc>
          <w:tcPr>
            <w:tcBorders>
              <w:top w:val="single" w:sz="1"/>
              <w:left w:val="single" w:sz="1"/>
              <w:bottom w:val="single" w:sz="1"/>
              <w:right w:val="single" w:sz="1"/>
            </w:tcBorders>
            <w:shd w:fill="E7E6E6"/>
          </w:tcPr>
          <w:p>
            <w:pPr>
              <w:jc w:val="center"/>
            </w:pPr>
            <w:r>
              <w:t xml:space="preserve">Impacto Potencial para Argentina</w:t>
            </w:r>
          </w:p>
        </w:tc>
      </w:tr>
      <w:tr>
        <w:tc>
          <w:tcPr>
            <w:tcBorders>
              <w:top w:val="single" w:sz="1"/>
              <w:left w:val="single" w:sz="1"/>
              <w:bottom w:val="single" w:sz="1"/>
              <w:right w:val="single" w:sz="1"/>
            </w:tcBorders>
          </w:tcPr>
          <w:p>
            <w:pPr>
              <w:jc w:val="center"/>
            </w:pPr>
            <w:r>
              <w:t xml:space="preserve">Bloqueo ratificación UE</w:t>
            </w:r>
          </w:p>
        </w:tc>
        <w:tc>
          <w:tcPr>
            <w:tcBorders>
              <w:top w:val="single" w:sz="1"/>
              <w:left w:val="single" w:sz="1"/>
              <w:bottom w:val="single" w:sz="1"/>
              <w:right w:val="single" w:sz="1"/>
            </w:tcBorders>
          </w:tcPr>
          <w:p>
            <w:pPr>
              <w:jc w:val="center"/>
            </w:pPr>
            <w:r>
              <w:t xml:space="preserve">Francia/Italia (minoría de bloqueo)</w:t>
            </w:r>
          </w:p>
        </w:tc>
        <w:tc>
          <w:tcPr>
            <w:tcBorders>
              <w:top w:val="single" w:sz="1"/>
              <w:left w:val="single" w:sz="1"/>
              <w:bottom w:val="single" w:sz="1"/>
              <w:right w:val="single" w:sz="1"/>
            </w:tcBorders>
          </w:tcPr>
          <w:p>
            <w:pPr>
              <w:jc w:val="center"/>
            </w:pPr>
            <w:r>
              <w:t xml:space="preserve">Demora indefinida; pérdida de acceso preferencial a mercado de 450M consumidores</w:t>
            </w:r>
          </w:p>
        </w:tc>
      </w:tr>
      <w:tr>
        <w:tc>
          <w:tcPr>
            <w:tcBorders>
              <w:top w:val="single" w:sz="1"/>
              <w:left w:val="single" w:sz="1"/>
              <w:bottom w:val="single" w:sz="1"/>
              <w:right w:val="single" w:sz="1"/>
            </w:tcBorders>
          </w:tcPr>
          <w:p>
            <w:pPr>
              <w:jc w:val="center"/>
            </w:pPr>
            <w:r>
              <w:t xml:space="preserve">Litigios intra-Mercosur</w:t>
            </w:r>
          </w:p>
        </w:tc>
        <w:tc>
          <w:tcPr>
            <w:tcBorders>
              <w:top w:val="single" w:sz="1"/>
              <w:left w:val="single" w:sz="1"/>
              <w:bottom w:val="single" w:sz="1"/>
              <w:right w:val="single" w:sz="1"/>
            </w:tcBorders>
          </w:tcPr>
          <w:p>
            <w:pPr>
              <w:jc w:val="center"/>
            </w:pPr>
            <w:r>
              <w:t xml:space="preserve">Tensiones con Uruguay</w:t>
            </w:r>
          </w:p>
        </w:tc>
        <w:tc>
          <w:tcPr>
            <w:tcBorders>
              <w:top w:val="single" w:sz="1"/>
              <w:left w:val="single" w:sz="1"/>
              <w:bottom w:val="single" w:sz="1"/>
              <w:right w:val="single" w:sz="1"/>
            </w:tcBorders>
          </w:tcPr>
          <w:p>
            <w:pPr>
              <w:jc w:val="center"/>
            </w:pPr>
            <w:r>
              <w:t xml:space="preserve">Fragmentación bloque; aplicación asimétrica del acuerdo</w:t>
            </w:r>
          </w:p>
        </w:tc>
      </w:tr>
      <w:tr>
        <w:tc>
          <w:tcPr>
            <w:tcBorders>
              <w:top w:val="single" w:sz="1"/>
              <w:left w:val="single" w:sz="1"/>
              <w:bottom w:val="single" w:sz="1"/>
              <w:right w:val="single" w:sz="1"/>
            </w:tcBorders>
          </w:tcPr>
          <w:p>
            <w:pPr>
              <w:jc w:val="center"/>
            </w:pPr>
            <w:r>
              <w:t xml:space="preserve">Inflación importaciones</w:t>
            </w:r>
          </w:p>
        </w:tc>
        <w:tc>
          <w:tcPr>
            <w:tcBorders>
              <w:top w:val="single" w:sz="1"/>
              <w:left w:val="single" w:sz="1"/>
              <w:bottom w:val="single" w:sz="1"/>
              <w:right w:val="single" w:sz="1"/>
            </w:tcBorders>
          </w:tcPr>
          <w:p>
            <w:pPr>
              <w:jc w:val="center"/>
            </w:pPr>
            <w:r>
              <w:t xml:space="preserve">Reducción A.E.C.</w:t>
            </w:r>
          </w:p>
        </w:tc>
        <w:tc>
          <w:tcPr>
            <w:tcBorders>
              <w:top w:val="single" w:sz="1"/>
              <w:left w:val="single" w:sz="1"/>
              <w:bottom w:val="single" w:sz="1"/>
              <w:right w:val="single" w:sz="1"/>
            </w:tcBorders>
          </w:tcPr>
          <w:p>
            <w:pPr>
              <w:jc w:val="center"/>
            </w:pPr>
            <w:r>
              <w:t xml:space="preserve">Presión inflacionaria en industria (automotriz +20-30% importaciones)</w:t>
            </w:r>
          </w:p>
        </w:tc>
      </w:tr>
    </w:tbl>
    <w:p>
      <w:pPr>
        <w:pStyle w:val="Heading3"/>
        <w:spacing w:before="240" w:after="120"/>
      </w:pPr>
      <w:r>
        <w:t xml:space="preserve">6.2 Oportunidades Estratégicas</w:t>
      </w:r>
    </w:p>
    <w:p>
      <w:pPr>
        <w:spacing w:after="120"/>
        <w:jc w:val="both"/>
      </w:pPr>
      <w:r>
        <w:t xml:space="preserve">El acuerdo representa una vía para la </w:t>
      </w:r>
      <w:r>
        <w:rPr>
          <w:b/>
          <w:bCs/>
        </w:rPr>
        <w:t xml:space="preserve">diversificación de mercados</w:t>
      </w:r>
      <w:r>
        <w:t xml:space="preserve"> exportadores argentinos. Actualmente, el </w:t>
      </w:r>
      <w:r>
        <w:rPr>
          <w:b/>
          <w:bCs/>
        </w:rPr>
        <w:t xml:space="preserve">39% del comercio intrazona Mercosur</w:t>
      </w:r>
      <w:r>
        <w:t xml:space="preserve"> limita la exposición global; el pacto UE-Mercosur eliminaría aranceles en el </w:t>
      </w:r>
      <w:r>
        <w:rPr>
          <w:b/>
          <w:bCs/>
        </w:rPr>
        <w:t xml:space="preserve">99% de exportaciones agrícolas</w:t>
      </w:r>
      <w:r>
        <w:t xml:space="preserve"> del bloque, proyectando un crecimiento del </w:t>
      </w:r>
      <w:r>
        <w:rPr>
          <w:b/>
          <w:bCs/>
        </w:rPr>
        <w:t xml:space="preserve">76% en exportaciones argentinas a la UE</w:t>
      </w:r>
      <w:r>
        <w:t xml:space="preserve"> en los primeros cinco años, según estimaciones oficiales.</w:t>
      </w:r>
    </w:p>
    <w:p>
      <w:pPr>
        <w:spacing w:after="120"/>
        <w:jc w:val="both"/>
      </w:pPr>
      <w:r>
        <w:t xml:space="preserve">En el sector energético, se abre potencial para </w:t>
      </w:r>
      <w:r>
        <w:rPr>
          <w:b/>
          <w:bCs/>
        </w:rPr>
        <w:t xml:space="preserve">Inversión Extranjera Directa (IED) europea</w:t>
      </w:r>
      <w:r>
        <w:t xml:space="preserve"> en </w:t>
      </w:r>
      <w:r>
        <w:rPr>
          <w:b/>
          <w:bCs/>
        </w:rPr>
        <w:t xml:space="preserve">Vaca Muerta</w:t>
      </w:r>
      <w:r>
        <w:t xml:space="preserve">, litio y cobre. A pesar de la caída del </w:t>
      </w:r>
      <w:r>
        <w:rPr>
          <w:b/>
          <w:bCs/>
        </w:rPr>
        <w:t xml:space="preserve">53% en IED</w:t>
      </w:r>
      <w:r>
        <w:t xml:space="preserve"> en 2024 (USD 11.644 millones, según Cepal), el </w:t>
      </w:r>
      <w:r>
        <w:rPr>
          <w:b/>
          <w:bCs/>
        </w:rPr>
        <w:t xml:space="preserve">Régimen de Incentivo para Grandes Inversiones (RIGI)</w:t>
      </w:r>
      <w:r>
        <w:t xml:space="preserve"> ha generado anuncios por </w:t>
      </w:r>
      <w:r>
        <w:rPr>
          <w:b/>
          <w:bCs/>
        </w:rPr>
        <w:t xml:space="preserve">USD 10.000 millones</w:t>
      </w:r>
      <w:r>
        <w:t xml:space="preserve">, incluyendo proyectos en GNL y licuefacción con plazos de ejecución hasta 10 años. El acuerdo provee </w:t>
      </w:r>
      <w:r>
        <w:rPr>
          <w:b/>
          <w:bCs/>
        </w:rPr>
        <w:t xml:space="preserve">seguridad jurídica</w:t>
      </w:r>
      <w:r>
        <w:t xml:space="preserve"> y convergencia regulatoria, atrayendo inversiones europeas en un contexto de diversificación post-ruso de suministros energéticos.</w:t>
      </w:r>
    </w:p>
    <w:p>
      <w:pPr>
        <w:spacing w:after="120"/>
        <w:jc w:val="both"/>
      </w:pPr>
      <w:r>
        <w:t xml:space="preserve">Para minería, el litio argentino —con producción en ascenso pese a precios bajos (de USD 80.000 a 11.000/tonelada LCE)— y cobre emergente se benefician de acceso preferencial. Vaca Muerta ya genera superávits comerciales energéticos: </w:t>
      </w:r>
      <w:r>
        <w:rPr>
          <w:b/>
          <w:bCs/>
        </w:rPr>
        <w:t xml:space="preserve">USD 4.092 millones</w:t>
      </w:r>
      <w:r>
        <w:t xml:space="preserve"> en los primeros siete meses de 2024 (INDEC), con exportaciones de crudo +42% interanual en 2025 (245.000 b/d promedio). El pacto acelera infraestructura como el gasoducto Perito Moreno, proyectando exportaciones petroleras/gas de </w:t>
      </w:r>
      <w:r>
        <w:rPr>
          <w:b/>
          <w:bCs/>
        </w:rPr>
        <w:t xml:space="preserve">USD 17.000 millones en 2026</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Oportunidad</w:t>
            </w:r>
          </w:p>
        </w:tc>
        <w:tc>
          <w:tcPr>
            <w:tcBorders>
              <w:top w:val="single" w:sz="1"/>
              <w:left w:val="single" w:sz="1"/>
              <w:bottom w:val="single" w:sz="1"/>
              <w:right w:val="single" w:sz="1"/>
            </w:tcBorders>
            <w:shd w:fill="E7E6E6"/>
          </w:tcPr>
          <w:p>
            <w:pPr>
              <w:jc w:val="center"/>
            </w:pPr>
            <w:r>
              <w:t xml:space="preserve">Sector</w:t>
            </w:r>
          </w:p>
        </w:tc>
        <w:tc>
          <w:tcPr>
            <w:tcBorders>
              <w:top w:val="single" w:sz="1"/>
              <w:left w:val="single" w:sz="1"/>
              <w:bottom w:val="single" w:sz="1"/>
              <w:right w:val="single" w:sz="1"/>
            </w:tcBorders>
            <w:shd w:fill="E7E6E6"/>
          </w:tcPr>
          <w:p>
            <w:pPr>
              <w:jc w:val="center"/>
            </w:pPr>
            <w:r>
              <w:t xml:space="preserve">Proyección Cuantitativa</w:t>
            </w:r>
          </w:p>
        </w:tc>
      </w:tr>
      <w:tr>
        <w:tc>
          <w:tcPr>
            <w:tcBorders>
              <w:top w:val="single" w:sz="1"/>
              <w:left w:val="single" w:sz="1"/>
              <w:bottom w:val="single" w:sz="1"/>
              <w:right w:val="single" w:sz="1"/>
            </w:tcBorders>
          </w:tcPr>
          <w:p>
            <w:pPr>
              <w:jc w:val="center"/>
            </w:pPr>
            <w:r>
              <w:t xml:space="preserve">Diversificación mercados</w:t>
            </w:r>
          </w:p>
        </w:tc>
        <w:tc>
          <w:tcPr>
            <w:tcBorders>
              <w:top w:val="single" w:sz="1"/>
              <w:left w:val="single" w:sz="1"/>
              <w:bottom w:val="single" w:sz="1"/>
              <w:right w:val="single" w:sz="1"/>
            </w:tcBorders>
          </w:tcPr>
          <w:p>
            <w:pPr>
              <w:jc w:val="center"/>
            </w:pPr>
            <w:r>
              <w:t xml:space="preserve">Agroindustria</w:t>
            </w:r>
          </w:p>
        </w:tc>
        <w:tc>
          <w:tcPr>
            <w:tcBorders>
              <w:top w:val="single" w:sz="1"/>
              <w:left w:val="single" w:sz="1"/>
              <w:bottom w:val="single" w:sz="1"/>
              <w:right w:val="single" w:sz="1"/>
            </w:tcBorders>
          </w:tcPr>
          <w:p>
            <w:pPr>
              <w:jc w:val="center"/>
            </w:pPr>
            <w:r>
              <w:t xml:space="preserve">+76% exportaciones a UE (5 años)</w:t>
            </w:r>
          </w:p>
        </w:tc>
      </w:tr>
      <w:tr>
        <w:tc>
          <w:tcPr>
            <w:tcBorders>
              <w:top w:val="single" w:sz="1"/>
              <w:left w:val="single" w:sz="1"/>
              <w:bottom w:val="single" w:sz="1"/>
              <w:right w:val="single" w:sz="1"/>
            </w:tcBorders>
          </w:tcPr>
          <w:p>
            <w:pPr>
              <w:jc w:val="center"/>
            </w:pPr>
            <w:r>
              <w:t xml:space="preserve">IED en Vaca Muerta/Litio</w:t>
            </w:r>
          </w:p>
        </w:tc>
        <w:tc>
          <w:tcPr>
            <w:tcBorders>
              <w:top w:val="single" w:sz="1"/>
              <w:left w:val="single" w:sz="1"/>
              <w:bottom w:val="single" w:sz="1"/>
              <w:right w:val="single" w:sz="1"/>
            </w:tcBorders>
          </w:tcPr>
          <w:p>
            <w:pPr>
              <w:jc w:val="center"/>
            </w:pPr>
            <w:r>
              <w:t xml:space="preserve">Energía/Minería</w:t>
            </w:r>
          </w:p>
        </w:tc>
        <w:tc>
          <w:tcPr>
            <w:tcBorders>
              <w:top w:val="single" w:sz="1"/>
              <w:left w:val="single" w:sz="1"/>
              <w:bottom w:val="single" w:sz="1"/>
              <w:right w:val="single" w:sz="1"/>
            </w:tcBorders>
          </w:tcPr>
          <w:p>
            <w:pPr>
              <w:jc w:val="center"/>
            </w:pPr>
            <w:r>
              <w:t xml:space="preserve">USD 10B anuncios RIGI; superávit USD 17B (2026)</w:t>
            </w:r>
          </w:p>
        </w:tc>
      </w:tr>
      <w:tr>
        <w:tc>
          <w:tcPr>
            <w:tcBorders>
              <w:top w:val="single" w:sz="1"/>
              <w:left w:val="single" w:sz="1"/>
              <w:bottom w:val="single" w:sz="1"/>
              <w:right w:val="single" w:sz="1"/>
            </w:tcBorders>
          </w:tcPr>
          <w:p>
            <w:pPr>
              <w:jc w:val="center"/>
            </w:pPr>
            <w:r>
              <w:t xml:space="preserve">Seguridad jurídica</w:t>
            </w:r>
          </w:p>
        </w:tc>
        <w:tc>
          <w:tcPr>
            <w:tcBorders>
              <w:top w:val="single" w:sz="1"/>
              <w:left w:val="single" w:sz="1"/>
              <w:bottom w:val="single" w:sz="1"/>
              <w:right w:val="single" w:sz="1"/>
            </w:tcBorders>
          </w:tcPr>
          <w:p>
            <w:pPr>
              <w:jc w:val="center"/>
            </w:pPr>
            <w:r>
              <w:t xml:space="preserve">Regulaciones</w:t>
            </w:r>
          </w:p>
        </w:tc>
        <w:tc>
          <w:tcPr>
            <w:tcBorders>
              <w:top w:val="single" w:sz="1"/>
              <w:left w:val="single" w:sz="1"/>
              <w:bottom w:val="single" w:sz="1"/>
              <w:right w:val="single" w:sz="1"/>
            </w:tcBorders>
          </w:tcPr>
          <w:p>
            <w:pPr>
              <w:jc w:val="center"/>
            </w:pPr>
            <w:r>
              <w:t xml:space="preserve">Convergencia UE facilita mercados globales</w:t>
            </w:r>
          </w:p>
        </w:tc>
      </w:tr>
    </w:tbl>
    <w:p>
      <w:pPr>
        <w:pStyle w:val="Heading3"/>
        <w:spacing w:before="240" w:after="120"/>
      </w:pPr>
      <w:r>
        <w:t xml:space="preserve">6.3 Proyecciones a Corto y Mediano Plazo</w:t>
      </w:r>
    </w:p>
    <w:p>
      <w:pPr>
        <w:spacing w:after="120"/>
        <w:jc w:val="both"/>
      </w:pPr>
      <w:r>
        <w:t xml:space="preserve">En el </w:t>
      </w:r>
      <w:r>
        <w:rPr>
          <w:b/>
          <w:bCs/>
        </w:rPr>
        <w:t xml:space="preserve">corto plazo (2025-2026)</w:t>
      </w:r>
      <w:r>
        <w:t xml:space="preserve">, la ratificación enfrenta demoras: la Comisión Europea inició el proceso el 3 de septiembre de 2025 pese a reticencias francesas, pero el Parlamento Europeo remitió el tratado al Tribunal de Justicia, congelando avances por 18-24 meses. Implementación parcial podría ocurrir vía </w:t>
      </w:r>
      <w:r>
        <w:rPr>
          <w:b/>
          <w:bCs/>
        </w:rPr>
        <w:t xml:space="preserve">acuerdo comercial interino</w:t>
      </w:r>
      <w:r>
        <w:t xml:space="preserve">, aplicando desgravaciones arancelarias selectivas desde 2027.</w:t>
      </w:r>
    </w:p>
    <w:p>
      <w:pPr>
        <w:spacing w:after="120"/>
        <w:jc w:val="both"/>
      </w:pPr>
      <w:r>
        <w:t xml:space="preserve">A </w:t>
      </w:r>
      <w:r>
        <w:rPr>
          <w:b/>
          <w:bCs/>
        </w:rPr>
        <w:t xml:space="preserve">mediano plazo (2027-2028)</w:t>
      </w:r>
      <w:r>
        <w:t xml:space="preserve">, si ratificado, se estima entrada en vigor progresiva: eliminación inmediata de aranceles en </w:t>
      </w:r>
      <w:r>
        <w:rPr>
          <w:b/>
          <w:bCs/>
        </w:rPr>
        <w:t xml:space="preserve">91% bienes industriales UE</w:t>
      </w:r>
      <w:r>
        <w:t xml:space="preserve"> hacia Mercosur, con plazos de 10-18 años para sensibles. Para Argentina, exportaciones energéticas liderarían, cubriendo obligaciones externas y acumulando reservas (proyecciones Wall Street). Sin embargo, IED real dependerá de estabilidad macro: en 2024, ingresos netos IED fueron solo </w:t>
      </w:r>
      <w:r>
        <w:rPr>
          <w:b/>
          <w:bCs/>
        </w:rPr>
        <w:t xml:space="preserve">USD 89 millones</w:t>
      </w:r>
      <w:r>
        <w:t xml:space="preserve"> (BCRA), la peor serie histórica.</w:t>
      </w:r>
    </w:p>
    <w:p>
      <w:pPr>
        <w:spacing w:after="120"/>
        <w:jc w:val="both"/>
      </w:pPr>
      <w:r>
        <w:t xml:space="preserve">Escenarios proyectados:</w:t>
      </w:r>
    </w:p>
    <w:p>
      <w:pPr>
        <w:pStyle w:val="ListParagraph"/>
        <w:numPr>
          <w:ilvl w:val="0"/>
          <w:numId w:val="1"/>
        </w:numPr>
        <w:spacing w:after="100"/>
      </w:pPr>
      <w:r>
        <w:t xml:space="preserve">. **Optimista**: Ratificación 2026; +122% exportaciones UE (10 años); IED +50% vía RIGI/Vaca Muerta.</w:t>
      </w:r>
    </w:p>
    <w:p>
      <w:pPr>
        <w:pStyle w:val="ListParagraph"/>
        <w:numPr>
          <w:ilvl w:val="0"/>
          <w:numId w:val="1"/>
        </w:numPr>
        <w:spacing w:after="100"/>
      </w:pPr>
      <w:r>
        <w:t xml:space="preserve">. **Base**: Implementación parcial 2027-2028; crecimiento moderado (+20% energía).</w:t>
      </w:r>
    </w:p>
    <w:p>
      <w:pPr>
        <w:pStyle w:val="ListParagraph"/>
        <w:numPr>
          <w:ilvl w:val="0"/>
          <w:numId w:val="1"/>
        </w:numPr>
        <w:spacing w:after="100"/>
      </w:pPr>
      <w:r>
        <w:t xml:space="preserve">. **Pesimista**: Bloqueo permanente; status quo Mercosur cerrado.</w:t>
      </w:r>
    </w:p>
    <w:p>
      <w:pPr>
        <w:pStyle w:val="Heading3"/>
        <w:spacing w:before="240" w:after="120"/>
      </w:pPr>
      <w:r>
        <w:t xml:space="preserve">6.4 Recomendaciones para la Argentina</w:t>
      </w:r>
    </w:p>
    <w:p>
      <w:pPr>
        <w:spacing w:after="120"/>
        <w:jc w:val="both"/>
      </w:pPr>
      <w:r>
        <w:t xml:space="preserve">Argentina debe priorizar </w:t>
      </w:r>
      <w:r>
        <w:rPr>
          <w:b/>
          <w:bCs/>
        </w:rPr>
        <w:t xml:space="preserve">cláusulas de salvaguardia bilaterales</w:t>
      </w:r>
      <w:r>
        <w:t xml:space="preserve">, complementando las aprobadas por UE (suspensión beneficios si importaciones +10% o deprimen precios agrícolas). Negociar activación rápida vía </w:t>
      </w:r>
      <w:r>
        <w:rPr>
          <w:b/>
          <w:bCs/>
        </w:rPr>
        <w:t xml:space="preserve">Resolución de Controversias Mercosur</w:t>
      </w:r>
      <w:r>
        <w:t xml:space="preserve"> (Protocolo de Ouro Preto, art. 40).</w:t>
      </w:r>
    </w:p>
    <w:p>
      <w:pPr>
        <w:spacing w:after="120"/>
        <w:jc w:val="both"/>
      </w:pPr>
      <w:r>
        <w:t xml:space="preserve">Crear </w:t>
      </w:r>
      <w:r>
        <w:rPr>
          <w:b/>
          <w:bCs/>
        </w:rPr>
        <w:t xml:space="preserve">fondos de ajuste sectorial</w:t>
      </w:r>
      <w:r>
        <w:t xml:space="preserve"> para industria expuesta: reasignar ingresos exportatorios energéticas (ej. USD 2.684M superávit 1T 2025, INDEC) a reconversión automotriz/metalmecánica. Fortalecer N.C.M. vía decretos como </w:t>
      </w:r>
      <w:r>
        <w:rPr>
          <w:b/>
          <w:bCs/>
        </w:rPr>
        <w:t xml:space="preserve">N.º 557/2024</w:t>
      </w:r>
      <w:r>
        <w:t xml:space="preserve"> (prórroga A.E.C.).</w:t>
      </w:r>
    </w:p>
    <w:p>
      <w:pPr>
        <w:pStyle w:val="Heading3"/>
        <w:spacing w:before="240" w:after="120"/>
      </w:pPr>
      <w:r>
        <w:t xml:space="preserve">Conclusiones Operativas para Policymakers</w:t>
      </w:r>
    </w:p>
    <w:p>
      <w:pPr>
        <w:spacing w:after="120"/>
        <w:jc w:val="both"/>
      </w:pPr>
      <w:r>
        <w:t xml:space="preserve">Monitorear votaciones UE (Consejo/Parlamento) y alinear diplomacia con Brasil/Paraguay contra disidencias uruguayas. Avanzar ratificación nacional (Cámara Diputados aprobó con 203-42; Senado pendiente). Implementar RIGI pleno post-cepo cambiario para captar IED europea. Estas acciones posicionan a Argentina para mitigar riesgos y capitalizar oportunidades, transformando el acuerdo en motor de superávit comercial sostenido.</w:t>
      </w:r>
    </w:p>
    <w:p>
      <w:pPr>
        <w:pStyle w:val="Heading1"/>
        <w:pageBreakBefore/>
        <w:spacing w:before="400" w:after="200"/>
      </w:pPr>
      <w:r>
        <w:t xml:space="preserve">Fuentes</w:t>
      </w:r>
    </w:p>
    <w:p>
      <w:pPr>
        <w:spacing w:after="100"/>
      </w:pPr>
      <w:r>
        <w:t xml:space="preserve">1. https://www.infobae.com/espana/agencias/2026/01/16/asi-se-fraguo-el-acuerdo-ue-mercosur-26-anos-de-negociaciones-bloqueos-y-ultimatums/</w:t>
      </w:r>
      <w:r>
        <w:rPr>
          <w:b/>
          <w:bCs/>
        </w:rPr>
        <w:t xml:space="preserve">1. </w:t>
      </w:r>
      <w:r>
        <w:rPr>
          <w:color w:val="0563C1"/>
          <w:u w:val="single"/>
        </w:rPr>
        <w:t xml:space="preserve">https://www.infobae.com/espana/agencias/2026/01/16/asi-se-fraguo-el-acuerdo-ue-mercosur-26-anos-de-negociaciones-bloqueos-y-ultimatums/</w:t>
      </w:r>
    </w:p>
    <w:p>
      <w:pPr>
        <w:spacing w:after="100"/>
      </w:pPr>
      <w:r>
        <w:t xml:space="preserve">2. https://prensamercosur.org/2026/02/18/el-acuerdo-historico-ue-mercosur-veinticinco-anos-de-negociaciones-culminan-en-un-pacto-global/</w:t>
      </w:r>
      <w:r>
        <w:rPr>
          <w:b/>
          <w:bCs/>
        </w:rPr>
        <w:t xml:space="preserve">2. </w:t>
      </w:r>
      <w:r>
        <w:rPr>
          <w:color w:val="0563C1"/>
          <w:u w:val="single"/>
        </w:rPr>
        <w:t xml:space="preserve">https://prensamercosur.org/2026/02/18/el-acuerdo-historico-ue-mercosur-veinticinco-anos-de-negociaciones-culminan-en-un-pacto-global/</w:t>
      </w:r>
    </w:p>
    <w:p>
      <w:pPr>
        <w:spacing w:after="100"/>
      </w:pPr>
      <w:r>
        <w:t xml:space="preserve">3. https://cdi.mecon.gob.ar/bases/doc/bid/idbtn841.pdf</w:t>
      </w:r>
      <w:r>
        <w:rPr>
          <w:b/>
          <w:bCs/>
        </w:rPr>
        <w:t xml:space="preserve">3. </w:t>
      </w:r>
      <w:r>
        <w:rPr>
          <w:color w:val="0563C1"/>
          <w:u w:val="single"/>
        </w:rPr>
        <w:t xml:space="preserve">https://cdi.mecon.gob.ar/bases/doc/bid/idbtn841.pdf</w:t>
      </w:r>
    </w:p>
    <w:p>
      <w:pPr>
        <w:spacing w:after="100"/>
      </w:pPr>
      <w:r>
        <w:t xml:space="preserve">4. https://www.mercosur.int/todos-los-datos-sobre-el-historico-acuerdo-mercosur-ue</w:t>
      </w:r>
      <w:r>
        <w:rPr>
          <w:b/>
          <w:bCs/>
        </w:rPr>
        <w:t xml:space="preserve">4. </w:t>
      </w:r>
      <w:r>
        <w:rPr>
          <w:color w:val="0563C1"/>
          <w:u w:val="single"/>
        </w:rPr>
        <w:t xml:space="preserve">https://www.mercosur.int/todos-los-datos-sobre-el-historico-acuerdo-mercosur-ue</w:t>
      </w:r>
    </w:p>
    <w:p>
      <w:pPr>
        <w:spacing w:after="100"/>
      </w:pPr>
      <w:r>
        <w:t xml:space="preserve">5. https://www.eulas.network/es/post/acuerdo-ue-mercosur-negociaciones-geopolitica</w:t>
      </w:r>
      <w:r>
        <w:rPr>
          <w:b/>
          <w:bCs/>
        </w:rPr>
        <w:t xml:space="preserve">5. </w:t>
      </w:r>
      <w:r>
        <w:rPr>
          <w:color w:val="0563C1"/>
          <w:u w:val="single"/>
        </w:rPr>
        <w:t xml:space="preserve">https://www.eulas.network/es/post/acuerdo-ue-mercosur-negociaciones-geopolitica</w:t>
      </w:r>
    </w:p>
    <w:p>
      <w:pPr>
        <w:spacing w:after="100"/>
      </w:pPr>
      <w:r>
        <w:t xml:space="preserve">6. https://www.naiz.eus/es/info/noticia/20260116/ue-mercosur-26-anos-de-negociaciones-bloqueos-y-ultimatums</w:t>
      </w:r>
      <w:r>
        <w:rPr>
          <w:b/>
          <w:bCs/>
        </w:rPr>
        <w:t xml:space="preserve">6. </w:t>
      </w:r>
      <w:r>
        <w:rPr>
          <w:color w:val="0563C1"/>
          <w:u w:val="single"/>
        </w:rPr>
        <w:t xml:space="preserve">https://www.naiz.eus/es/info/noticia/20260116/ue-mercosur-26-anos-de-negociaciones-bloqueos-y-ultimatums</w:t>
      </w:r>
    </w:p>
    <w:p>
      <w:pPr>
        <w:spacing w:after="100"/>
      </w:pPr>
      <w:r>
        <w:t xml:space="preserve">7. https://www.economicas.uba.ar/extension/vocesenelfenix/historia-de-una-entrega-las-negociaciones-para-un-tratado-de-libre-comercio-entre-el-mercosur-y-la-union-europea/</w:t>
      </w:r>
      <w:r>
        <w:rPr>
          <w:b/>
          <w:bCs/>
        </w:rPr>
        <w:t xml:space="preserve">7. </w:t>
      </w:r>
      <w:r>
        <w:rPr>
          <w:color w:val="0563C1"/>
          <w:u w:val="single"/>
        </w:rPr>
        <w:t xml:space="preserve">https://www.economicas.uba.ar/extension/vocesenelfenix/historia-de-una-entrega-las-negociaciones-para-un-tratado-de-libre-comercio-entre-el-mercosur-y-la-union-europea/</w:t>
      </w:r>
    </w:p>
    <w:p>
      <w:pPr>
        <w:spacing w:after="100"/>
      </w:pPr>
      <w:r>
        <w:t xml:space="preserve">8. https://www.swissinfo.ch/spa/as%C3%AD-se-fragu%C3%B3-el-acuerdo-ue-mercosur%3a-26-a%C3%B1os-de-negociaciones%2c-bloqueos-y-ultim%C3%A1tums/90788006</w:t>
      </w:r>
      <w:r>
        <w:rPr>
          <w:b/>
          <w:bCs/>
        </w:rPr>
        <w:t xml:space="preserve">8. </w:t>
      </w:r>
      <w:r>
        <w:rPr>
          <w:color w:val="0563C1"/>
          <w:u w:val="single"/>
        </w:rPr>
        <w:t xml:space="preserve">https://www.swissinfo.ch/spa/as%C3%AD-se-fragu%C3%B3-el-acuerdo-ue-mercosur%3a-26-a%C3%B1os-de-negociaciones%2c-bloqueos-y-ultim%C3%A1tums/90788006</w:t>
      </w:r>
    </w:p>
    <w:p>
      <w:pPr>
        <w:spacing w:after="100"/>
      </w:pPr>
      <w:r>
        <w:t xml:space="preserve">9. https://www.iri.edu.ar/index.php/2019/07/01/acuerdo-mercosur-union-europea/</w:t>
      </w:r>
      <w:r>
        <w:rPr>
          <w:b/>
          <w:bCs/>
        </w:rPr>
        <w:t xml:space="preserve">9. </w:t>
      </w:r>
      <w:r>
        <w:rPr>
          <w:color w:val="0563C1"/>
          <w:u w:val="single"/>
        </w:rPr>
        <w:t xml:space="preserve">https://www.iri.edu.ar/index.php/2019/07/01/acuerdo-mercosur-union-europea/</w:t>
      </w:r>
    </w:p>
    <w:p>
      <w:pPr>
        <w:spacing w:after="100"/>
      </w:pPr>
      <w:r>
        <w:t xml:space="preserve">10. https://www.cancilleria.gob.ar/userfiles/prensa/resumen_acuerdo_mcs-ue_elaborado_por_gobierno_argentino.pdf</w:t>
      </w:r>
      <w:r>
        <w:rPr>
          <w:b/>
          <w:bCs/>
        </w:rPr>
        <w:t xml:space="preserve">10. </w:t>
      </w:r>
      <w:r>
        <w:rPr>
          <w:color w:val="0563C1"/>
          <w:u w:val="single"/>
        </w:rPr>
        <w:t xml:space="preserve">https://www.cancilleria.gob.ar/userfiles/prensa/resumen_acuerdo_mcs-ue_elaborado_por_gobierno_argentino.pdf</w:t>
      </w:r>
    </w:p>
    <w:p>
      <w:pPr>
        <w:spacing w:after="100"/>
      </w:pPr>
      <w:r>
        <w:t xml:space="preserve">11. https://www.infobae.com/politica/2026/02/18/el-senado-dictamino-el-acuerdo-mercosur-union-europea-y-quedo-listo-para-ser-sancionado-la-proxima-semana/</w:t>
      </w:r>
      <w:r>
        <w:rPr>
          <w:b/>
          <w:bCs/>
        </w:rPr>
        <w:t xml:space="preserve">11. </w:t>
      </w:r>
      <w:r>
        <w:rPr>
          <w:color w:val="0563C1"/>
          <w:u w:val="single"/>
        </w:rPr>
        <w:t xml:space="preserve">https://www.infobae.com/politica/2026/02/18/el-senado-dictamino-el-acuerdo-mercosur-union-europea-y-quedo-listo-para-ser-sancionado-la-proxima-semana/</w:t>
      </w:r>
    </w:p>
    <w:p>
      <w:pPr>
        <w:spacing w:after="100"/>
      </w:pPr>
      <w:r>
        <w:t xml:space="preserve">12. https://www.lanacion.com.ar/politica/apuro-oficialista-avanzo-en-el-senado-la-ratificacion-del-acuerdo-entre-el-mercosur-y-la-union-nid18022026/</w:t>
      </w:r>
      <w:r>
        <w:rPr>
          <w:b/>
          <w:bCs/>
        </w:rPr>
        <w:t xml:space="preserve">12. </w:t>
      </w:r>
      <w:r>
        <w:rPr>
          <w:color w:val="0563C1"/>
          <w:u w:val="single"/>
        </w:rPr>
        <w:t xml:space="preserve">https://www.lanacion.com.ar/politica/apuro-oficialista-avanzo-en-el-senado-la-ratificacion-del-acuerdo-entre-el-mercosur-y-la-union-nid18022026/</w:t>
      </w:r>
    </w:p>
    <w:p>
      <w:pPr>
        <w:spacing w:after="100"/>
      </w:pPr>
      <w:r>
        <w:t xml:space="preserve">13. https://www.ambito.com/politica/el-parlamento-europeo-freno-el-acuerdo-mercosurue-y-dejo-al-congreso-una-decision-clave-n6236870</w:t>
      </w:r>
      <w:r>
        <w:rPr>
          <w:b/>
          <w:bCs/>
        </w:rPr>
        <w:t xml:space="preserve">13. </w:t>
      </w:r>
      <w:r>
        <w:rPr>
          <w:color w:val="0563C1"/>
          <w:u w:val="single"/>
        </w:rPr>
        <w:t xml:space="preserve">https://www.ambito.com/politica/el-parlamento-europeo-freno-el-acuerdo-mercosurue-y-dejo-al-congreso-una-decision-clave-n6236870</w:t>
      </w:r>
    </w:p>
    <w:p>
      <w:pPr>
        <w:spacing w:after="100"/>
      </w:pPr>
      <w:r>
        <w:t xml:space="preserve">14. https://www.clarin.com/rural/pro-contras-dudas-perspectivas-acuerdo-mercosur-union-europea_0_sXAArNyOIo.html</w:t>
      </w:r>
      <w:r>
        <w:rPr>
          <w:b/>
          <w:bCs/>
        </w:rPr>
        <w:t xml:space="preserve">14. </w:t>
      </w:r>
      <w:r>
        <w:rPr>
          <w:color w:val="0563C1"/>
          <w:u w:val="single"/>
        </w:rPr>
        <w:t xml:space="preserve">https://www.clarin.com/rural/pro-contras-dudas-perspectivas-acuerdo-mercosur-union-europea_0_sXAArNyOIo.html</w:t>
      </w:r>
    </w:p>
    <w:p>
      <w:pPr>
        <w:spacing w:after="100"/>
      </w:pPr>
      <w:r>
        <w:t xml:space="preserve">15. https://www.infobae.com/politica/2026/02/13/como-votaron-cada-uno-de-los-diputados-el-acuerdo-de-libre-comercio-entre-el-mercosur-y-la-union-europea/</w:t>
      </w:r>
      <w:r>
        <w:rPr>
          <w:b/>
          <w:bCs/>
        </w:rPr>
        <w:t xml:space="preserve">15. </w:t>
      </w:r>
      <w:r>
        <w:rPr>
          <w:color w:val="0563C1"/>
          <w:u w:val="single"/>
        </w:rPr>
        <w:t xml:space="preserve">https://www.infobae.com/politica/2026/02/13/como-votaron-cada-uno-de-los-diputados-el-acuerdo-de-libre-comercio-entre-el-mercosur-y-la-union-europea/</w:t>
      </w:r>
    </w:p>
    <w:p>
      <w:pPr>
        <w:spacing w:after="100"/>
      </w:pPr>
      <w:r>
        <w:t xml:space="preserve">16. https://www.infobae.com/revista-chacra/2026/02/15/uemercosur-en-pausa-judicial-comercio-politica-y-casi-un-mes-sin-avances/</w:t>
      </w:r>
      <w:r>
        <w:rPr>
          <w:b/>
          <w:bCs/>
        </w:rPr>
        <w:t xml:space="preserve">16. </w:t>
      </w:r>
      <w:r>
        <w:rPr>
          <w:color w:val="0563C1"/>
          <w:u w:val="single"/>
        </w:rPr>
        <w:t xml:space="preserve">https://www.infobae.com/revista-chacra/2026/02/15/uemercosur-en-pausa-judicial-comercio-politica-y-casi-un-mes-sin-avances/</w:t>
      </w:r>
    </w:p>
    <w:p>
      <w:pPr>
        <w:spacing w:after="100"/>
      </w:pPr>
      <w:r>
        <w:t xml:space="preserve">17. https://www.lanacion.com.ar/opinion/acuerdo-ue-mercosur-todos-los-caminos-llevan-a-roma-y-buenos-aires-nid28052025/</w:t>
      </w:r>
      <w:r>
        <w:rPr>
          <w:b/>
          <w:bCs/>
        </w:rPr>
        <w:t xml:space="preserve">17. </w:t>
      </w:r>
      <w:r>
        <w:rPr>
          <w:color w:val="0563C1"/>
          <w:u w:val="single"/>
        </w:rPr>
        <w:t xml:space="preserve">https://www.lanacion.com.ar/opinion/acuerdo-ue-mercosur-todos-los-caminos-llevan-a-roma-y-buenos-aires-nid28052025/</w:t>
      </w:r>
    </w:p>
    <w:p>
      <w:pPr>
        <w:spacing w:after="100"/>
      </w:pPr>
      <w:r>
        <w:t xml:space="preserve">18. https://www.lanacion.com.ar/politica/union-europea-mercosur-como-se-destrabo-el-acuerdo-y-que-chances-tiene-de-ser-ratificado-para-nid09012026/</w:t>
      </w:r>
      <w:r>
        <w:rPr>
          <w:b/>
          <w:bCs/>
        </w:rPr>
        <w:t xml:space="preserve">18. </w:t>
      </w:r>
      <w:r>
        <w:rPr>
          <w:color w:val="0563C1"/>
          <w:u w:val="single"/>
        </w:rPr>
        <w:t xml:space="preserve">https://www.lanacion.com.ar/politica/union-europea-mercosur-como-se-destrabo-el-acuerdo-y-que-chances-tiene-de-ser-ratificado-para-nid09012026/</w:t>
      </w:r>
    </w:p>
    <w:p>
      <w:pPr>
        <w:spacing w:after="100"/>
      </w:pPr>
      <w:r>
        <w:t xml:space="preserve">19. https://www.infobae.com/economia/2024/12/06/acuerdo-ue-mercosur-como-impactara-en-la-argentina-y-que-expectativas-hay-sobre-su-entrada-en-vigencia/</w:t>
      </w:r>
      <w:r>
        <w:rPr>
          <w:b/>
          <w:bCs/>
        </w:rPr>
        <w:t xml:space="preserve">19. </w:t>
      </w:r>
      <w:r>
        <w:rPr>
          <w:color w:val="0563C1"/>
          <w:u w:val="single"/>
        </w:rPr>
        <w:t xml:space="preserve">https://www.infobae.com/economia/2024/12/06/acuerdo-ue-mercosur-como-impactara-en-la-argentina-y-que-expectativas-hay-sobre-su-entrada-en-vigencia/</w:t>
      </w:r>
    </w:p>
    <w:p>
      <w:pPr>
        <w:spacing w:after="100"/>
      </w:pPr>
      <w:r>
        <w:t xml:space="preserve">20. https://www.ambito.com/opiniones/ue-mercosur-un-acuerdo-atrapado-la-geopolitica-las-nuevas-barreras-verdes-y-el-viejo-proteccionismo-n6186591</w:t>
      </w:r>
      <w:r>
        <w:rPr>
          <w:b/>
          <w:bCs/>
        </w:rPr>
        <w:t xml:space="preserve">20. </w:t>
      </w:r>
      <w:r>
        <w:rPr>
          <w:color w:val="0563C1"/>
          <w:u w:val="single"/>
        </w:rPr>
        <w:t xml:space="preserve">https://www.ambito.com/opiniones/ue-mercosur-un-acuerdo-atrapado-la-geopolitica-las-nuevas-barreras-verdes-y-el-viejo-proteccionismo-n6186591</w:t>
      </w:r>
    </w:p>
    <w:p>
      <w:pPr>
        <w:spacing w:after="100"/>
      </w:pPr>
      <w:r>
        <w:t xml:space="preserve">21. https://www.indec.gob.ar/uploads/informesdeprensa/ica_01_25A3C543FBCD.pdf</w:t>
      </w:r>
      <w:r>
        <w:rPr>
          <w:b/>
          <w:bCs/>
        </w:rPr>
        <w:t xml:space="preserve">21. </w:t>
      </w:r>
      <w:r>
        <w:rPr>
          <w:color w:val="0563C1"/>
          <w:u w:val="single"/>
        </w:rPr>
        <w:t xml:space="preserve">https://www.indec.gob.ar/uploads/informesdeprensa/ica_01_25A3C543FBCD.pdf</w:t>
      </w:r>
    </w:p>
    <w:p>
      <w:pPr>
        <w:spacing w:after="100"/>
      </w:pPr>
      <w:r>
        <w:t xml:space="preserve">22. https://www.infobae.com/economia/2026/01/10/acuerdo-uemercosur-como-impactara-en-las-exportaciones-la-industria-y-las-inversiones-en-la-argentina/</w:t>
      </w:r>
      <w:r>
        <w:rPr>
          <w:b/>
          <w:bCs/>
        </w:rPr>
        <w:t xml:space="preserve">22. </w:t>
      </w:r>
      <w:r>
        <w:rPr>
          <w:color w:val="0563C1"/>
          <w:u w:val="single"/>
        </w:rPr>
        <w:t xml:space="preserve">https://www.infobae.com/economia/2026/01/10/acuerdo-uemercosur-como-impactara-en-las-exportaciones-la-industria-y-las-inversiones-en-la-argentina/</w:t>
      </w:r>
    </w:p>
    <w:p>
      <w:pPr>
        <w:spacing w:after="100"/>
      </w:pPr>
      <w:r>
        <w:t xml:space="preserve">23. https://www.bde.es/f/webbe/SES/Secciones/Publicaciones/InformeEconomiaLatinoamericana/2024/S2/fich/EconomiaLatinoamericana_Recuadro1_022024.pdf</w:t>
      </w:r>
      <w:r>
        <w:rPr>
          <w:b/>
          <w:bCs/>
        </w:rPr>
        <w:t xml:space="preserve">23. </w:t>
      </w:r>
      <w:r>
        <w:rPr>
          <w:color w:val="0563C1"/>
          <w:u w:val="single"/>
        </w:rPr>
        <w:t xml:space="preserve">https://www.bde.es/f/webbe/SES/Secciones/Publicaciones/InformeEconomiaLatinoamericana/2024/S2/fich/EconomiaLatinoamericana_Recuadro1_022024.pdf</w:t>
      </w:r>
    </w:p>
    <w:p>
      <w:pPr>
        <w:spacing w:after="100"/>
      </w:pPr>
      <w:r>
        <w:t xml:space="preserve">24. https://www.eeas.europa.eu/delegations/argentina/acuerdo-ue-%E2%80%93-mercosur_und_en</w:t>
      </w:r>
      <w:r>
        <w:rPr>
          <w:b/>
          <w:bCs/>
        </w:rPr>
        <w:t xml:space="preserve">24. </w:t>
      </w:r>
      <w:r>
        <w:rPr>
          <w:color w:val="0563C1"/>
          <w:u w:val="single"/>
        </w:rPr>
        <w:t xml:space="preserve">https://www.eeas.europa.eu/delegations/argentina/acuerdo-ue-%E2%80%93-mercosur_und_en</w:t>
      </w:r>
    </w:p>
    <w:p>
      <w:pPr>
        <w:spacing w:after="100"/>
      </w:pPr>
      <w:r>
        <w:t xml:space="preserve">25. https://oilac.jursoc.unlp.edu.ar/images/NOTICIAS2024/N2025/Acuerdo_MERCOSUR-UE.pdf</w:t>
      </w:r>
      <w:r>
        <w:rPr>
          <w:b/>
          <w:bCs/>
        </w:rPr>
        <w:t xml:space="preserve">25. </w:t>
      </w:r>
      <w:r>
        <w:rPr>
          <w:color w:val="0563C1"/>
          <w:u w:val="single"/>
        </w:rPr>
        <w:t xml:space="preserve">https://oilac.jursoc.unlp.edu.ar/images/NOTICIAS2024/N2025/Acuerdo_MERCOSUR-UE.pdf</w:t>
      </w:r>
    </w:p>
    <w:p>
      <w:pPr>
        <w:spacing w:after="100"/>
      </w:pPr>
      <w:r>
        <w:t xml:space="preserve">26. https://repositorio.cepal.org/handle/11362/80464</w:t>
      </w:r>
      <w:r>
        <w:rPr>
          <w:b/>
          <w:bCs/>
        </w:rPr>
        <w:t xml:space="preserve">26. </w:t>
      </w:r>
      <w:r>
        <w:rPr>
          <w:color w:val="0563C1"/>
          <w:u w:val="single"/>
        </w:rPr>
        <w:t xml:space="preserve">https://repositorio.cepal.org/handle/11362/80464</w:t>
      </w:r>
    </w:p>
    <w:p>
      <w:pPr>
        <w:spacing w:after="100"/>
      </w:pPr>
      <w:r>
        <w:t xml:space="preserve">27. https://www.agrolatam.com/mercados/acuerdo-mercosur-ue-impacto-economia-argentina-sectores-clave/</w:t>
      </w:r>
      <w:r>
        <w:rPr>
          <w:b/>
          <w:bCs/>
        </w:rPr>
        <w:t xml:space="preserve">27. </w:t>
      </w:r>
      <w:r>
        <w:rPr>
          <w:color w:val="0563C1"/>
          <w:u w:val="single"/>
        </w:rPr>
        <w:t xml:space="preserve">https://www.agrolatam.com/mercados/acuerdo-mercosur-ue-impacto-economia-argentina-sectores-clave/</w:t>
      </w:r>
    </w:p>
    <w:p>
      <w:pPr>
        <w:spacing w:after="100"/>
      </w:pPr>
      <w:r>
        <w:t xml:space="preserve">28. https://www.cera.org.ar/sites/default/files/prensa/documentos/2023-07/NotaLaNacion2707.pdf</w:t>
      </w:r>
      <w:r>
        <w:rPr>
          <w:b/>
          <w:bCs/>
        </w:rPr>
        <w:t xml:space="preserve">28. </w:t>
      </w:r>
      <w:r>
        <w:rPr>
          <w:color w:val="0563C1"/>
          <w:u w:val="single"/>
        </w:rPr>
        <w:t xml:space="preserve">https://www.cera.org.ar/sites/default/files/prensa/documentos/2023-07/NotaLaNacion2707.pdf</w:t>
      </w:r>
    </w:p>
    <w:p>
      <w:pPr>
        <w:spacing w:after="100"/>
      </w:pPr>
      <w:r>
        <w:t xml:space="preserve">29. https://documento.errepar.com/actualidad/acuerdo-mercosur-union-europea-como-impacta-en-argentina-20241210173636801</w:t>
      </w:r>
      <w:r>
        <w:rPr>
          <w:b/>
          <w:bCs/>
        </w:rPr>
        <w:t xml:space="preserve">29. </w:t>
      </w:r>
      <w:r>
        <w:rPr>
          <w:color w:val="0563C1"/>
          <w:u w:val="single"/>
        </w:rPr>
        <w:t xml:space="preserve">https://documento.errepar.com/actualidad/acuerdo-mercosur-union-europea-como-impacta-en-argentina-20241210173636801</w:t>
      </w:r>
    </w:p>
    <w:p>
      <w:pPr>
        <w:spacing w:after="100"/>
      </w:pPr>
      <w:r>
        <w:t xml:space="preserve">30. https://www.mercosur.int/declaracion-conjunta-mercosur-union-europea</w:t>
      </w:r>
      <w:r>
        <w:rPr>
          <w:b/>
          <w:bCs/>
        </w:rPr>
        <w:t xml:space="preserve">30. </w:t>
      </w:r>
      <w:r>
        <w:rPr>
          <w:color w:val="0563C1"/>
          <w:u w:val="single"/>
        </w:rPr>
        <w:t xml:space="preserve">https://www.mercosur.int/declaracion-conjunta-mercosur-union-europea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2026-02-19T13:14:06.572Z</dcterms:created>
  <dcterms:modified xsi:type="dcterms:W3CDTF">2026-02-19T13:14:06.573Z</dcterms:modified>
</cp:coreProperties>
</file>

<file path=docProps/custom.xml><?xml version="1.0" encoding="utf-8"?>
<Properties xmlns="http://schemas.openxmlformats.org/officeDocument/2006/custom-properties" xmlns:vt="http://schemas.openxmlformats.org/officeDocument/2006/docPropsVTypes"/>
</file>