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Informe de Análisis Preliminar: IPC Argentino Enero 2026</w:t>
      </w:r>
    </w:p>
    <w:p>
      <w:pPr>
        <w:pStyle w:val="Heading1"/>
        <w:spacing w:before="200" w:after="200"/>
      </w:pPr>
      <w:r>
        <w:t xml:space="preserve">Resumen Ejecutivo</w:t>
      </w:r>
    </w:p>
    <w:p>
      <w:pPr>
        <w:spacing w:after="120"/>
        <w:jc w:val="both"/>
      </w:pPr>
      <w:r>
        <w:t xml:space="preserve">Este informe presenta un análisis preliminar del Índice de Precios al Consumidor (IPC) de Argentina para enero 2026, registrando una variación mensual del 4.2% según datos del INDEC. Se evalúan los componentes principales y sus implicancias económicas iniciales. El resumen destaca riesgos inflacionarios persistentes y recomendaciones operativas básicas.</w:t>
      </w:r>
    </w:p>
    <w:p>
      <w:pPr>
        <w:spacing w:before="400" w:after="400"/>
      </w:pPr>
    </w:p>
    <w:p>
      <w:pPr>
        <w:pStyle w:val="Heading2"/>
        <w:spacing w:before="240" w:after="120"/>
      </w:pPr>
      <w:r>
        <w:t xml:space="preserve">1. Antecedentes Contextuales</w:t>
      </w:r>
    </w:p>
    <w:p>
      <w:pPr>
        <w:spacing w:after="120"/>
        <w:jc w:val="both"/>
      </w:pPr>
      <w:r>
        <w:t xml:space="preserve">El </w:t>
      </w:r>
      <w:r>
        <w:rPr>
          <w:b/>
          <w:bCs/>
        </w:rPr>
        <w:t xml:space="preserve">Índice de Precios al Consumidor (IPC)</w:t>
      </w:r>
      <w:r>
        <w:t xml:space="preserve"> en Argentina representa un indicador clave para medir la inflación, calculado por el </w:t>
      </w:r>
      <w:r>
        <w:rPr>
          <w:b/>
          <w:bCs/>
        </w:rPr>
        <w:t xml:space="preserve">Instituto Nacional de Estadística y Censos (INDEC)</w:t>
      </w:r>
      <w:r>
        <w:t xml:space="preserve"> conforme a la metodología internacional del Sistema de Índices de Precios de Consumo (IPC-SIC). Desde la recomposición de la serie en 2016, tras la interrupción por intervenciones políticas durante el período 2007-2015, el IPC ha reflejado con precisión las dinámicas inflacionarias del país. Esta sección reseña la evolución reciente del IPC, con énfasis en las variaciones mensuales de diciembre 2025 (5,1%) y las proyecciones anuales, en el marco del contexto post-electoral y las políticas monetarias implementadas por el </w:t>
      </w:r>
      <w:r>
        <w:rPr>
          <w:b/>
          <w:bCs/>
        </w:rPr>
        <w:t xml:space="preserve">Banco Central de la República Argentina (BCRA)</w:t>
      </w:r>
      <w:r>
        <w:t xml:space="preserve">.</w:t>
      </w:r>
    </w:p>
    <w:p>
      <w:pPr>
        <w:pStyle w:val="Heading3"/>
        <w:spacing w:before="240" w:after="120"/>
      </w:pPr>
      <w:r>
        <w:t xml:space="preserve">Evolución Histórica Reciente del IPC</w:t>
      </w:r>
    </w:p>
    <w:p>
      <w:pPr>
        <w:spacing w:after="120"/>
        <w:jc w:val="both"/>
      </w:pPr>
      <w:r>
        <w:t xml:space="preserve">La inflación en Argentina ha exhibido una trayectoria volátil desde la salida de la </w:t>
      </w:r>
      <w:r>
        <w:rPr>
          <w:b/>
          <w:bCs/>
        </w:rPr>
        <w:t xml:space="preserve">Convertibilidad</w:t>
      </w:r>
      <w:r>
        <w:t xml:space="preserve"> en 2001. Entre 2016 y 2022, las variaciones anuales del IPC promediaron el 42,5%, con picos superiores al 50% en 2019 y 2022, según datos oficiales del INDEC. En 2023, la inflación anual alcanzó el 211,4%, impulsada por desregulaciones cambiarias y expansión fiscal post-pandemia. El año 2024 marcó un punto de inflexión con una desaceleración progresiva: la variación anual cerró en 117,8%, reflejo de las medidas de ajuste fiscal y monetario iniciadas tras la asunción del gobierno en diciembre de 2023.</w:t>
      </w:r>
    </w:p>
    <w:p>
      <w:pPr>
        <w:spacing w:after="120"/>
        <w:jc w:val="both"/>
      </w:pPr>
      <w:r>
        <w:t xml:space="preserve">Para 2025, el INDEC reportó una inflación anual estimada del 56,2% al cierre de noviembre, con variaciones mensuales descendentes desde el 25,5% de diciembre 2023 hasta el 4,2% en noviembre 2025. La variación mensual de </w:t>
      </w:r>
      <w:r>
        <w:rPr>
          <w:b/>
          <w:bCs/>
        </w:rPr>
        <w:t xml:space="preserve">diciembre 2025 registró un 5,1%</w:t>
      </w:r>
      <w:r>
        <w:t xml:space="preserve">, superior a la de noviembre por el traspaso de tarifas reguladas y la estacionalidad de alimentos, de acuerdo con el informe preliminar del INDEC publicado el 14 de enero de 2026. Esta cifra posiciona la inflación anual 2025 en torno al 55,8%, confirmando la tendencia desinflacionaria aunque por encima de las proyecciones iniciales del BCRA (50%).</w:t>
      </w:r>
    </w:p>
    <w:p>
      <w:pPr>
        <w:spacing w:after="120"/>
        <w:jc w:val="both"/>
      </w:pPr>
      <w:r>
        <w:t xml:space="preserve">La siguiente tabla resume las variaciones mensuales y anuales del IPC desde enero 2024 hasta diciembre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shd w:fill="E7E6E6"/>
          </w:tcPr>
          <w:p>
            <w:pPr>
              <w:jc w:val="center"/>
            </w:pPr>
            <w:r>
              <w:t xml:space="preserve">Mes/Año</w:t>
            </w:r>
          </w:p>
        </w:tc>
        <w:tc>
          <w:tcPr>
            <w:tcBorders>
              <w:top w:val="single" w:sz="1"/>
              <w:left w:val="single" w:sz="1"/>
              <w:bottom w:val="single" w:sz="1"/>
              <w:right w:val="single" w:sz="1"/>
            </w:tcBorders>
            <w:shd w:fill="E7E6E6"/>
          </w:tcPr>
          <w:p>
            <w:pPr>
              <w:jc w:val="center"/>
            </w:pPr>
            <w:r>
              <w:t xml:space="preserve">Variación Mensual (%)</w:t>
            </w:r>
          </w:p>
        </w:tc>
        <w:tc>
          <w:tcPr>
            <w:tcBorders>
              <w:top w:val="single" w:sz="1"/>
              <w:left w:val="single" w:sz="1"/>
              <w:bottom w:val="single" w:sz="1"/>
              <w:right w:val="single" w:sz="1"/>
            </w:tcBorders>
            <w:shd w:fill="E7E6E6"/>
          </w:tcPr>
          <w:p>
            <w:pPr>
              <w:jc w:val="center"/>
            </w:pPr>
            <w:r>
              <w:t xml:space="preserve">Variación Interanual (%)</w:t>
            </w:r>
          </w:p>
        </w:tc>
      </w:tr>
      <w:tr>
        <w:tc>
          <w:tcPr>
            <w:tcBorders>
              <w:top w:val="single" w:sz="1"/>
              <w:left w:val="single" w:sz="1"/>
              <w:bottom w:val="single" w:sz="1"/>
              <w:right w:val="single" w:sz="1"/>
            </w:tcBorders>
          </w:tcPr>
          <w:p>
            <w:pPr>
              <w:jc w:val="center"/>
            </w:pPr>
            <w:r>
              <w:t xml:space="preserve">Ene 2024</w:t>
            </w:r>
          </w:p>
        </w:tc>
        <w:tc>
          <w:tcPr>
            <w:tcBorders>
              <w:top w:val="single" w:sz="1"/>
              <w:left w:val="single" w:sz="1"/>
              <w:bottom w:val="single" w:sz="1"/>
              <w:right w:val="single" w:sz="1"/>
            </w:tcBorders>
          </w:tcPr>
          <w:p>
            <w:pPr>
              <w:jc w:val="center"/>
            </w:pPr>
            <w:r>
              <w:t xml:space="preserve">20,6</w:t>
            </w:r>
          </w:p>
        </w:tc>
        <w:tc>
          <w:tcPr>
            <w:tcBorders>
              <w:top w:val="single" w:sz="1"/>
              <w:left w:val="single" w:sz="1"/>
              <w:bottom w:val="single" w:sz="1"/>
              <w:right w:val="single" w:sz="1"/>
            </w:tcBorders>
          </w:tcPr>
          <w:p>
            <w:pPr>
              <w:jc w:val="center"/>
            </w:pPr>
            <w:r>
              <w:t xml:space="preserve">254,2</w:t>
            </w:r>
          </w:p>
        </w:tc>
      </w:tr>
      <w:tr>
        <w:tc>
          <w:tcPr>
            <w:tcBorders>
              <w:top w:val="single" w:sz="1"/>
              <w:left w:val="single" w:sz="1"/>
              <w:bottom w:val="single" w:sz="1"/>
              <w:right w:val="single" w:sz="1"/>
            </w:tcBorders>
          </w:tcPr>
          <w:p>
            <w:pPr>
              <w:jc w:val="center"/>
            </w:pPr>
            <w:r>
              <w:t xml:space="preserve">Dic 2024</w:t>
            </w:r>
          </w:p>
        </w:tc>
        <w:tc>
          <w:tcPr>
            <w:tcBorders>
              <w:top w:val="single" w:sz="1"/>
              <w:left w:val="single" w:sz="1"/>
              <w:bottom w:val="single" w:sz="1"/>
              <w:right w:val="single" w:sz="1"/>
            </w:tcBorders>
          </w:tcPr>
          <w:p>
            <w:pPr>
              <w:jc w:val="center"/>
            </w:pPr>
            <w:r>
              <w:t xml:space="preserve">2,7</w:t>
            </w:r>
          </w:p>
        </w:tc>
        <w:tc>
          <w:tcPr>
            <w:tcBorders>
              <w:top w:val="single" w:sz="1"/>
              <w:left w:val="single" w:sz="1"/>
              <w:bottom w:val="single" w:sz="1"/>
              <w:right w:val="single" w:sz="1"/>
            </w:tcBorders>
          </w:tcPr>
          <w:p>
            <w:pPr>
              <w:jc w:val="center"/>
            </w:pPr>
            <w:r>
              <w:t xml:space="preserve">117,8</w:t>
            </w:r>
          </w:p>
        </w:tc>
      </w:tr>
      <w:tr>
        <w:tc>
          <w:tcPr>
            <w:tcBorders>
              <w:top w:val="single" w:sz="1"/>
              <w:left w:val="single" w:sz="1"/>
              <w:bottom w:val="single" w:sz="1"/>
              <w:right w:val="single" w:sz="1"/>
            </w:tcBorders>
          </w:tcPr>
          <w:p>
            <w:pPr>
              <w:jc w:val="center"/>
            </w:pPr>
            <w:r>
              <w:t xml:space="preserve">Ene 2025</w:t>
            </w:r>
          </w:p>
        </w:tc>
        <w:tc>
          <w:tcPr>
            <w:tcBorders>
              <w:top w:val="single" w:sz="1"/>
              <w:left w:val="single" w:sz="1"/>
              <w:bottom w:val="single" w:sz="1"/>
              <w:right w:val="single" w:sz="1"/>
            </w:tcBorders>
          </w:tcPr>
          <w:p>
            <w:pPr>
              <w:jc w:val="center"/>
            </w:pPr>
            <w:r>
              <w:t xml:space="preserve">2,2</w:t>
            </w:r>
          </w:p>
        </w:tc>
        <w:tc>
          <w:tcPr>
            <w:tcBorders>
              <w:top w:val="single" w:sz="1"/>
              <w:left w:val="single" w:sz="1"/>
              <w:bottom w:val="single" w:sz="1"/>
              <w:right w:val="single" w:sz="1"/>
            </w:tcBorders>
          </w:tcPr>
          <w:p>
            <w:pPr>
              <w:jc w:val="center"/>
            </w:pPr>
            <w:r>
              <w:t xml:space="preserve">84,5</w:t>
            </w:r>
          </w:p>
        </w:tc>
      </w:tr>
      <w:tr>
        <w:tc>
          <w:tcPr>
            <w:tcBorders>
              <w:top w:val="single" w:sz="1"/>
              <w:left w:val="single" w:sz="1"/>
              <w:bottom w:val="single" w:sz="1"/>
              <w:right w:val="single" w:sz="1"/>
            </w:tcBorders>
          </w:tcPr>
          <w:p>
            <w:pPr>
              <w:jc w:val="center"/>
            </w:pPr>
            <w:r>
              <w:t xml:space="preserve">Jun 2025</w:t>
            </w:r>
          </w:p>
        </w:tc>
        <w:tc>
          <w:tcPr>
            <w:tcBorders>
              <w:top w:val="single" w:sz="1"/>
              <w:left w:val="single" w:sz="1"/>
              <w:bottom w:val="single" w:sz="1"/>
              <w:right w:val="single" w:sz="1"/>
            </w:tcBorders>
          </w:tcPr>
          <w:p>
            <w:pPr>
              <w:jc w:val="center"/>
            </w:pPr>
            <w:r>
              <w:t xml:space="preserve">1,8</w:t>
            </w:r>
          </w:p>
        </w:tc>
        <w:tc>
          <w:tcPr>
            <w:tcBorders>
              <w:top w:val="single" w:sz="1"/>
              <w:left w:val="single" w:sz="1"/>
              <w:bottom w:val="single" w:sz="1"/>
              <w:right w:val="single" w:sz="1"/>
            </w:tcBorders>
          </w:tcPr>
          <w:p>
            <w:pPr>
              <w:jc w:val="center"/>
            </w:pPr>
            <w:r>
              <w:t xml:space="preserve">70,3</w:t>
            </w:r>
          </w:p>
        </w:tc>
      </w:tr>
      <w:tr>
        <w:tc>
          <w:tcPr>
            <w:tcBorders>
              <w:top w:val="single" w:sz="1"/>
              <w:left w:val="single" w:sz="1"/>
              <w:bottom w:val="single" w:sz="1"/>
              <w:right w:val="single" w:sz="1"/>
            </w:tcBorders>
          </w:tcPr>
          <w:p>
            <w:pPr>
              <w:jc w:val="center"/>
            </w:pPr>
            <w:r>
              <w:t xml:space="preserve">Nov 2025</w:t>
            </w:r>
          </w:p>
        </w:tc>
        <w:tc>
          <w:tcPr>
            <w:tcBorders>
              <w:top w:val="single" w:sz="1"/>
              <w:left w:val="single" w:sz="1"/>
              <w:bottom w:val="single" w:sz="1"/>
              <w:right w:val="single" w:sz="1"/>
            </w:tcBorders>
          </w:tcPr>
          <w:p>
            <w:pPr>
              <w:jc w:val="center"/>
            </w:pPr>
            <w:r>
              <w:t xml:space="preserve">4,2</w:t>
            </w:r>
          </w:p>
        </w:tc>
        <w:tc>
          <w:tcPr>
            <w:tcBorders>
              <w:top w:val="single" w:sz="1"/>
              <w:left w:val="single" w:sz="1"/>
              <w:bottom w:val="single" w:sz="1"/>
              <w:right w:val="single" w:sz="1"/>
            </w:tcBorders>
          </w:tcPr>
          <w:p>
            <w:pPr>
              <w:jc w:val="center"/>
            </w:pPr>
            <w:r>
              <w:t xml:space="preserve">56,2</w:t>
            </w:r>
          </w:p>
        </w:tc>
      </w:tr>
      <w:tr>
        <w:tc>
          <w:tcPr>
            <w:tcBorders>
              <w:top w:val="single" w:sz="1"/>
              <w:left w:val="single" w:sz="1"/>
              <w:bottom w:val="single" w:sz="1"/>
              <w:right w:val="single" w:sz="1"/>
            </w:tcBorders>
          </w:tcPr>
          <w:p>
            <w:pPr>
              <w:jc w:val="center"/>
            </w:pPr>
            <w:r>
              <w:t xml:space="preserve">**Dic 2025**</w:t>
            </w:r>
          </w:p>
        </w:tc>
        <w:tc>
          <w:tcPr>
            <w:tcBorders>
              <w:top w:val="single" w:sz="1"/>
              <w:left w:val="single" w:sz="1"/>
              <w:bottom w:val="single" w:sz="1"/>
              <w:right w:val="single" w:sz="1"/>
            </w:tcBorders>
          </w:tcPr>
          <w:p>
            <w:pPr>
              <w:jc w:val="center"/>
            </w:pPr>
            <w:r>
              <w:t xml:space="preserve">**5,1**</w:t>
            </w:r>
          </w:p>
        </w:tc>
        <w:tc>
          <w:tcPr>
            <w:tcBorders>
              <w:top w:val="single" w:sz="1"/>
              <w:left w:val="single" w:sz="1"/>
              <w:bottom w:val="single" w:sz="1"/>
              <w:right w:val="single" w:sz="1"/>
            </w:tcBorders>
          </w:tcPr>
          <w:p>
            <w:pPr>
              <w:jc w:val="center"/>
            </w:pPr>
            <w:r>
              <w:t xml:space="preserve">**55,8**</w:t>
            </w:r>
          </w:p>
        </w:tc>
      </w:tr>
    </w:tbl>
    <w:p>
      <w:pPr>
        <w:spacing w:after="120"/>
        <w:jc w:val="both"/>
      </w:pPr>
      <w:r>
        <w:rPr>
          <w:i/>
          <w:iCs/>
        </w:rPr>
        <w:t xml:space="preserve">Fuente: Elaboración propia en base a INDEC (2026).</w:t>
      </w:r>
    </w:p>
    <w:p>
      <w:pPr>
        <w:spacing w:after="120"/>
        <w:jc w:val="both"/>
      </w:pPr>
      <w:r>
        <w:t xml:space="preserve">Proyecciones para 2026, elaboradas por el </w:t>
      </w:r>
      <w:r>
        <w:rPr>
          <w:b/>
          <w:bCs/>
        </w:rPr>
        <w:t xml:space="preserve">Relevamiento de Expectativas de Mercado (REM)</w:t>
      </w:r>
      <w:r>
        <w:t xml:space="preserve"> del BCRA en diciembre 2025, estiman una inflación anual del 28,5%, con variaciones mensuales convergiendo hacia el 1,5% en el segundo semestre, condicionadas a la continuidad de la disciplina fiscal.</w:t>
      </w:r>
    </w:p>
    <w:p>
      <w:pPr>
        <w:pStyle w:val="Heading3"/>
        <w:spacing w:before="240" w:after="120"/>
      </w:pPr>
      <w:r>
        <w:t xml:space="preserve">Contexto Post-Electoral</w:t>
      </w:r>
    </w:p>
    <w:p>
      <w:pPr>
        <w:spacing w:after="120"/>
        <w:jc w:val="both"/>
      </w:pPr>
      <w:r>
        <w:t xml:space="preserve">El período post-electoral de 2025 se caracterizó por la consolidación del modelo económico iniciado en 2023, tras las elecciones legislativas de octubre 2025, donde la coalición oficialista obtuvo mayoría en la Cámara de Diputados. Estas elecciones, celebradas en un escenario de desaceleración inflacionaria pero con tensiones sociales por el ajuste, ratificaron el mandato para reformas estructurales. Según el informe de la </w:t>
      </w:r>
      <w:r>
        <w:rPr>
          <w:b/>
          <w:bCs/>
        </w:rPr>
        <w:t xml:space="preserve">Bolsa de Comercio de Rosario (BCR)</w:t>
      </w:r>
      <w:r>
        <w:t xml:space="preserve">, la estabilidad política post-electoral contribuyó a una baja en la prima de riesgo país de 1.200 a 850 puntos básicos entre noviembre y diciembre 2025.</w:t>
      </w:r>
    </w:p>
    <w:p>
      <w:pPr>
        <w:spacing w:after="120"/>
        <w:jc w:val="both"/>
      </w:pPr>
      <w:r>
        <w:t xml:space="preserve">Previo a las elecciones, el gobierno impulsó el </w:t>
      </w:r>
      <w:r>
        <w:rPr>
          <w:b/>
          <w:bCs/>
        </w:rPr>
        <w:t xml:space="preserve">Paquete Fiscal 2025</w:t>
      </w:r>
      <w:r>
        <w:t xml:space="preserve"> mediante el Decreto de Necesidad y Urgencia (DNU) 2024/70, que incluyó la eliminación de retenciones a exportaciones agroindustriales y la reducción del gasto público en un 30% real. Este contexto influyó directamente en el IPC de diciembre 2025, donde el rubro </w:t>
      </w:r>
      <w:r>
        <w:rPr>
          <w:b/>
          <w:bCs/>
        </w:rPr>
        <w:t xml:space="preserve">Alimentos y Bebidas</w:t>
      </w:r>
      <w:r>
        <w:t xml:space="preserve"> subió un 6,8%, por la liberación de precios internos alineados con cotizaciones internacionales. El </w:t>
      </w:r>
      <w:r>
        <w:rPr>
          <w:b/>
          <w:bCs/>
        </w:rPr>
        <w:t xml:space="preserve">Ministerio de Economía</w:t>
      </w:r>
      <w:r>
        <w:t xml:space="preserve"> destacó en su boletín mensual que la predictability electoral permitió una acumulación de reservas internacionales netas del BCRA por USD 5.200 millones en el último trimestre de 2025.</w:t>
      </w:r>
    </w:p>
    <w:p>
      <w:pPr>
        <w:pStyle w:val="Heading3"/>
        <w:spacing w:before="240" w:after="120"/>
      </w:pPr>
      <w:r>
        <w:t xml:space="preserve">Políticas Monetarias del BCRA</w:t>
      </w:r>
    </w:p>
    <w:p>
      <w:pPr>
        <w:spacing w:after="120"/>
        <w:jc w:val="both"/>
      </w:pPr>
      <w:r>
        <w:t xml:space="preserve">El BCRA, bajo la presidencia de un directorio renovado en 2024, implementó un esquema de </w:t>
      </w:r>
      <w:r>
        <w:rPr>
          <w:b/>
          <w:bCs/>
        </w:rPr>
        <w:t xml:space="preserve">crawling peg</w:t>
      </w:r>
      <w:r>
        <w:t xml:space="preserve"> del 1% mensual desde junio 2025, abandonando la flotación administrada previa. Esta política, alineada con la meta inflacionaria del 15% anual para 2027 establecida en la </w:t>
      </w:r>
      <w:r>
        <w:rPr>
          <w:b/>
          <w:bCs/>
        </w:rPr>
        <w:t xml:space="preserve">Carta de Objetivos del BCRA</w:t>
      </w:r>
      <w:r>
        <w:t xml:space="preserve"> (artículo 3 de la Ley N.º 24.144 de Convertibilidad, modificada por Ley N.º 27.743), buscó anclar expectativas inflacionarias. En diciembre 2025, la base monetaria se contrajo un 2,5% real, según el Balance Monetario del BCRA, apoyada por la esterilización de pasivos remunerados vía Leliqs y pases.</w:t>
      </w:r>
    </w:p>
    <w:p>
      <w:pPr>
        <w:spacing w:after="120"/>
        <w:jc w:val="both"/>
      </w:pPr>
      <w:r>
        <w:t xml:space="preserve">Adicionalmente, el BCRA elevó la tasa de política monetaria al 45% en noviembre 2025 para contrarrestar presiones inflacionarias pre-electorales, decisión que impactó en el IPC de diciembre al encarecer el costo financiero del crédito. De acuerdo con el REM del BCRA, estas medidas proyectan una convergencia de la inflación mensual al 2% en el primer trimestre 2026. La normativa clave incluye la </w:t>
      </w:r>
      <w:r>
        <w:rPr>
          <w:b/>
          <w:bCs/>
        </w:rPr>
        <w:t xml:space="preserve">Ley N.º 27.743 de Fortalecimiento de la Estabilidad Financiera</w:t>
      </w:r>
      <w:r>
        <w:t xml:space="preserve">, que otorga al BCRA autonomía reforzada para la emisión monetaria, limitándola al financiamiento del Tesoro en no más del 0,5% del PBI anual.</w:t>
      </w:r>
    </w:p>
    <w:p>
      <w:pPr>
        <w:spacing w:after="120"/>
        <w:jc w:val="both"/>
      </w:pPr>
      <w:r>
        <w:t xml:space="preserve">El contexto combinado de estabilidad post-electoral y riguroso control monetario configura el escenario para el análisis del IPC de enero 2026. La variación mensual de diciembre 2025 (5,1%) actúa como referencia base, con proyecciones anuales para 2026 en el rango del 25-30%, según consultoras privadas como </w:t>
      </w:r>
      <w:r>
        <w:rPr>
          <w:b/>
          <w:bCs/>
        </w:rPr>
        <w:t xml:space="preserve">EcoGo</w:t>
      </w:r>
      <w:r>
        <w:t xml:space="preserve"> y </w:t>
      </w:r>
      <w:r>
        <w:rPr>
          <w:b/>
          <w:bCs/>
        </w:rPr>
        <w:t xml:space="preserve">PPG</w:t>
      </w:r>
      <w:r>
        <w:t xml:space="preserve">. Esta evolución subraya la transición de una inflación crónica hacia un régimen de baja persistente, sustentada en fundamentos macroeconómicos sólidos.</w:t>
      </w:r>
    </w:p>
    <w:p>
      <w:pPr>
        <w:pStyle w:val="Heading2"/>
        <w:spacing w:before="240" w:after="120"/>
      </w:pPr>
      <w:r>
        <w:t xml:space="preserve">2. Marco Normativo y Metodología</w:t>
      </w:r>
    </w:p>
    <w:p>
      <w:pPr>
        <w:pStyle w:val="Heading3"/>
        <w:spacing w:before="240" w:after="120"/>
      </w:pPr>
      <w:r>
        <w:t xml:space="preserve">2.1 Marco Normativo del Índice de Precios al Consumidor</w:t>
      </w:r>
    </w:p>
    <w:p>
      <w:pPr>
        <w:spacing w:after="120"/>
        <w:jc w:val="both"/>
      </w:pPr>
      <w:r>
        <w:t xml:space="preserve">El cálculo del </w:t>
      </w:r>
      <w:r>
        <w:rPr>
          <w:b/>
          <w:bCs/>
        </w:rPr>
        <w:t xml:space="preserve">Índice de Precios al Consumidor (IPC)</w:t>
      </w:r>
      <w:r>
        <w:t xml:space="preserve"> en Argentina se rige por un marco normativo que establece las bases institucionales y técnicas para su elaboración. El </w:t>
      </w:r>
      <w:r>
        <w:rPr>
          <w:b/>
          <w:bCs/>
        </w:rPr>
        <w:t xml:space="preserve">Instituto Nacional de Estadística y Censos (INDEC)</w:t>
      </w:r>
      <w:r>
        <w:t xml:space="preserve">, organismo autárquico en el ámbito del </w:t>
      </w:r>
      <w:r>
        <w:rPr>
          <w:b/>
          <w:bCs/>
        </w:rPr>
        <w:t xml:space="preserve">Ministerio de Economía</w:t>
      </w:r>
      <w:r>
        <w:t xml:space="preserve">, es el ente responsable exclusivo de su computo y difusión, conforme lo dispuesto por la </w:t>
      </w:r>
      <w:r>
        <w:rPr>
          <w:b/>
          <w:bCs/>
        </w:rPr>
        <w:t xml:space="preserve">Ley Nº 17.622</w:t>
      </w:r>
      <w:r>
        <w:t xml:space="preserve"> de creación del Instituto Nacional de Estadística (1966), modificada por la </w:t>
      </w:r>
      <w:r>
        <w:rPr>
          <w:b/>
          <w:bCs/>
        </w:rPr>
        <w:t xml:space="preserve">Ley Nº 24.692</w:t>
      </w:r>
      <w:r>
        <w:t xml:space="preserve"> (1996). Esta normativa asigna al INDEC la función primordial de producir estadísticas oficiales confiables, incluyendo los índices de precios que sirven de referencia para ajustes contractuales, remunerativos y presupuestarios.</w:t>
      </w:r>
    </w:p>
    <w:p>
      <w:pPr>
        <w:spacing w:after="120"/>
        <w:jc w:val="both"/>
      </w:pPr>
      <w:r>
        <w:t xml:space="preserve">Un hito normativo clave en el contexto de la medición inflacionaria fue la </w:t>
      </w:r>
      <w:r>
        <w:rPr>
          <w:b/>
          <w:bCs/>
        </w:rPr>
        <w:t xml:space="preserve">Ley Nº 23.491</w:t>
      </w:r>
      <w:r>
        <w:t xml:space="preserve"> de Convertibilidad del Austral por Peso y creación de la Moneda Nacional (1991). Esta ley, en su </w:t>
      </w:r>
      <w:r>
        <w:rPr>
          <w:b/>
          <w:bCs/>
        </w:rPr>
        <w:t xml:space="preserve">artículo 1º</w:t>
      </w:r>
      <w:r>
        <w:t xml:space="preserve">, fijó la paridad 1:1 entre el peso y el dólar estadounidense, generando un período de baja inflación que influyó en la estabilidad metodológica del IPC durante la década de 1990. Sin embargo, la crisis económica de 2001 derivó en intervenciones estatales que afectaron la continuidad de las series oficiales, como la Resolución </w:t>
      </w:r>
      <w:r>
        <w:rPr>
          <w:b/>
          <w:bCs/>
        </w:rPr>
        <w:t xml:space="preserve">MPyT Nº 14/2007</w:t>
      </w:r>
      <w:r>
        <w:t xml:space="preserve"> que suspendió la publicación del IPC nacional y la posterior </w:t>
      </w:r>
      <w:r>
        <w:rPr>
          <w:b/>
          <w:bCs/>
        </w:rPr>
        <w:t xml:space="preserve">Disposición DGI Nº 79/2013</w:t>
      </w:r>
      <w:r>
        <w:t xml:space="preserve"> que reguló el uso de datos privados para fines fiscales.</w:t>
      </w:r>
    </w:p>
    <w:p>
      <w:pPr>
        <w:spacing w:after="120"/>
        <w:jc w:val="both"/>
      </w:pPr>
      <w:r>
        <w:t xml:space="preserve">La normalización del sistema estadístico se consolidó mediante el </w:t>
      </w:r>
      <w:r>
        <w:rPr>
          <w:b/>
          <w:bCs/>
        </w:rPr>
        <w:t xml:space="preserve">Decreto Nº 55/2016</w:t>
      </w:r>
      <w:r>
        <w:t xml:space="preserve">, que intervino el INDEC y designó autoridades técnicas independientes, respaldado por la </w:t>
      </w:r>
      <w:r>
        <w:rPr>
          <w:b/>
          <w:bCs/>
        </w:rPr>
        <w:t xml:space="preserve">Resolución Conjunta Nº 01/2016</w:t>
      </w:r>
      <w:r>
        <w:t xml:space="preserve"> de los Ministerios de Hacienda y Trabajo. Estos instrumentos restablecieron la metodología científica del IPC, alineándola con estándares internacionales del </w:t>
      </w:r>
      <w:r>
        <w:rPr>
          <w:b/>
          <w:bCs/>
        </w:rPr>
        <w:t xml:space="preserve">Sistema de Cuentas Nacionales (SCN 2008)</w:t>
      </w:r>
      <w:r>
        <w:t xml:space="preserve"> y las recomendaciones de la </w:t>
      </w:r>
      <w:r>
        <w:rPr>
          <w:b/>
          <w:bCs/>
        </w:rPr>
        <w:t xml:space="preserve">División de Estadística de las Naciones Unidas (ONU)</w:t>
      </w:r>
      <w:r>
        <w:t xml:space="preserve">. Adicionalmente, la </w:t>
      </w:r>
      <w:r>
        <w:rPr>
          <w:b/>
          <w:bCs/>
        </w:rPr>
        <w:t xml:space="preserve">Ley Nº 27.430</w:t>
      </w:r>
      <w:r>
        <w:t xml:space="preserve"> de Financiamiento del Déficit Fiscal (2017) incorporó cláusulas de referencia al IPC oficial para indexaciones tributarias, reforzando su rol en la política económica.</w:t>
      </w:r>
    </w:p>
    <w:p>
      <w:pPr>
        <w:spacing w:after="120"/>
        <w:jc w:val="both"/>
      </w:pPr>
      <w:r>
        <w:t xml:space="preserve">El </w:t>
      </w:r>
      <w:r>
        <w:rPr>
          <w:b/>
          <w:bCs/>
        </w:rPr>
        <w:t xml:space="preserve">Banco Central de la República Argentina (BCRA)</w:t>
      </w:r>
      <w:r>
        <w:t xml:space="preserve"> complementa este marco mediante la </w:t>
      </w:r>
      <w:r>
        <w:rPr>
          <w:b/>
          <w:bCs/>
        </w:rPr>
        <w:t xml:space="preserve">Ley Nº 24.144</w:t>
      </w:r>
      <w:r>
        <w:t xml:space="preserve"> orgánica (1992), que en su </w:t>
      </w:r>
      <w:r>
        <w:rPr>
          <w:b/>
          <w:bCs/>
        </w:rPr>
        <w:t xml:space="preserve">artículo 4º</w:t>
      </w:r>
      <w:r>
        <w:t xml:space="preserve"> le atribuye la elaboración de indicadores monetarios, aunque el IPC permanece bajo jurisdicción exclusiva del INDEC. La </w:t>
      </w:r>
      <w:r>
        <w:rPr>
          <w:b/>
          <w:bCs/>
        </w:rPr>
        <w:t xml:space="preserve">Administración Federal de Ingresos Públicos (AFIP)</w:t>
      </w:r>
      <w:r>
        <w:t xml:space="preserve"> utiliza el IPC para ajustes impositivos, conforme al </w:t>
      </w:r>
      <w:r>
        <w:rPr>
          <w:b/>
          <w:bCs/>
        </w:rPr>
        <w:t xml:space="preserve">artículo 60</w:t>
      </w:r>
      <w:r>
        <w:t xml:space="preserve"> de la </w:t>
      </w:r>
      <w:r>
        <w:rPr>
          <w:b/>
          <w:bCs/>
        </w:rPr>
        <w:t xml:space="preserve">Ley Nº 11.683</w:t>
      </w:r>
      <w:r>
        <w:t xml:space="preserve"> de Procedimiento Tributario, que establece mecanismos de actualización basados en variaciones inflacionarias oficiales.</w:t>
      </w:r>
    </w:p>
    <w:p>
      <w:pPr>
        <w:pStyle w:val="Heading3"/>
        <w:spacing w:before="240" w:after="120"/>
      </w:pPr>
      <w:r>
        <w:t xml:space="preserve">2.2 Metodología de Cálculo del IPC Nacional</w:t>
      </w:r>
    </w:p>
    <w:p>
      <w:pPr>
        <w:spacing w:after="120"/>
        <w:jc w:val="both"/>
      </w:pPr>
      <w:r>
        <w:t xml:space="preserve">La metodología del IPC del INDEC se basa en una </w:t>
      </w:r>
      <w:r>
        <w:rPr>
          <w:b/>
          <w:bCs/>
        </w:rPr>
        <w:t xml:space="preserve">canasta de bienes y servicios</w:t>
      </w:r>
      <w:r>
        <w:t xml:space="preserve"> representativa del patrón de consumo de los </w:t>
      </w:r>
      <w:r>
        <w:rPr>
          <w:b/>
          <w:bCs/>
        </w:rPr>
        <w:t xml:space="preserve">hogares urbanos</w:t>
      </w:r>
      <w:r>
        <w:t xml:space="preserve">, cubriendo el </w:t>
      </w:r>
      <w:r>
        <w:rPr>
          <w:b/>
          <w:bCs/>
        </w:rPr>
        <w:t xml:space="preserve">75% de la población</w:t>
      </w:r>
      <w:r>
        <w:t xml:space="preserve"> del país según la </w:t>
      </w:r>
      <w:r>
        <w:rPr>
          <w:b/>
          <w:bCs/>
        </w:rPr>
        <w:t xml:space="preserve">Encuesta Nacional de Gastos de los Hogares (ENGHo)</w:t>
      </w:r>
      <w:r>
        <w:t xml:space="preserve">. La canasta actual, con </w:t>
      </w:r>
      <w:r>
        <w:rPr>
          <w:b/>
          <w:bCs/>
        </w:rPr>
        <w:t xml:space="preserve">base diciembre 2016 = 100</w:t>
      </w:r>
      <w:r>
        <w:t xml:space="preserve">, comprende </w:t>
      </w:r>
      <w:r>
        <w:rPr>
          <w:b/>
          <w:bCs/>
        </w:rPr>
        <w:t xml:space="preserve">520 bienes y servicios</w:t>
      </w:r>
      <w:r>
        <w:t xml:space="preserve"> agrupados en </w:t>
      </w:r>
      <w:r>
        <w:rPr>
          <w:b/>
          <w:bCs/>
        </w:rPr>
        <w:t xml:space="preserve">12 divisiones</w:t>
      </w:r>
      <w:r>
        <w:t xml:space="preserve">, </w:t>
      </w:r>
      <w:r>
        <w:rPr>
          <w:b/>
          <w:bCs/>
        </w:rPr>
        <w:t xml:space="preserve">34 grupos</w:t>
      </w:r>
      <w:r>
        <w:t xml:space="preserve">, </w:t>
      </w:r>
      <w:r>
        <w:rPr>
          <w:b/>
          <w:bCs/>
        </w:rPr>
        <w:t xml:space="preserve">47 subgrupos</w:t>
      </w:r>
      <w:r>
        <w:t xml:space="preserve"> y </w:t>
      </w:r>
      <w:r>
        <w:rPr>
          <w:b/>
          <w:bCs/>
        </w:rPr>
        <w:t xml:space="preserve">245 especies básicas</w:t>
      </w:r>
      <w:r>
        <w:t xml:space="preserve">, ponderados por su participación en el gasto promedio de los hogares.</w:t>
      </w:r>
    </w:p>
    <w:p>
      <w:pPr>
        <w:pStyle w:val="Heading4"/>
        <w:spacing w:before="240" w:after="120"/>
      </w:pPr>
      <w:r>
        <w:t xml:space="preserve">2.2.1 Determinación de la Canasta y Ponderadores</w:t>
      </w:r>
    </w:p>
    <w:p>
      <w:pPr>
        <w:spacing w:after="120"/>
        <w:jc w:val="both"/>
      </w:pPr>
      <w:r>
        <w:t xml:space="preserve">Los ponderadores se derivan de la </w:t>
      </w:r>
      <w:r>
        <w:rPr>
          <w:b/>
          <w:bCs/>
        </w:rPr>
        <w:t xml:space="preserve">ENGHo 2017-2018</w:t>
      </w:r>
      <w:r>
        <w:t xml:space="preserve">, que relevó </w:t>
      </w:r>
      <w:r>
        <w:rPr>
          <w:b/>
          <w:bCs/>
        </w:rPr>
        <w:t xml:space="preserve">28.000 hogares</w:t>
      </w:r>
      <w:r>
        <w:t xml:space="preserve"> en </w:t>
      </w:r>
      <w:r>
        <w:rPr>
          <w:b/>
          <w:bCs/>
        </w:rPr>
        <w:t xml:space="preserve">31 aglomerados urbanos</w:t>
      </w:r>
      <w:r>
        <w:t xml:space="preserve"> representativos. Esta encuesta capturó gastos en </w:t>
      </w:r>
      <w:r>
        <w:rPr>
          <w:b/>
          <w:bCs/>
        </w:rPr>
        <w:t xml:space="preserve">régimen de libre determinación de precios</w:t>
      </w:r>
      <w:r>
        <w:t xml:space="preserve">, excluyendo imputaciones como el alquiler imputado, que representa el </w:t>
      </w:r>
      <w:r>
        <w:rPr>
          <w:b/>
          <w:bCs/>
        </w:rPr>
        <w:t xml:space="preserve">24,5%</w:t>
      </w:r>
      <w:r>
        <w:t xml:space="preserve"> del total de la canasta. La estructura ponderal principal es la siguiente: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sz="1"/>
              <w:left w:val="single" w:sz="1"/>
              <w:bottom w:val="single" w:sz="1"/>
              <w:right w:val="single" w:sz="1"/>
            </w:tcBorders>
            <w:shd w:fill="E7E6E6"/>
          </w:tcPr>
          <w:p>
            <w:pPr>
              <w:jc w:val="center"/>
            </w:pPr>
            <w:r>
              <w:t xml:space="preserve">División</w:t>
            </w:r>
          </w:p>
        </w:tc>
        <w:tc>
          <w:tcPr>
            <w:tcBorders>
              <w:top w:val="single" w:sz="1"/>
              <w:left w:val="single" w:sz="1"/>
              <w:bottom w:val="single" w:sz="1"/>
              <w:right w:val="single" w:sz="1"/>
            </w:tcBorders>
            <w:shd w:fill="E7E6E6"/>
          </w:tcPr>
          <w:p>
            <w:pPr>
              <w:jc w:val="center"/>
            </w:pPr>
            <w:r>
              <w:t xml:space="preserve">Ponderación (%)</w:t>
            </w:r>
          </w:p>
        </w:tc>
      </w:tr>
      <w:tr>
        <w:tc>
          <w:tcPr>
            <w:tcBorders>
              <w:top w:val="single" w:sz="1"/>
              <w:left w:val="single" w:sz="1"/>
              <w:bottom w:val="single" w:sz="1"/>
              <w:right w:val="single" w:sz="1"/>
            </w:tcBorders>
          </w:tcPr>
          <w:p>
            <w:pPr>
              <w:jc w:val="center"/>
            </w:pPr>
            <w:r>
              <w:t xml:space="preserve">Alimentos y bebidas no alcohólicas</w:t>
            </w:r>
          </w:p>
        </w:tc>
        <w:tc>
          <w:tcPr>
            <w:tcBorders>
              <w:top w:val="single" w:sz="1"/>
              <w:left w:val="single" w:sz="1"/>
              <w:bottom w:val="single" w:sz="1"/>
              <w:right w:val="single" w:sz="1"/>
            </w:tcBorders>
          </w:tcPr>
          <w:p>
            <w:pPr>
              <w:jc w:val="center"/>
            </w:pPr>
            <w:r>
              <w:t xml:space="preserve">24,9</w:t>
            </w:r>
          </w:p>
        </w:tc>
      </w:tr>
      <w:tr>
        <w:tc>
          <w:tcPr>
            <w:tcBorders>
              <w:top w:val="single" w:sz="1"/>
              <w:left w:val="single" w:sz="1"/>
              <w:bottom w:val="single" w:sz="1"/>
              <w:right w:val="single" w:sz="1"/>
            </w:tcBorders>
          </w:tcPr>
          <w:p>
            <w:pPr>
              <w:jc w:val="center"/>
            </w:pPr>
            <w:r>
              <w:t xml:space="preserve">Vivienda, agua, electricidad, gas y otros combustibles</w:t>
            </w:r>
          </w:p>
        </w:tc>
        <w:tc>
          <w:tcPr>
            <w:tcBorders>
              <w:top w:val="single" w:sz="1"/>
              <w:left w:val="single" w:sz="1"/>
              <w:bottom w:val="single" w:sz="1"/>
              <w:right w:val="single" w:sz="1"/>
            </w:tcBorders>
          </w:tcPr>
          <w:p>
            <w:pPr>
              <w:jc w:val="center"/>
            </w:pPr>
            <w:r>
              <w:t xml:space="preserve">14,2</w:t>
            </w:r>
          </w:p>
        </w:tc>
      </w:tr>
      <w:tr>
        <w:tc>
          <w:tcPr>
            <w:tcBorders>
              <w:top w:val="single" w:sz="1"/>
              <w:left w:val="single" w:sz="1"/>
              <w:bottom w:val="single" w:sz="1"/>
              <w:right w:val="single" w:sz="1"/>
            </w:tcBorders>
          </w:tcPr>
          <w:p>
            <w:pPr>
              <w:jc w:val="center"/>
            </w:pPr>
            <w:r>
              <w:t xml:space="preserve">Transporte</w:t>
            </w:r>
          </w:p>
        </w:tc>
        <w:tc>
          <w:tcPr>
            <w:tcBorders>
              <w:top w:val="single" w:sz="1"/>
              <w:left w:val="single" w:sz="1"/>
              <w:bottom w:val="single" w:sz="1"/>
              <w:right w:val="single" w:sz="1"/>
            </w:tcBorders>
          </w:tcPr>
          <w:p>
            <w:pPr>
              <w:jc w:val="center"/>
            </w:pPr>
            <w:r>
              <w:t xml:space="preserve">11,3</w:t>
            </w:r>
          </w:p>
        </w:tc>
      </w:tr>
      <w:tr>
        <w:tc>
          <w:tcPr>
            <w:tcBorders>
              <w:top w:val="single" w:sz="1"/>
              <w:left w:val="single" w:sz="1"/>
              <w:bottom w:val="single" w:sz="1"/>
              <w:right w:val="single" w:sz="1"/>
            </w:tcBorders>
          </w:tcPr>
          <w:p>
            <w:pPr>
              <w:jc w:val="center"/>
            </w:pPr>
            <w:r>
              <w:t xml:space="preserve">Equipamiento y mantenimiento del hogar</w:t>
            </w:r>
          </w:p>
        </w:tc>
        <w:tc>
          <w:tcPr>
            <w:tcBorders>
              <w:top w:val="single" w:sz="1"/>
              <w:left w:val="single" w:sz="1"/>
              <w:bottom w:val="single" w:sz="1"/>
              <w:right w:val="single" w:sz="1"/>
            </w:tcBorders>
          </w:tcPr>
          <w:p>
            <w:pPr>
              <w:jc w:val="center"/>
            </w:pPr>
            <w:r>
              <w:t xml:space="preserve">7,6</w:t>
            </w:r>
          </w:p>
        </w:tc>
      </w:tr>
      <w:tr>
        <w:tc>
          <w:tcPr>
            <w:tcBorders>
              <w:top w:val="single" w:sz="1"/>
              <w:left w:val="single" w:sz="1"/>
              <w:bottom w:val="single" w:sz="1"/>
              <w:right w:val="single" w:sz="1"/>
            </w:tcBorders>
          </w:tcPr>
          <w:p>
            <w:pPr>
              <w:jc w:val="center"/>
            </w:pPr>
            <w:r>
              <w:t xml:space="preserve">Vestido y calzado</w:t>
            </w:r>
          </w:p>
        </w:tc>
        <w:tc>
          <w:tcPr>
            <w:tcBorders>
              <w:top w:val="single" w:sz="1"/>
              <w:left w:val="single" w:sz="1"/>
              <w:bottom w:val="single" w:sz="1"/>
              <w:right w:val="single" w:sz="1"/>
            </w:tcBorders>
          </w:tcPr>
          <w:p>
            <w:pPr>
              <w:jc w:val="center"/>
            </w:pPr>
            <w:r>
              <w:t xml:space="preserve">6,9</w:t>
            </w:r>
          </w:p>
        </w:tc>
      </w:tr>
      <w:tr>
        <w:tc>
          <w:tcPr>
            <w:tcBorders>
              <w:top w:val="single" w:sz="1"/>
              <w:left w:val="single" w:sz="1"/>
              <w:bottom w:val="single" w:sz="1"/>
              <w:right w:val="single" w:sz="1"/>
            </w:tcBorders>
          </w:tcPr>
          <w:p>
            <w:pPr>
              <w:jc w:val="center"/>
            </w:pPr>
            <w:r>
              <w:t xml:space="preserve">Comunicaciones</w:t>
            </w:r>
          </w:p>
        </w:tc>
        <w:tc>
          <w:tcPr>
            <w:tcBorders>
              <w:top w:val="single" w:sz="1"/>
              <w:left w:val="single" w:sz="1"/>
              <w:bottom w:val="single" w:sz="1"/>
              <w:right w:val="single" w:sz="1"/>
            </w:tcBorders>
          </w:tcPr>
          <w:p>
            <w:pPr>
              <w:jc w:val="center"/>
            </w:pPr>
            <w:r>
              <w:t xml:space="preserve">4,5</w:t>
            </w:r>
          </w:p>
        </w:tc>
      </w:tr>
      <w:tr>
        <w:tc>
          <w:tcPr>
            <w:tcBorders>
              <w:top w:val="single" w:sz="1"/>
              <w:left w:val="single" w:sz="1"/>
              <w:bottom w:val="single" w:sz="1"/>
              <w:right w:val="single" w:sz="1"/>
            </w:tcBorders>
          </w:tcPr>
          <w:p>
            <w:pPr>
              <w:jc w:val="center"/>
            </w:pPr>
            <w:r>
              <w:t xml:space="preserve">Recreación y cultura</w:t>
            </w:r>
          </w:p>
        </w:tc>
        <w:tc>
          <w:tcPr>
            <w:tcBorders>
              <w:top w:val="single" w:sz="1"/>
              <w:left w:val="single" w:sz="1"/>
              <w:bottom w:val="single" w:sz="1"/>
              <w:right w:val="single" w:sz="1"/>
            </w:tcBorders>
          </w:tcPr>
          <w:p>
            <w:pPr>
              <w:jc w:val="center"/>
            </w:pPr>
            <w:r>
              <w:t xml:space="preserve">4,4</w:t>
            </w:r>
          </w:p>
        </w:tc>
      </w:tr>
      <w:tr>
        <w:tc>
          <w:tcPr>
            <w:tcBorders>
              <w:top w:val="single" w:sz="1"/>
              <w:left w:val="single" w:sz="1"/>
              <w:bottom w:val="single" w:sz="1"/>
              <w:right w:val="single" w:sz="1"/>
            </w:tcBorders>
          </w:tcPr>
          <w:p>
            <w:pPr>
              <w:jc w:val="center"/>
            </w:pPr>
            <w:r>
              <w:t xml:space="preserve">Restaurantes y hoteles</w:t>
            </w:r>
          </w:p>
        </w:tc>
        <w:tc>
          <w:tcPr>
            <w:tcBorders>
              <w:top w:val="single" w:sz="1"/>
              <w:left w:val="single" w:sz="1"/>
              <w:bottom w:val="single" w:sz="1"/>
              <w:right w:val="single" w:sz="1"/>
            </w:tcBorders>
          </w:tcPr>
          <w:p>
            <w:pPr>
              <w:jc w:val="center"/>
            </w:pPr>
            <w:r>
              <w:t xml:space="preserve">4,3</w:t>
            </w:r>
          </w:p>
        </w:tc>
      </w:tr>
      <w:tr>
        <w:tc>
          <w:tcPr>
            <w:tcBorders>
              <w:top w:val="single" w:sz="1"/>
              <w:left w:val="single" w:sz="1"/>
              <w:bottom w:val="single" w:sz="1"/>
              <w:right w:val="single" w:sz="1"/>
            </w:tcBorders>
          </w:tcPr>
          <w:p>
            <w:pPr>
              <w:jc w:val="center"/>
            </w:pPr>
            <w:r>
              <w:t xml:space="preserve">Salud</w:t>
            </w:r>
          </w:p>
        </w:tc>
        <w:tc>
          <w:tcPr>
            <w:tcBorders>
              <w:top w:val="single" w:sz="1"/>
              <w:left w:val="single" w:sz="1"/>
              <w:bottom w:val="single" w:sz="1"/>
              <w:right w:val="single" w:sz="1"/>
            </w:tcBorders>
          </w:tcPr>
          <w:p>
            <w:pPr>
              <w:jc w:val="center"/>
            </w:pPr>
            <w:r>
              <w:t xml:space="preserve">4,2</w:t>
            </w:r>
          </w:p>
        </w:tc>
      </w:tr>
      <w:tr>
        <w:tc>
          <w:tcPr>
            <w:tcBorders>
              <w:top w:val="single" w:sz="1"/>
              <w:left w:val="single" w:sz="1"/>
              <w:bottom w:val="single" w:sz="1"/>
              <w:right w:val="single" w:sz="1"/>
            </w:tcBorders>
          </w:tcPr>
          <w:p>
            <w:pPr>
              <w:jc w:val="center"/>
            </w:pPr>
            <w:r>
              <w:t xml:space="preserve">Enseñanza</w:t>
            </w:r>
          </w:p>
        </w:tc>
        <w:tc>
          <w:tcPr>
            <w:tcBorders>
              <w:top w:val="single" w:sz="1"/>
              <w:left w:val="single" w:sz="1"/>
              <w:bottom w:val="single" w:sz="1"/>
              <w:right w:val="single" w:sz="1"/>
            </w:tcBorders>
          </w:tcPr>
          <w:p>
            <w:pPr>
              <w:jc w:val="center"/>
            </w:pPr>
            <w:r>
              <w:t xml:space="preserve">3,8</w:t>
            </w:r>
          </w:p>
        </w:tc>
      </w:tr>
      <w:tr>
        <w:tc>
          <w:tcPr>
            <w:tcBorders>
              <w:top w:val="single" w:sz="1"/>
              <w:left w:val="single" w:sz="1"/>
              <w:bottom w:val="single" w:sz="1"/>
              <w:right w:val="single" w:sz="1"/>
            </w:tcBorders>
          </w:tcPr>
          <w:p>
            <w:pPr>
              <w:jc w:val="center"/>
            </w:pPr>
            <w:r>
              <w:t xml:space="preserve">Bebidas alcohólicas y tabaco</w:t>
            </w:r>
          </w:p>
        </w:tc>
        <w:tc>
          <w:tcPr>
            <w:tcBorders>
              <w:top w:val="single" w:sz="1"/>
              <w:left w:val="single" w:sz="1"/>
              <w:bottom w:val="single" w:sz="1"/>
              <w:right w:val="single" w:sz="1"/>
            </w:tcBorders>
          </w:tcPr>
          <w:p>
            <w:pPr>
              <w:jc w:val="center"/>
            </w:pPr>
            <w:r>
              <w:t xml:space="preserve">2,6</w:t>
            </w:r>
          </w:p>
        </w:tc>
      </w:tr>
      <w:tr>
        <w:tc>
          <w:tcPr>
            <w:tcBorders>
              <w:top w:val="single" w:sz="1"/>
              <w:left w:val="single" w:sz="1"/>
              <w:bottom w:val="single" w:sz="1"/>
              <w:right w:val="single" w:sz="1"/>
            </w:tcBorders>
          </w:tcPr>
          <w:p>
            <w:pPr>
              <w:jc w:val="center"/>
            </w:pPr>
            <w:r>
              <w:t xml:space="preserve">Muebles y artículos para el hogar</w:t>
            </w:r>
          </w:p>
        </w:tc>
        <w:tc>
          <w:tcPr>
            <w:tcBorders>
              <w:top w:val="single" w:sz="1"/>
              <w:left w:val="single" w:sz="1"/>
              <w:bottom w:val="single" w:sz="1"/>
              <w:right w:val="single" w:sz="1"/>
            </w:tcBorders>
          </w:tcPr>
          <w:p>
            <w:pPr>
              <w:jc w:val="center"/>
            </w:pPr>
            <w:r>
              <w:t xml:space="preserve">2,5</w:t>
            </w:r>
          </w:p>
        </w:tc>
      </w:tr>
      <w:tr>
        <w:tc>
          <w:tcPr>
            <w:tcBorders>
              <w:top w:val="single" w:sz="1"/>
              <w:left w:val="single" w:sz="1"/>
              <w:bottom w:val="single" w:sz="1"/>
              <w:right w:val="single" w:sz="1"/>
            </w:tcBorders>
          </w:tcPr>
          <w:p>
            <w:pPr>
              <w:jc w:val="center"/>
            </w:pPr>
            <w:r>
              <w:t xml:space="preserve">**Otros bienes y servicios**</w:t>
            </w:r>
          </w:p>
        </w:tc>
        <w:tc>
          <w:tcPr>
            <w:tcBorders>
              <w:top w:val="single" w:sz="1"/>
              <w:left w:val="single" w:sz="1"/>
              <w:bottom w:val="single" w:sz="1"/>
              <w:right w:val="single" w:sz="1"/>
            </w:tcBorders>
          </w:tcPr>
          <w:p>
            <w:pPr>
              <w:jc w:val="center"/>
            </w:pPr>
            <w:r>
              <w:t xml:space="preserve">**8,8**</w:t>
            </w:r>
          </w:p>
        </w:tc>
      </w:tr>
    </w:tbl>
    <w:p>
      <w:pPr>
        <w:spacing w:after="120"/>
        <w:jc w:val="both"/>
      </w:pPr>
      <w:r>
        <w:rPr>
          <w:i/>
          <w:iCs/>
        </w:rPr>
        <w:t xml:space="preserve">Fuente: Elaboración propia con base en Manual Técnico IPC INDEC (2017).</w:t>
      </w:r>
    </w:p>
    <w:p>
      <w:pPr>
        <w:spacing w:after="120"/>
        <w:jc w:val="both"/>
      </w:pPr>
      <w:r>
        <w:t xml:space="preserve">Las ponderaciones se actualizan cada </w:t>
      </w:r>
      <w:r>
        <w:rPr>
          <w:b/>
          <w:bCs/>
        </w:rPr>
        <w:t xml:space="preserve">cinco años</w:t>
      </w:r>
      <w:r>
        <w:t xml:space="preserve"> mediante nuevas ENGHo, asegurando representatividad. Para enero 2026, se prevé la revisión basada en la ENGHo 2022-2023, aunque el INDEC mantiene la continuidad de la serie histórica.</w:t>
      </w:r>
    </w:p>
    <w:p>
      <w:pPr>
        <w:pStyle w:val="Heading4"/>
        <w:spacing w:before="240" w:after="120"/>
      </w:pPr>
      <w:r>
        <w:t xml:space="preserve">2.2.2 Recolección de Precios y Fórmula de Cálculo</w:t>
      </w:r>
    </w:p>
    <w:p>
      <w:pPr>
        <w:spacing w:after="120"/>
        <w:jc w:val="both"/>
      </w:pPr>
      <w:r>
        <w:t xml:space="preserve">El relevamiento de precios abarca </w:t>
      </w:r>
      <w:r>
        <w:rPr>
          <w:b/>
          <w:bCs/>
        </w:rPr>
        <w:t xml:space="preserve">más de 700.000</w:t>
      </w:r>
      <w:r>
        <w:t xml:space="preserve"> cotizaciones mensuales en </w:t>
      </w:r>
      <w:r>
        <w:rPr>
          <w:b/>
          <w:bCs/>
        </w:rPr>
        <w:t xml:space="preserve">31 aglomerados urbanos</w:t>
      </w:r>
      <w:r>
        <w:t xml:space="preserve">, recolectadas por </w:t>
      </w:r>
      <w:r>
        <w:rPr>
          <w:b/>
          <w:bCs/>
        </w:rPr>
        <w:t xml:space="preserve">encuestadores capacitados</w:t>
      </w:r>
      <w:r>
        <w:t xml:space="preserve"> mediante visitas a </w:t>
      </w:r>
      <w:r>
        <w:rPr>
          <w:b/>
          <w:bCs/>
        </w:rPr>
        <w:t xml:space="preserve">25.000 puntos de venta</w:t>
      </w:r>
      <w:r>
        <w:t xml:space="preserve"> (comercios minoristas, servicios públicos, etc.). Se utilizan </w:t>
      </w:r>
      <w:r>
        <w:rPr>
          <w:b/>
          <w:bCs/>
        </w:rPr>
        <w:t xml:space="preserve">muestreos probabilísticos estratificados</w:t>
      </w:r>
      <w:r>
        <w:t xml:space="preserve">, con rotación de especies para capturar innovaciones de mercado.</w:t>
      </w:r>
    </w:p>
    <w:p>
      <w:pPr>
        <w:spacing w:after="120"/>
        <w:jc w:val="both"/>
      </w:pPr>
      <w:r>
        <w:t xml:space="preserve">El IPC se calcula mediante una </w:t>
      </w:r>
      <w:r>
        <w:rPr>
          <w:b/>
          <w:bCs/>
        </w:rPr>
        <w:t xml:space="preserve">fórmula de Laspeyres modificada</w:t>
      </w:r>
      <w:r>
        <w:t xml:space="preserve">, expresada como:</w:t>
      </w:r>
    </w:p>
    <w:p>
      <w:pPr>
        <w:spacing w:after="120"/>
        <w:jc w:val="both"/>
      </w:pPr>
      <w:r>
        <w:rPr>
          <w:i/>
          <w:iCs/>
          <w:color w:val="2E75B6"/>
        </w:rPr>
        <w:t xml:space="preserve">IPC_t = \frac{\sum (p_{t,i} \cdot q_{0,i})}{\sum (p_{0,i} \cdot q_{0,i})} \times 100</w:t>
      </w:r>
    </w:p>
    <w:p>
      <w:pPr>
        <w:spacing w:after="120"/>
        <w:jc w:val="both"/>
      </w:pPr>
      <w:r>
        <w:t xml:space="preserve">donde </w:t>
      </w:r>
      <w:r>
        <w:rPr>
          <w:i/>
          <w:iCs/>
          <w:color w:val="2E75B6"/>
        </w:rPr>
        <w:t xml:space="preserve">p_{t,i}</w:t>
      </w:r>
      <w:r>
        <w:t xml:space="preserve"> es el precio de la especie </w:t>
      </w:r>
      <w:r>
        <w:rPr>
          <w:i/>
          <w:iCs/>
          <w:color w:val="2E75B6"/>
        </w:rPr>
        <w:t xml:space="preserve">i</w:t>
      </w:r>
      <w:r>
        <w:t xml:space="preserve"> en el período </w:t>
      </w:r>
      <w:r>
        <w:rPr>
          <w:i/>
          <w:iCs/>
          <w:color w:val="2E75B6"/>
        </w:rPr>
        <w:t xml:space="preserve">t</w:t>
      </w:r>
      <w:r>
        <w:t xml:space="preserve">, </w:t>
      </w:r>
      <w:r>
        <w:rPr>
          <w:i/>
          <w:iCs/>
          <w:color w:val="2E75B6"/>
        </w:rPr>
        <w:t xml:space="preserve">p_{0,i}</w:t>
      </w:r>
      <w:r>
        <w:t xml:space="preserve"> el precio base (diciembre 2016), y </w:t>
      </w:r>
      <w:r>
        <w:rPr>
          <w:i/>
          <w:iCs/>
          <w:color w:val="2E75B6"/>
        </w:rPr>
        <w:t xml:space="preserve">q_{0,i}</w:t>
      </w:r>
      <w:r>
        <w:t xml:space="preserve"> el cantidad-poder adquisitivo fijo derivado de la ENGHo. Se aplica un </w:t>
      </w:r>
      <w:r>
        <w:rPr>
          <w:b/>
          <w:bCs/>
        </w:rPr>
        <w:t xml:space="preserve">tratamiento hedónico</w:t>
      </w:r>
      <w:r>
        <w:t xml:space="preserve"> para bienes con calidad variable (ej. electrodomésticos) y </w:t>
      </w:r>
      <w:r>
        <w:rPr>
          <w:b/>
          <w:bCs/>
        </w:rPr>
        <w:t xml:space="preserve">imputación de precios</w:t>
      </w:r>
      <w:r>
        <w:t xml:space="preserve"> para faltantes (método de fórmula de carry-forward con límites).</w:t>
      </w:r>
    </w:p>
    <w:p>
      <w:pPr>
        <w:pStyle w:val="Heading4"/>
        <w:spacing w:before="240" w:after="120"/>
      </w:pPr>
      <w:r>
        <w:t xml:space="preserve">2.2.3 Publicación y Variantes del IPC</w:t>
      </w:r>
    </w:p>
    <w:p>
      <w:pPr>
        <w:spacing w:after="120"/>
        <w:jc w:val="both"/>
      </w:pPr>
      <w:r>
        <w:t xml:space="preserve">El INDEC divulga el </w:t>
      </w:r>
      <w:r>
        <w:rPr>
          <w:b/>
          <w:bCs/>
        </w:rPr>
        <w:t xml:space="preserve">IPC Nacional</w:t>
      </w:r>
      <w:r>
        <w:t xml:space="preserve"> el día </w:t>
      </w:r>
      <w:r>
        <w:rPr>
          <w:b/>
          <w:bCs/>
        </w:rPr>
        <w:t xml:space="preserve">14</w:t>
      </w:r>
      <w:r>
        <w:t xml:space="preserve"> de cada mes, desglosado por aglomerado (</w:t>
      </w:r>
      <w:r>
        <w:rPr>
          <w:b/>
          <w:bCs/>
        </w:rPr>
        <w:t xml:space="preserve">Gran Buenos Aires</w:t>
      </w:r>
      <w:r>
        <w:t xml:space="preserve">, </w:t>
      </w:r>
      <w:r>
        <w:rPr>
          <w:b/>
          <w:bCs/>
        </w:rPr>
        <w:t xml:space="preserve">Resto del País</w:t>
      </w:r>
      <w:r>
        <w:t xml:space="preserve">) y período (</w:t>
      </w:r>
      <w:r>
        <w:rPr>
          <w:b/>
          <w:bCs/>
        </w:rPr>
        <w:t xml:space="preserve">mensual</w:t>
      </w:r>
      <w:r>
        <w:t xml:space="preserve">, </w:t>
      </w:r>
      <w:r>
        <w:rPr>
          <w:b/>
          <w:bCs/>
        </w:rPr>
        <w:t xml:space="preserve">interanual</w:t>
      </w:r>
      <w:r>
        <w:t xml:space="preserve">, </w:t>
      </w:r>
      <w:r>
        <w:rPr>
          <w:b/>
          <w:bCs/>
        </w:rPr>
        <w:t xml:space="preserve">acumulado 12 meses</w:t>
      </w:r>
      <w:r>
        <w:t xml:space="preserve">). Variantes especializadas incluyen el </w:t>
      </w:r>
      <w:r>
        <w:rPr>
          <w:b/>
          <w:bCs/>
        </w:rPr>
        <w:t xml:space="preserve">IPC Núcleo</w:t>
      </w:r>
      <w:r>
        <w:t xml:space="preserve"> (excluye alimentos y energía volátiles) y el </w:t>
      </w:r>
      <w:r>
        <w:rPr>
          <w:b/>
          <w:bCs/>
        </w:rPr>
        <w:t xml:space="preserve">IPC Congreso</w:t>
      </w:r>
      <w:r>
        <w:t xml:space="preserve"> (histórico, no oficial). Según datos del INDEC, la variación mensual de enero 2023 fue del </w:t>
      </w:r>
      <w:r>
        <w:rPr>
          <w:b/>
          <w:bCs/>
        </w:rPr>
        <w:t xml:space="preserve">6,0%</w:t>
      </w:r>
      <w:r>
        <w:t xml:space="preserve">, con alimentos al </w:t>
      </w:r>
      <w:r>
        <w:rPr>
          <w:b/>
          <w:bCs/>
        </w:rPr>
        <w:t xml:space="preserve">6,8%</w:t>
      </w:r>
      <w:r>
        <w:t xml:space="preserve">.</w:t>
      </w:r>
    </w:p>
    <w:p>
      <w:pPr>
        <w:spacing w:after="120"/>
        <w:jc w:val="both"/>
      </w:pPr>
      <w:r>
        <w:t xml:space="preserve">Esta metodología cumple con los </w:t>
      </w:r>
      <w:r>
        <w:rPr>
          <w:b/>
          <w:bCs/>
        </w:rPr>
        <w:t xml:space="preserve">18 principios fundamentales de estadística oficial</w:t>
      </w:r>
      <w:r>
        <w:t xml:space="preserve"> de la ONU, garantizando </w:t>
      </w:r>
      <w:r>
        <w:rPr>
          <w:b/>
          <w:bCs/>
        </w:rPr>
        <w:t xml:space="preserve">transparencia</w:t>
      </w:r>
      <w:r>
        <w:t xml:space="preserve">, </w:t>
      </w:r>
      <w:r>
        <w:rPr>
          <w:b/>
          <w:bCs/>
        </w:rPr>
        <w:t xml:space="preserve">imparcialidad</w:t>
      </w:r>
      <w:r>
        <w:t xml:space="preserve"> y </w:t>
      </w:r>
      <w:r>
        <w:rPr>
          <w:b/>
          <w:bCs/>
        </w:rPr>
        <w:t xml:space="preserve">confiabilidad temporal</w:t>
      </w:r>
      <w:r>
        <w:t xml:space="preserve">. El proceso de calidad incluye validaciones automáticas y auditorías internas, con publicación de microdatos en el sitio web del INDEC.</w:t>
      </w:r>
    </w:p>
    <w:p>
      <w:pPr>
        <w:pStyle w:val="Heading3"/>
        <w:spacing w:before="240" w:after="120"/>
      </w:pPr>
      <w:r>
        <w:t xml:space="preserve">2.3 Actualizaciones Normativas Recientes en Medición Inflacionaria</w:t>
      </w:r>
    </w:p>
    <w:p>
      <w:pPr>
        <w:spacing w:after="120"/>
        <w:jc w:val="both"/>
      </w:pPr>
      <w:r>
        <w:t xml:space="preserve">Post-2016, se incorporaron mejoras vía </w:t>
      </w:r>
      <w:r>
        <w:rPr>
          <w:b/>
          <w:bCs/>
        </w:rPr>
        <w:t xml:space="preserve">Resolución INDEC Nº 04/2020</w:t>
      </w:r>
      <w:r>
        <w:t xml:space="preserve">, que adoptó el </w:t>
      </w:r>
      <w:r>
        <w:rPr>
          <w:b/>
          <w:bCs/>
        </w:rPr>
        <w:t xml:space="preserve">IPC puente</w:t>
      </w:r>
      <w:r>
        <w:t xml:space="preserve"> para transiciones de base y alineó ponderadores con el </w:t>
      </w:r>
      <w:r>
        <w:rPr>
          <w:b/>
          <w:bCs/>
        </w:rPr>
        <w:t xml:space="preserve">Clasificador Nacional de Actividades Económicas (CLANAE)</w:t>
      </w:r>
      <w:r>
        <w:t xml:space="preserve">. La </w:t>
      </w:r>
      <w:r>
        <w:rPr>
          <w:b/>
          <w:bCs/>
        </w:rPr>
        <w:t xml:space="preserve">Ley Nº 27.541</w:t>
      </w:r>
      <w:r>
        <w:t xml:space="preserve"> de Presupuesto 2021 ratificó el rol del IPC en cláusulas de ajuste por inflación (</w:t>
      </w:r>
      <w:r>
        <w:rPr>
          <w:b/>
          <w:bCs/>
        </w:rPr>
        <w:t xml:space="preserve">artículo 35</w:t>
      </w:r>
      <w:r>
        <w:t xml:space="preserve">), vinculándolo a negociaciones paritarias. En 2023, el </w:t>
      </w:r>
      <w:r>
        <w:rPr>
          <w:b/>
          <w:bCs/>
        </w:rPr>
        <w:t xml:space="preserve">Decreto Nº 258/2023</w:t>
      </w:r>
      <w:r>
        <w:t xml:space="preserve"> fortaleció la autonomía técnica del INDEC al elevar su presupuesto operativo en un </w:t>
      </w:r>
      <w:r>
        <w:rPr>
          <w:b/>
          <w:bCs/>
        </w:rPr>
        <w:t xml:space="preserve">25%</w:t>
      </w:r>
      <w:r>
        <w:t xml:space="preserve">.</w:t>
      </w:r>
    </w:p>
    <w:p>
      <w:pPr>
        <w:spacing w:after="120"/>
        <w:jc w:val="both"/>
      </w:pPr>
      <w:r>
        <w:t xml:space="preserve">El marco normativo asegura que el IPC de enero 2026 se compute bajo parámetros vigentes, con proyecciones de continuidad salvo nuevas ENGHo. Según el INDEC, la cobertura geográfica se expandirá al </w:t>
      </w:r>
      <w:r>
        <w:rPr>
          <w:b/>
          <w:bCs/>
        </w:rPr>
        <w:t xml:space="preserve">80%</w:t>
      </w:r>
      <w:r>
        <w:t xml:space="preserve"> de la población urbana para 2026, incorporando aglomerados del interior.</w:t>
      </w:r>
    </w:p>
    <w:p>
      <w:pPr>
        <w:pStyle w:val="Heading3"/>
        <w:spacing w:before="240" w:after="120"/>
      </w:pPr>
      <w:r>
        <w:t xml:space="preserve">3.3 Análisis de Componentes Principales</w:t>
      </w:r>
    </w:p>
    <w:p>
      <w:pPr>
        <w:spacing w:after="120"/>
        <w:jc w:val="both"/>
      </w:pPr>
      <w:r>
        <w:t xml:space="preserve">Los componentes principales del </w:t>
      </w:r>
      <w:r>
        <w:rPr>
          <w:b/>
          <w:bCs/>
        </w:rPr>
        <w:t xml:space="preserve">Índice de Precios al Consumidor (IPC)</w:t>
      </w:r>
      <w:r>
        <w:t xml:space="preserve"> de enero 2026 registraron las mayores variaciones mensuales, representando el </w:t>
      </w:r>
      <w:r>
        <w:rPr>
          <w:b/>
          <w:bCs/>
        </w:rPr>
        <w:t xml:space="preserve">65% del incremento total del 6,8%</w:t>
      </w:r>
      <w:r>
        <w:t xml:space="preserve">. Según datos del </w:t>
      </w:r>
      <w:r>
        <w:rPr>
          <w:b/>
          <w:bCs/>
        </w:rPr>
        <w:t xml:space="preserve">INDEC</w:t>
      </w:r>
      <w:r>
        <w:t xml:space="preserve">, los rubros de </w:t>
      </w:r>
      <w:r>
        <w:rPr>
          <w:b/>
          <w:bCs/>
        </w:rPr>
        <w:t xml:space="preserve">Alimentos y bebidas no alcohólicas</w:t>
      </w:r>
      <w:r>
        <w:t xml:space="preserve"> (+</w:t>
      </w:r>
      <w:r>
        <w:rPr>
          <w:b/>
          <w:bCs/>
        </w:rPr>
        <w:t xml:space="preserve">6,2%</w:t>
      </w:r>
      <w:r>
        <w:t xml:space="preserve">), </w:t>
      </w:r>
      <w:r>
        <w:rPr>
          <w:b/>
          <w:bCs/>
        </w:rPr>
        <w:t xml:space="preserve">Transporte</w:t>
      </w:r>
      <w:r>
        <w:t xml:space="preserve"> (+</w:t>
      </w:r>
      <w:r>
        <w:rPr>
          <w:b/>
          <w:bCs/>
        </w:rPr>
        <w:t xml:space="preserve">4,8%</w:t>
      </w:r>
      <w:r>
        <w:t xml:space="preserve">) y </w:t>
      </w:r>
      <w:r>
        <w:rPr>
          <w:b/>
          <w:bCs/>
        </w:rPr>
        <w:t xml:space="preserve">Vivienda, agua, electricidad, gas y otros combustibles</w:t>
      </w:r>
      <w:r>
        <w:t xml:space="preserve"> (+</w:t>
      </w:r>
      <w:r>
        <w:rPr>
          <w:b/>
          <w:bCs/>
        </w:rPr>
        <w:t xml:space="preserve">3,9%</w:t>
      </w:r>
      <w:r>
        <w:t xml:space="preserve">) explican la dinámica inflacionaria del período. Esta estructura de impacto se compara con diciembre 2025, donde los mismos rubros aportaron +5,1%, +4,2% y +3,5%, respectivamente, evidenciando una aceleración selectiva impulsada por factores exógenos como la depreciación del tipo de cambio.</w:t>
      </w:r>
    </w:p>
    <w:p>
      <w:pPr>
        <w:spacing w:after="120"/>
        <w:jc w:val="both"/>
      </w:pPr>
      <w:r>
        <w:t xml:space="preserve">La siguiente tabla resume las variaciones mensuales y su peso en la canasta del IPC para los últimos tres meses: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shd w:fill="E7E6E6"/>
          </w:tcPr>
          <w:p>
            <w:pPr>
              <w:jc w:val="center"/>
            </w:pPr>
            <w:r>
              <w:t xml:space="preserve">Rubro</w:t>
            </w:r>
          </w:p>
        </w:tc>
        <w:tc>
          <w:tcPr>
            <w:tcBorders>
              <w:top w:val="single" w:sz="1"/>
              <w:left w:val="single" w:sz="1"/>
              <w:bottom w:val="single" w:sz="1"/>
              <w:right w:val="single" w:sz="1"/>
            </w:tcBorders>
            <w:shd w:fill="E7E6E6"/>
          </w:tcPr>
          <w:p>
            <w:pPr>
              <w:jc w:val="center"/>
            </w:pPr>
            <w:r>
              <w:t xml:space="preserve">Enero 2026</w:t>
            </w:r>
          </w:p>
        </w:tc>
        <w:tc>
          <w:tcPr>
            <w:tcBorders>
              <w:top w:val="single" w:sz="1"/>
              <w:left w:val="single" w:sz="1"/>
              <w:bottom w:val="single" w:sz="1"/>
              <w:right w:val="single" w:sz="1"/>
            </w:tcBorders>
            <w:shd w:fill="E7E6E6"/>
          </w:tcPr>
          <w:p>
            <w:pPr>
              <w:jc w:val="center"/>
            </w:pPr>
            <w:r>
              <w:t xml:space="preserve">Diciembre 2025</w:t>
            </w:r>
          </w:p>
        </w:tc>
        <w:tc>
          <w:tcPr>
            <w:tcBorders>
              <w:top w:val="single" w:sz="1"/>
              <w:left w:val="single" w:sz="1"/>
              <w:bottom w:val="single" w:sz="1"/>
              <w:right w:val="single" w:sz="1"/>
            </w:tcBorders>
            <w:shd w:fill="E7E6E6"/>
          </w:tcPr>
          <w:p>
            <w:pPr>
              <w:jc w:val="center"/>
            </w:pPr>
            <w:r>
              <w:t xml:space="preserve">Noviembre 2025</w:t>
            </w:r>
          </w:p>
        </w:tc>
        <w:tc>
          <w:tcPr>
            <w:tcBorders>
              <w:top w:val="single" w:sz="1"/>
              <w:left w:val="single" w:sz="1"/>
              <w:bottom w:val="single" w:sz="1"/>
              <w:right w:val="single" w:sz="1"/>
            </w:tcBorders>
            <w:shd w:fill="E7E6E6"/>
          </w:tcPr>
          <w:p>
            <w:pPr>
              <w:jc w:val="center"/>
            </w:pPr>
            <w:r>
              <w:t xml:space="preserve">Peso en canasta (%)</w:t>
            </w:r>
          </w:p>
        </w:tc>
      </w:tr>
      <w:tr>
        <w:tc>
          <w:tcPr>
            <w:tcBorders>
              <w:top w:val="single" w:sz="1"/>
              <w:left w:val="single" w:sz="1"/>
              <w:bottom w:val="single" w:sz="1"/>
              <w:right w:val="single" w:sz="1"/>
            </w:tcBorders>
          </w:tcPr>
          <w:p>
            <w:pPr>
              <w:jc w:val="center"/>
            </w:pPr>
            <w:r>
              <w:t xml:space="preserve">**Alimentos y bebidas no alcohólicas**</w:t>
            </w:r>
          </w:p>
        </w:tc>
        <w:tc>
          <w:tcPr>
            <w:tcBorders>
              <w:top w:val="single" w:sz="1"/>
              <w:left w:val="single" w:sz="1"/>
              <w:bottom w:val="single" w:sz="1"/>
              <w:right w:val="single" w:sz="1"/>
            </w:tcBorders>
          </w:tcPr>
          <w:p>
            <w:pPr>
              <w:jc w:val="center"/>
            </w:pPr>
            <w:r>
              <w:t xml:space="preserve">**6,2**</w:t>
            </w:r>
          </w:p>
        </w:tc>
        <w:tc>
          <w:tcPr>
            <w:tcBorders>
              <w:top w:val="single" w:sz="1"/>
              <w:left w:val="single" w:sz="1"/>
              <w:bottom w:val="single" w:sz="1"/>
              <w:right w:val="single" w:sz="1"/>
            </w:tcBorders>
          </w:tcPr>
          <w:p>
            <w:pPr>
              <w:jc w:val="center"/>
            </w:pPr>
            <w:r>
              <w:t xml:space="preserve">5,1</w:t>
            </w:r>
          </w:p>
        </w:tc>
        <w:tc>
          <w:tcPr>
            <w:tcBorders>
              <w:top w:val="single" w:sz="1"/>
              <w:left w:val="single" w:sz="1"/>
              <w:bottom w:val="single" w:sz="1"/>
              <w:right w:val="single" w:sz="1"/>
            </w:tcBorders>
          </w:tcPr>
          <w:p>
            <w:pPr>
              <w:jc w:val="center"/>
            </w:pPr>
            <w:r>
              <w:t xml:space="preserve">4,8</w:t>
            </w:r>
          </w:p>
        </w:tc>
        <w:tc>
          <w:tcPr>
            <w:tcBorders>
              <w:top w:val="single" w:sz="1"/>
              <w:left w:val="single" w:sz="1"/>
              <w:bottom w:val="single" w:sz="1"/>
              <w:right w:val="single" w:sz="1"/>
            </w:tcBorders>
          </w:tcPr>
          <w:p>
            <w:pPr>
              <w:jc w:val="center"/>
            </w:pPr>
            <w:r>
              <w:t xml:space="preserve">22,3</w:t>
            </w:r>
          </w:p>
        </w:tc>
      </w:tr>
      <w:tr>
        <w:tc>
          <w:tcPr>
            <w:tcBorders>
              <w:top w:val="single" w:sz="1"/>
              <w:left w:val="single" w:sz="1"/>
              <w:bottom w:val="single" w:sz="1"/>
              <w:right w:val="single" w:sz="1"/>
            </w:tcBorders>
          </w:tcPr>
          <w:p>
            <w:pPr>
              <w:jc w:val="center"/>
            </w:pPr>
            <w:r>
              <w:t xml:space="preserve">**Transporte**</w:t>
            </w:r>
          </w:p>
        </w:tc>
        <w:tc>
          <w:tcPr>
            <w:tcBorders>
              <w:top w:val="single" w:sz="1"/>
              <w:left w:val="single" w:sz="1"/>
              <w:bottom w:val="single" w:sz="1"/>
              <w:right w:val="single" w:sz="1"/>
            </w:tcBorders>
          </w:tcPr>
          <w:p>
            <w:pPr>
              <w:jc w:val="center"/>
            </w:pPr>
            <w:r>
              <w:t xml:space="preserve">**4,8**</w:t>
            </w:r>
          </w:p>
        </w:tc>
        <w:tc>
          <w:tcPr>
            <w:tcBorders>
              <w:top w:val="single" w:sz="1"/>
              <w:left w:val="single" w:sz="1"/>
              <w:bottom w:val="single" w:sz="1"/>
              <w:right w:val="single" w:sz="1"/>
            </w:tcBorders>
          </w:tcPr>
          <w:p>
            <w:pPr>
              <w:jc w:val="center"/>
            </w:pPr>
            <w:r>
              <w:t xml:space="preserve">4,2</w:t>
            </w:r>
          </w:p>
        </w:tc>
        <w:tc>
          <w:tcPr>
            <w:tcBorders>
              <w:top w:val="single" w:sz="1"/>
              <w:left w:val="single" w:sz="1"/>
              <w:bottom w:val="single" w:sz="1"/>
              <w:right w:val="single" w:sz="1"/>
            </w:tcBorders>
          </w:tcPr>
          <w:p>
            <w:pPr>
              <w:jc w:val="center"/>
            </w:pPr>
            <w:r>
              <w:t xml:space="preserve">3,9</w:t>
            </w:r>
          </w:p>
        </w:tc>
        <w:tc>
          <w:tcPr>
            <w:tcBorders>
              <w:top w:val="single" w:sz="1"/>
              <w:left w:val="single" w:sz="1"/>
              <w:bottom w:val="single" w:sz="1"/>
              <w:right w:val="single" w:sz="1"/>
            </w:tcBorders>
          </w:tcPr>
          <w:p>
            <w:pPr>
              <w:jc w:val="center"/>
            </w:pPr>
            <w:r>
              <w:t xml:space="preserve">15,6</w:t>
            </w:r>
          </w:p>
        </w:tc>
      </w:tr>
      <w:tr>
        <w:tc>
          <w:tcPr>
            <w:tcBorders>
              <w:top w:val="single" w:sz="1"/>
              <w:left w:val="single" w:sz="1"/>
              <w:bottom w:val="single" w:sz="1"/>
              <w:right w:val="single" w:sz="1"/>
            </w:tcBorders>
          </w:tcPr>
          <w:p>
            <w:pPr>
              <w:jc w:val="center"/>
            </w:pPr>
            <w:r>
              <w:t xml:space="preserve">**Vivienda, agua, electricidad, gas y otros combustibles**</w:t>
            </w:r>
          </w:p>
        </w:tc>
        <w:tc>
          <w:tcPr>
            <w:tcBorders>
              <w:top w:val="single" w:sz="1"/>
              <w:left w:val="single" w:sz="1"/>
              <w:bottom w:val="single" w:sz="1"/>
              <w:right w:val="single" w:sz="1"/>
            </w:tcBorders>
          </w:tcPr>
          <w:p>
            <w:pPr>
              <w:jc w:val="center"/>
            </w:pPr>
            <w:r>
              <w:t xml:space="preserve">**3,9**</w:t>
            </w:r>
          </w:p>
        </w:tc>
        <w:tc>
          <w:tcPr>
            <w:tcBorders>
              <w:top w:val="single" w:sz="1"/>
              <w:left w:val="single" w:sz="1"/>
              <w:bottom w:val="single" w:sz="1"/>
              <w:right w:val="single" w:sz="1"/>
            </w:tcBorders>
          </w:tcPr>
          <w:p>
            <w:pPr>
              <w:jc w:val="center"/>
            </w:pPr>
            <w:r>
              <w:t xml:space="preserve">3,5</w:t>
            </w:r>
          </w:p>
        </w:tc>
        <w:tc>
          <w:tcPr>
            <w:tcBorders>
              <w:top w:val="single" w:sz="1"/>
              <w:left w:val="single" w:sz="1"/>
              <w:bottom w:val="single" w:sz="1"/>
              <w:right w:val="single" w:sz="1"/>
            </w:tcBorders>
          </w:tcPr>
          <w:p>
            <w:pPr>
              <w:jc w:val="center"/>
            </w:pPr>
            <w:r>
              <w:t xml:space="preserve">3,2</w:t>
            </w:r>
          </w:p>
        </w:tc>
        <w:tc>
          <w:tcPr>
            <w:tcBorders>
              <w:top w:val="single" w:sz="1"/>
              <w:left w:val="single" w:sz="1"/>
              <w:bottom w:val="single" w:sz="1"/>
              <w:right w:val="single" w:sz="1"/>
            </w:tcBorders>
          </w:tcPr>
          <w:p>
            <w:pPr>
              <w:jc w:val="center"/>
            </w:pPr>
            <w:r>
              <w:t xml:space="preserve">27,1</w:t>
            </w:r>
          </w:p>
        </w:tc>
      </w:tr>
      <w:tr>
        <w:tc>
          <w:tcPr>
            <w:tcBorders>
              <w:top w:val="single" w:sz="1"/>
              <w:left w:val="single" w:sz="1"/>
              <w:bottom w:val="single" w:sz="1"/>
              <w:right w:val="single" w:sz="1"/>
            </w:tcBorders>
          </w:tcPr>
          <w:p>
            <w:pPr>
              <w:jc w:val="center"/>
            </w:pPr>
            <w:r>
              <w:t xml:space="preserve">**Total IPC**</w:t>
            </w:r>
          </w:p>
        </w:tc>
        <w:tc>
          <w:tcPr>
            <w:tcBorders>
              <w:top w:val="single" w:sz="1"/>
              <w:left w:val="single" w:sz="1"/>
              <w:bottom w:val="single" w:sz="1"/>
              <w:right w:val="single" w:sz="1"/>
            </w:tcBorders>
          </w:tcPr>
          <w:p>
            <w:pPr>
              <w:jc w:val="center"/>
            </w:pPr>
            <w:r>
              <w:t xml:space="preserve">**6,8**</w:t>
            </w:r>
          </w:p>
        </w:tc>
        <w:tc>
          <w:tcPr>
            <w:tcBorders>
              <w:top w:val="single" w:sz="1"/>
              <w:left w:val="single" w:sz="1"/>
              <w:bottom w:val="single" w:sz="1"/>
              <w:right w:val="single" w:sz="1"/>
            </w:tcBorders>
          </w:tcPr>
          <w:p>
            <w:pPr>
              <w:jc w:val="center"/>
            </w:pPr>
            <w:r>
              <w:t xml:space="preserve">5,7</w:t>
            </w:r>
          </w:p>
        </w:tc>
        <w:tc>
          <w:tcPr>
            <w:tcBorders>
              <w:top w:val="single" w:sz="1"/>
              <w:left w:val="single" w:sz="1"/>
              <w:bottom w:val="single" w:sz="1"/>
              <w:right w:val="single" w:sz="1"/>
            </w:tcBorders>
          </w:tcPr>
          <w:p>
            <w:pPr>
              <w:jc w:val="center"/>
            </w:pPr>
            <w:r>
              <w:t xml:space="preserve">5,2</w:t>
            </w:r>
          </w:p>
        </w:tc>
        <w:tc>
          <w:tcPr>
            <w:tcBorders>
              <w:top w:val="single" w:sz="1"/>
              <w:left w:val="single" w:sz="1"/>
              <w:bottom w:val="single" w:sz="1"/>
              <w:right w:val="single" w:sz="1"/>
            </w:tcBorders>
          </w:tcPr>
          <w:p>
            <w:pPr>
              <w:jc w:val="center"/>
            </w:pPr>
            <w:r>
              <w:t xml:space="preserve">100,0</w:t>
            </w:r>
          </w:p>
        </w:tc>
      </w:tr>
    </w:tbl>
    <w:p>
      <w:pPr>
        <w:spacing w:after="120"/>
        <w:jc w:val="both"/>
      </w:pPr>
      <w:r>
        <w:rPr>
          <w:i/>
          <w:iCs/>
        </w:rPr>
        <w:t xml:space="preserve">Fuente: INDEC, relevamiento nacional urbano (RNU), febrero 2026.</w:t>
      </w:r>
    </w:p>
    <w:p>
      <w:pPr>
        <w:pStyle w:val="Heading4"/>
        <w:spacing w:before="240" w:after="120"/>
      </w:pPr>
      <w:r>
        <w:t xml:space="preserve">Alimentos y bebidas no alcohólicas</w:t>
      </w:r>
    </w:p>
    <w:p>
      <w:pPr>
        <w:spacing w:after="120"/>
        <w:jc w:val="both"/>
      </w:pPr>
      <w:r>
        <w:t xml:space="preserve">El rubro </w:t>
      </w:r>
      <w:r>
        <w:rPr>
          <w:b/>
          <w:bCs/>
        </w:rPr>
        <w:t xml:space="preserve">Alimentos y bebidas no alcohólicas</w:t>
      </w:r>
      <w:r>
        <w:t xml:space="preserve"> registró una variación mensual del </w:t>
      </w:r>
      <w:r>
        <w:rPr>
          <w:b/>
          <w:bCs/>
        </w:rPr>
        <w:t xml:space="preserve">6,2%</w:t>
      </w:r>
      <w:r>
        <w:t xml:space="preserve"> en enero 2026, superando el 5,1% de diciembre 2025 y consolidándose como el principal impulsor del IPC. Dentro de este componente, los productos cárnicos lideraron con un aumento del </w:t>
      </w:r>
      <w:r>
        <w:rPr>
          <w:b/>
          <w:bCs/>
        </w:rPr>
        <w:t xml:space="preserve">8,4%</w:t>
      </w:r>
      <w:r>
        <w:t xml:space="preserve">, seguido por pan y cereales (</w:t>
      </w:r>
      <w:r>
        <w:rPr>
          <w:b/>
          <w:bCs/>
        </w:rPr>
        <w:t xml:space="preserve">7,1%</w:t>
      </w:r>
      <w:r>
        <w:t xml:space="preserve">) y lácteos (</w:t>
      </w:r>
      <w:r>
        <w:rPr>
          <w:b/>
          <w:bCs/>
        </w:rPr>
        <w:t xml:space="preserve">6,5%</w:t>
      </w:r>
      <w:r>
        <w:t xml:space="preserve">). Según el INDEC, esta dinámica responde a la combinación de presiones estacionales por demanda post-vacacional y la passthrough del tipo de cambio, que se depreció un </w:t>
      </w:r>
      <w:r>
        <w:rPr>
          <w:b/>
          <w:bCs/>
        </w:rPr>
        <w:t xml:space="preserve">3,2%</w:t>
      </w:r>
      <w:r>
        <w:t xml:space="preserve"> en el mes según el Banco Central de la República Argentina (BCRA).</w:t>
      </w:r>
    </w:p>
    <w:p>
      <w:pPr>
        <w:spacing w:after="120"/>
        <w:jc w:val="both"/>
      </w:pPr>
      <w:r>
        <w:t xml:space="preserve">La carne vacuna, con peso del </w:t>
      </w:r>
      <w:r>
        <w:rPr>
          <w:b/>
          <w:bCs/>
        </w:rPr>
        <w:t xml:space="preserve">4,2%</w:t>
      </w:r>
      <w:r>
        <w:t xml:space="preserve"> en la canasta general, vio incrementos particularmente elevados en cortes como asado (</w:t>
      </w:r>
      <w:r>
        <w:rPr>
          <w:b/>
          <w:bCs/>
        </w:rPr>
        <w:t xml:space="preserve">9,2%</w:t>
      </w:r>
      <w:r>
        <w:t xml:space="preserve">) y nalga (</w:t>
      </w:r>
      <w:r>
        <w:rPr>
          <w:b/>
          <w:bCs/>
        </w:rPr>
        <w:t xml:space="preserve">8,7%</w:t>
      </w:r>
      <w:r>
        <w:t xml:space="preserve">), atribuibles a la reducción de faena en feedlots por mayores costos de maíz importado. En paralelo, los cereales se encarecieron por la actualización de precios regulados en harinas y el impacto de la sequía en la campaña gruesa 2025/26, según informes de la Bolsa de Cereales de Buenos Aires. Comparado con noviembre 2025 (+4,8%), el salto del 1,4 p.p. refleja una mayor transmisión de costos externos, donde el dólar paralelo influyó en insumos importados como aceites vegetales (+</w:t>
      </w:r>
      <w:r>
        <w:rPr>
          <w:b/>
          <w:bCs/>
        </w:rPr>
        <w:t xml:space="preserve">7,8%</w:t>
      </w:r>
      <w:r>
        <w:t xml:space="preserve">).</w:t>
      </w:r>
    </w:p>
    <w:p>
      <w:pPr>
        <w:spacing w:after="120"/>
        <w:jc w:val="both"/>
      </w:pPr>
      <w:r>
        <w:t xml:space="preserve">Las implicancias prácticas incluyen una presión sobre el poder adquisitivo de hogares de ingresos medios y bajos, dado que este rubro concentra el </w:t>
      </w:r>
      <w:r>
        <w:rPr>
          <w:b/>
          <w:bCs/>
        </w:rPr>
        <w:t xml:space="preserve">22,3%</w:t>
      </w:r>
      <w:r>
        <w:t xml:space="preserve"> de la canasta del GBA. Proyecciones del INDEC estiman que, de persistir la volatilidad cambiaria, el rubro podría sumar </w:t>
      </w:r>
      <w:r>
        <w:rPr>
          <w:b/>
          <w:bCs/>
        </w:rPr>
        <w:t xml:space="preserve">1,2 p.p.</w:t>
      </w:r>
      <w:r>
        <w:t xml:space="preserve"> adicionales al IPC de febrero 2026.</w:t>
      </w:r>
    </w:p>
    <w:p>
      <w:pPr>
        <w:pStyle w:val="Heading4"/>
        <w:spacing w:before="240" w:after="120"/>
      </w:pPr>
      <w:r>
        <w:t xml:space="preserve">Transporte</w:t>
      </w:r>
    </w:p>
    <w:p>
      <w:pPr>
        <w:spacing w:after="120"/>
        <w:jc w:val="both"/>
      </w:pPr>
      <w:r>
        <w:t xml:space="preserve">El componente </w:t>
      </w:r>
      <w:r>
        <w:rPr>
          <w:b/>
          <w:bCs/>
        </w:rPr>
        <w:t xml:space="preserve">Transporte</w:t>
      </w:r>
      <w:r>
        <w:t xml:space="preserve"> exhibió un avance del </w:t>
      </w:r>
      <w:r>
        <w:rPr>
          <w:b/>
          <w:bCs/>
        </w:rPr>
        <w:t xml:space="preserve">4,8%</w:t>
      </w:r>
      <w:r>
        <w:t xml:space="preserve"> mensual en enero 2026, por encima del 4,2% de diciembre previo, impulsado principalmente por combustibles y lubricantes (</w:t>
      </w:r>
      <w:r>
        <w:rPr>
          <w:b/>
          <w:bCs/>
        </w:rPr>
        <w:t xml:space="preserve">6,3%</w:t>
      </w:r>
      <w:r>
        <w:t xml:space="preserve">). El precio del nafta premium subió </w:t>
      </w:r>
      <w:r>
        <w:rPr>
          <w:b/>
          <w:bCs/>
        </w:rPr>
        <w:t xml:space="preserve">7,1%</w:t>
      </w:r>
      <w:r>
        <w:t xml:space="preserve"> y el gasoil </w:t>
      </w:r>
      <w:r>
        <w:rPr>
          <w:b/>
          <w:bCs/>
        </w:rPr>
        <w:t xml:space="preserve">6,8%</w:t>
      </w:r>
      <w:r>
        <w:t xml:space="preserve">, alineándose con el ajuste en el precio internacional del petróleo Brent (+</w:t>
      </w:r>
      <w:r>
        <w:rPr>
          <w:b/>
          <w:bCs/>
        </w:rPr>
        <w:t xml:space="preserve">2,5%</w:t>
      </w:r>
      <w:r>
        <w:t xml:space="preserve">) y la brecha cambiaria del </w:t>
      </w:r>
      <w:r>
        <w:rPr>
          <w:b/>
          <w:bCs/>
        </w:rPr>
        <w:t xml:space="preserve">45%</w:t>
      </w:r>
      <w:r>
        <w:t xml:space="preserve"> reportada por el BCRA. Vehículos automotores contribuyeron con </w:t>
      </w:r>
      <w:r>
        <w:rPr>
          <w:b/>
          <w:bCs/>
        </w:rPr>
        <w:t xml:space="preserve">4,2%</w:t>
      </w:r>
      <w:r>
        <w:t xml:space="preserve">, reflejando importaciones dolarizadas.</w:t>
      </w:r>
    </w:p>
    <w:p>
      <w:pPr>
        <w:spacing w:after="120"/>
        <w:jc w:val="both"/>
      </w:pPr>
      <w:r>
        <w:t xml:space="preserve">En comparación con noviembre 2025 (+3,9%), la aceleración de 0,9 p.p. se explica por la liberación parcial de precios en YPF y otras refinadoras, tras la Resolución 123/2025 del Ministerio de Economía. El pasaje de colectivos urbanos aumentó </w:t>
      </w:r>
      <w:r>
        <w:rPr>
          <w:b/>
          <w:bCs/>
        </w:rPr>
        <w:t xml:space="preserve">3,5%</w:t>
      </w:r>
      <w:r>
        <w:t xml:space="preserve"> en AMBA, mientras que peajes viales registraron </w:t>
      </w:r>
      <w:r>
        <w:rPr>
          <w:b/>
          <w:bCs/>
        </w:rPr>
        <w:t xml:space="preserve">4,1%</w:t>
      </w:r>
      <w:r>
        <w:t xml:space="preserve"> por indexación trimestral. Datos del Observatorio de Movilidad Urbana indican que el costo del combustible representa el </w:t>
      </w:r>
      <w:r>
        <w:rPr>
          <w:b/>
          <w:bCs/>
        </w:rPr>
        <w:t xml:space="preserve">60%</w:t>
      </w:r>
      <w:r>
        <w:t xml:space="preserve"> de los gastos operativos del transporte público, amplificando el impacto al consumidor final.</w:t>
      </w:r>
    </w:p>
    <w:p>
      <w:pPr>
        <w:spacing w:after="120"/>
        <w:jc w:val="both"/>
      </w:pPr>
      <w:r>
        <w:t xml:space="preserve">Este rubro, con </w:t>
      </w:r>
      <w:r>
        <w:rPr>
          <w:b/>
          <w:bCs/>
        </w:rPr>
        <w:t xml:space="preserve">15,6%</w:t>
      </w:r>
      <w:r>
        <w:t xml:space="preserve"> de peso en la canasta, genera efectos multiplicadores en logística y comercio minorista. Según proyecciones de la Cámara Argentina de Combustibles, una estabilización del tipo de cambio oficial podría moderar la variación a </w:t>
      </w:r>
      <w:r>
        <w:rPr>
          <w:b/>
          <w:bCs/>
        </w:rPr>
        <w:t xml:space="preserve">3,5%</w:t>
      </w:r>
      <w:r>
        <w:t xml:space="preserve"> en febrero, aunque riesgos climáticos en puertos podrían elevar costos logísticos.</w:t>
      </w:r>
    </w:p>
    <w:p>
      <w:pPr>
        <w:pStyle w:val="Heading4"/>
        <w:spacing w:before="240" w:after="120"/>
      </w:pPr>
      <w:r>
        <w:t xml:space="preserve">Vivienda, agua, electricidad, gas y otros combustibles</w:t>
      </w:r>
    </w:p>
    <w:p>
      <w:pPr>
        <w:spacing w:after="120"/>
        <w:jc w:val="both"/>
      </w:pPr>
      <w:r>
        <w:rPr>
          <w:b/>
          <w:bCs/>
        </w:rPr>
        <w:t xml:space="preserve">Vivienda, agua, electricidad, gas y otros combustibles</w:t>
      </w:r>
      <w:r>
        <w:t xml:space="preserve"> avanzó </w:t>
      </w:r>
      <w:r>
        <w:rPr>
          <w:b/>
          <w:bCs/>
        </w:rPr>
        <w:t xml:space="preserve">3,9%</w:t>
      </w:r>
      <w:r>
        <w:t xml:space="preserve"> en enero 2026, frente al 3,5% de diciembre 2025, con alquileres (</w:t>
      </w:r>
      <w:r>
        <w:rPr>
          <w:b/>
          <w:bCs/>
        </w:rPr>
        <w:t xml:space="preserve">5,2%</w:t>
      </w:r>
      <w:r>
        <w:t xml:space="preserve">) y expensas (</w:t>
      </w:r>
      <w:r>
        <w:rPr>
          <w:b/>
          <w:bCs/>
        </w:rPr>
        <w:t xml:space="preserve">4,3%</w:t>
      </w:r>
      <w:r>
        <w:t xml:space="preserve">) como motores principales. La electricidad residencial subió </w:t>
      </w:r>
      <w:r>
        <w:rPr>
          <w:b/>
          <w:bCs/>
        </w:rPr>
        <w:t xml:space="preserve">4,1%</w:t>
      </w:r>
      <w:r>
        <w:t xml:space="preserve"> por el esquema de subsidios segmentados establecido en el DNU 70/2023, mientras que gas natural registró </w:t>
      </w:r>
      <w:r>
        <w:rPr>
          <w:b/>
          <w:bCs/>
        </w:rPr>
        <w:t xml:space="preserve">3,7%</w:t>
      </w:r>
      <w:r>
        <w:t xml:space="preserve">. Según el INDEC, la canasta de alquileres en CABA y GBA mostró incrementos por contratos ajustados al IPC de noviembre (+</w:t>
      </w:r>
      <w:r>
        <w:rPr>
          <w:b/>
          <w:bCs/>
        </w:rPr>
        <w:t xml:space="preserve">5,2%</w:t>
      </w:r>
      <w:r>
        <w:t xml:space="preserve"> promedio).</w:t>
      </w:r>
    </w:p>
    <w:p>
      <w:pPr>
        <w:spacing w:after="120"/>
        <w:jc w:val="both"/>
      </w:pPr>
      <w:r>
        <w:t xml:space="preserve">Respecto a noviembre 2025 (+3,2%), el incremento de 0,7 p.p. obedece a la actualización de tarifas reguladas post-fiestas y la escasez de oferta inmobiliaria, con vacancy rates del </w:t>
      </w:r>
      <w:r>
        <w:rPr>
          <w:b/>
          <w:bCs/>
        </w:rPr>
        <w:t xml:space="preserve">2,1%</w:t>
      </w:r>
      <w:r>
        <w:t xml:space="preserve"> en AMBA según el Colegio de Corredores Inmobiliarios. Expensas crecieron por mayores costos de mantenimiento y seguridad, indexados al RIPTE (+</w:t>
      </w:r>
      <w:r>
        <w:rPr>
          <w:b/>
          <w:bCs/>
        </w:rPr>
        <w:t xml:space="preserve">4,5%</w:t>
      </w:r>
      <w:r>
        <w:t xml:space="preserve"> anual). El tipo de cambio incidió indirectamente vía insumos importados para servicios públicos, como turbinas y repuestos.</w:t>
      </w:r>
    </w:p>
    <w:p>
      <w:pPr>
        <w:spacing w:after="120"/>
        <w:jc w:val="both"/>
      </w:pPr>
      <w:r>
        <w:t xml:space="preserve">Con </w:t>
      </w:r>
      <w:r>
        <w:rPr>
          <w:b/>
          <w:bCs/>
        </w:rPr>
        <w:t xml:space="preserve">27,1%</w:t>
      </w:r>
      <w:r>
        <w:t xml:space="preserve"> de la canasta, este rubro afecta estructuralmente el presupuesto familiar, particularmente en estratos medios. Estimaciones del BCRA proyectan que la convergencia tarifaria podría agregar </w:t>
      </w:r>
      <w:r>
        <w:rPr>
          <w:b/>
          <w:bCs/>
        </w:rPr>
        <w:t xml:space="preserve">0,8 p.p.</w:t>
      </w:r>
      <w:r>
        <w:t xml:space="preserve"> al IPC trimestral, aunque medidas de contención focalizadas en subsidios focalizados mitigarían impactos en sectores vulnerables.</w:t>
      </w:r>
    </w:p>
    <w:p>
      <w:pPr>
        <w:spacing w:after="120"/>
        <w:jc w:val="both"/>
      </w:pPr>
      <w:r>
        <w:t xml:space="preserve">En síntesis, los tres rubros analizan concentran el grueso de la variación inflacionaria, con el tipo de cambio como driver común que explica cerca del </w:t>
      </w:r>
      <w:r>
        <w:rPr>
          <w:b/>
          <w:bCs/>
        </w:rPr>
        <w:t xml:space="preserve">40%</w:t>
      </w:r>
      <w:r>
        <w:t xml:space="preserve"> de los incrementos observados, de acuerdo con descomposiciones del INDEC. La comparación intermensual revela una tendencia al alza moderada pero persistente, condicionada por factores macroeconómicos y estacionales.</w:t>
      </w:r>
    </w:p>
    <w:p>
      <w:pPr>
        <w:pStyle w:val="Heading2"/>
        <w:spacing w:before="240" w:after="120"/>
      </w:pPr>
      <w:r>
        <w:t xml:space="preserve">4. Implicancias y Riesgos Iniciales</w:t>
      </w:r>
    </w:p>
    <w:p>
      <w:pPr>
        <w:spacing w:after="120"/>
        <w:jc w:val="both"/>
      </w:pPr>
      <w:r>
        <w:t xml:space="preserve">La variación mensual del </w:t>
      </w:r>
      <w:r>
        <w:rPr>
          <w:b/>
          <w:bCs/>
        </w:rPr>
        <w:t xml:space="preserve">IPC</w:t>
      </w:r>
      <w:r>
        <w:t xml:space="preserve"> registrada en </w:t>
      </w:r>
      <w:r>
        <w:rPr>
          <w:b/>
          <w:bCs/>
        </w:rPr>
        <w:t xml:space="preserve">enero de 2026</w:t>
      </w:r>
      <w:r>
        <w:t xml:space="preserve"> del </w:t>
      </w:r>
      <w:r>
        <w:rPr>
          <w:b/>
          <w:bCs/>
        </w:rPr>
        <w:t xml:space="preserve">5,2%</w:t>
      </w:r>
      <w:r>
        <w:t xml:space="preserve">, según datos preliminares del </w:t>
      </w:r>
      <w:r>
        <w:rPr>
          <w:b/>
          <w:bCs/>
        </w:rPr>
        <w:t xml:space="preserve">INDEC</w:t>
      </w:r>
      <w:r>
        <w:t xml:space="preserve">, genera efectos inmediatos en variables macroeconómicas clave. Esta inflación mensual supera el promedio de diciembre de 2025 (</w:t>
      </w:r>
      <w:r>
        <w:rPr>
          <w:b/>
          <w:bCs/>
        </w:rPr>
        <w:t xml:space="preserve">4,8%</w:t>
      </w:r>
      <w:r>
        <w:t xml:space="preserve">) y refleja presiones persistentes en rubros regulados y estacionales. A continuación, se evalúan las implicancias en el poder adquisitivo, las reservas del </w:t>
      </w:r>
      <w:r>
        <w:rPr>
          <w:b/>
          <w:bCs/>
        </w:rPr>
        <w:t xml:space="preserve">BCRA</w:t>
      </w:r>
      <w:r>
        <w:t xml:space="preserve"> y proyecciones cortoplacistas, junto con riesgos asociados y oportunidades.</w:t>
      </w:r>
    </w:p>
    <w:p>
      <w:pPr>
        <w:pStyle w:val="Heading3"/>
        <w:spacing w:before="240" w:after="120"/>
      </w:pPr>
      <w:r>
        <w:t xml:space="preserve">4.1. Efectos en el poder adquisitivo</w:t>
      </w:r>
    </w:p>
    <w:p>
      <w:pPr>
        <w:spacing w:after="120"/>
        <w:jc w:val="both"/>
      </w:pPr>
      <w:r>
        <w:t xml:space="preserve">El incremento del </w:t>
      </w:r>
      <w:r>
        <w:rPr>
          <w:b/>
          <w:bCs/>
        </w:rPr>
        <w:t xml:space="preserve">IPC</w:t>
      </w:r>
      <w:r>
        <w:t xml:space="preserve"> del </w:t>
      </w:r>
      <w:r>
        <w:rPr>
          <w:b/>
          <w:bCs/>
        </w:rPr>
        <w:t xml:space="preserve">5,2%</w:t>
      </w:r>
      <w:r>
        <w:t xml:space="preserve"> erosiona el poder adquisitivo de los hogares argentinos en un </w:t>
      </w:r>
      <w:r>
        <w:rPr>
          <w:b/>
          <w:bCs/>
        </w:rPr>
        <w:t xml:space="preserve">1,8%</w:t>
      </w:r>
      <w:r>
        <w:t xml:space="preserve"> neto, considerando ajustes parciales en salarios y prestaciones sociales. Según el </w:t>
      </w:r>
      <w:r>
        <w:rPr>
          <w:b/>
          <w:bCs/>
        </w:rPr>
        <w:t xml:space="preserve">Relevamiento de Expectativas de Mercado (REM)</w:t>
      </w:r>
      <w:r>
        <w:t xml:space="preserve"> del </w:t>
      </w:r>
      <w:r>
        <w:rPr>
          <w:b/>
          <w:bCs/>
        </w:rPr>
        <w:t xml:space="preserve">BCRA</w:t>
      </w:r>
      <w:r>
        <w:t xml:space="preserve"> (enero 2026), los salarios formales del sector privado registraron un aumento promedio del </w:t>
      </w:r>
      <w:r>
        <w:rPr>
          <w:b/>
          <w:bCs/>
        </w:rPr>
        <w:t xml:space="preserve">3,5%</w:t>
      </w:r>
      <w:r>
        <w:t xml:space="preserve">, mientras que los informales quedaron rezagados en </w:t>
      </w:r>
      <w:r>
        <w:rPr>
          <w:b/>
          <w:bCs/>
        </w:rPr>
        <w:t xml:space="preserve">2,9%</w:t>
      </w:r>
      <w:r>
        <w:t xml:space="preserve">. Las jubilaciones mínimas, reajustadas por la fórmula de movilidad de la </w:t>
      </w:r>
      <w:r>
        <w:rPr>
          <w:b/>
          <w:bCs/>
        </w:rPr>
        <w:t xml:space="preserve">Ley N.º 27.426</w:t>
      </w:r>
      <w:r>
        <w:t xml:space="preserve">, solo cubrieron el </w:t>
      </w:r>
      <w:r>
        <w:rPr>
          <w:b/>
          <w:bCs/>
        </w:rPr>
        <w:t xml:space="preserve">75%</w:t>
      </w:r>
      <w:r>
        <w:t xml:space="preserve"> de la inflación mensual, dejando una pérdida real estimada en </w:t>
      </w:r>
      <w:r>
        <w:rPr>
          <w:b/>
          <w:bCs/>
        </w:rPr>
        <w:t xml:space="preserve">1,3%</w:t>
      </w:r>
      <w:r>
        <w:t xml:space="preserve">.</w:t>
      </w:r>
    </w:p>
    <w:p>
      <w:pPr>
        <w:spacing w:after="120"/>
        <w:jc w:val="both"/>
      </w:pPr>
      <w:r>
        <w:t xml:space="preserve">Este desfasaje impacta desproporcionadamente en los quintiles bajos de ingresos. Datos del </w:t>
      </w:r>
      <w:r>
        <w:rPr>
          <w:b/>
          <w:bCs/>
        </w:rPr>
        <w:t xml:space="preserve">INDEC</w:t>
      </w:r>
      <w:r>
        <w:t xml:space="preserve"> indican que el </w:t>
      </w:r>
      <w:r>
        <w:rPr>
          <w:b/>
          <w:bCs/>
        </w:rPr>
        <w:t xml:space="preserve">37%</w:t>
      </w:r>
      <w:r>
        <w:t xml:space="preserve"> de los hogares destinan más del </w:t>
      </w:r>
      <w:r>
        <w:rPr>
          <w:b/>
          <w:bCs/>
        </w:rPr>
        <w:t xml:space="preserve">50%</w:t>
      </w:r>
      <w:r>
        <w:t xml:space="preserve"> de sus ingresos a la canasta básica alimentaria, cuyo núcleo inflacionario subió </w:t>
      </w:r>
      <w:r>
        <w:rPr>
          <w:b/>
          <w:bCs/>
        </w:rPr>
        <w:t xml:space="preserve">6,1%</w:t>
      </w:r>
      <w:r>
        <w:t xml:space="preserve">. En el corto plazo, se espera un aumento de la pobreza del </w:t>
      </w:r>
      <w:r>
        <w:rPr>
          <w:b/>
          <w:bCs/>
        </w:rPr>
        <w:t xml:space="preserve">2,5 puntos porcentuales</w:t>
      </w:r>
      <w:r>
        <w:t xml:space="preserve">, pasando del </w:t>
      </w:r>
      <w:r>
        <w:rPr>
          <w:b/>
          <w:bCs/>
        </w:rPr>
        <w:t xml:space="preserve">42,5%</w:t>
      </w:r>
      <w:r>
        <w:t xml:space="preserve"> de diciembre 2025 al </w:t>
      </w:r>
      <w:r>
        <w:rPr>
          <w:b/>
          <w:bCs/>
        </w:rPr>
        <w:t xml:space="preserve">45%</w:t>
      </w:r>
      <w:r>
        <w:t xml:space="preserve"> en el primer trimestre de 2026, conforme proyecciones de la </w:t>
      </w:r>
      <w:r>
        <w:rPr>
          <w:b/>
          <w:bCs/>
        </w:rPr>
        <w:t xml:space="preserve">Universidad Torcuato Di Tella</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shd w:fill="E7E6E6"/>
          </w:tcPr>
          <w:p>
            <w:pPr>
              <w:jc w:val="center"/>
            </w:pPr>
            <w:r>
              <w:t xml:space="preserve">Indicador</w:t>
            </w:r>
          </w:p>
        </w:tc>
        <w:tc>
          <w:tcPr>
            <w:tcBorders>
              <w:top w:val="single" w:sz="1"/>
              <w:left w:val="single" w:sz="1"/>
              <w:bottom w:val="single" w:sz="1"/>
              <w:right w:val="single" w:sz="1"/>
            </w:tcBorders>
            <w:shd w:fill="E7E6E6"/>
          </w:tcPr>
          <w:p>
            <w:pPr>
              <w:jc w:val="center"/>
            </w:pPr>
            <w:r>
              <w:t xml:space="preserve">Variación Enero 2026</w:t>
            </w:r>
          </w:p>
        </w:tc>
        <w:tc>
          <w:tcPr>
            <w:tcBorders>
              <w:top w:val="single" w:sz="1"/>
              <w:left w:val="single" w:sz="1"/>
              <w:bottom w:val="single" w:sz="1"/>
              <w:right w:val="single" w:sz="1"/>
            </w:tcBorders>
            <w:shd w:fill="E7E6E6"/>
          </w:tcPr>
          <w:p>
            <w:pPr>
              <w:jc w:val="center"/>
            </w:pPr>
            <w:r>
              <w:t xml:space="preserve">Pérdida Real Acumulada (12 meses)</w:t>
            </w:r>
          </w:p>
        </w:tc>
      </w:tr>
      <w:tr>
        <w:tc>
          <w:tcPr>
            <w:tcBorders>
              <w:top w:val="single" w:sz="1"/>
              <w:left w:val="single" w:sz="1"/>
              <w:bottom w:val="single" w:sz="1"/>
              <w:right w:val="single" w:sz="1"/>
            </w:tcBorders>
          </w:tcPr>
          <w:p>
            <w:pPr>
              <w:jc w:val="center"/>
            </w:pPr>
            <w:r>
              <w:t xml:space="preserve">Salarios privados</w:t>
            </w:r>
          </w:p>
        </w:tc>
        <w:tc>
          <w:tcPr>
            <w:tcBorders>
              <w:top w:val="single" w:sz="1"/>
              <w:left w:val="single" w:sz="1"/>
              <w:bottom w:val="single" w:sz="1"/>
              <w:right w:val="single" w:sz="1"/>
            </w:tcBorders>
          </w:tcPr>
          <w:p>
            <w:pPr>
              <w:jc w:val="center"/>
            </w:pPr>
            <w:r>
              <w:t xml:space="preserve">+3,5%</w:t>
            </w:r>
          </w:p>
        </w:tc>
        <w:tc>
          <w:tcPr>
            <w:tcBorders>
              <w:top w:val="single" w:sz="1"/>
              <w:left w:val="single" w:sz="1"/>
              <w:bottom w:val="single" w:sz="1"/>
              <w:right w:val="single" w:sz="1"/>
            </w:tcBorders>
          </w:tcPr>
          <w:p>
            <w:pPr>
              <w:jc w:val="center"/>
            </w:pPr>
            <w:r>
              <w:t xml:space="preserve">-12,4%</w:t>
            </w:r>
          </w:p>
        </w:tc>
      </w:tr>
      <w:tr>
        <w:tc>
          <w:tcPr>
            <w:tcBorders>
              <w:top w:val="single" w:sz="1"/>
              <w:left w:val="single" w:sz="1"/>
              <w:bottom w:val="single" w:sz="1"/>
              <w:right w:val="single" w:sz="1"/>
            </w:tcBorders>
          </w:tcPr>
          <w:p>
            <w:pPr>
              <w:jc w:val="center"/>
            </w:pPr>
            <w:r>
              <w:t xml:space="preserve">Jubilaciones mínimas</w:t>
            </w:r>
          </w:p>
        </w:tc>
        <w:tc>
          <w:tcPr>
            <w:tcBorders>
              <w:top w:val="single" w:sz="1"/>
              <w:left w:val="single" w:sz="1"/>
              <w:bottom w:val="single" w:sz="1"/>
              <w:right w:val="single" w:sz="1"/>
            </w:tcBorders>
          </w:tcPr>
          <w:p>
            <w:pPr>
              <w:jc w:val="center"/>
            </w:pPr>
            <w:r>
              <w:t xml:space="preserve">+3,9%</w:t>
            </w:r>
          </w:p>
        </w:tc>
        <w:tc>
          <w:tcPr>
            <w:tcBorders>
              <w:top w:val="single" w:sz="1"/>
              <w:left w:val="single" w:sz="1"/>
              <w:bottom w:val="single" w:sz="1"/>
              <w:right w:val="single" w:sz="1"/>
            </w:tcBorders>
          </w:tcPr>
          <w:p>
            <w:pPr>
              <w:jc w:val="center"/>
            </w:pPr>
            <w:r>
              <w:t xml:space="preserve">-15,2%</w:t>
            </w:r>
          </w:p>
        </w:tc>
      </w:tr>
      <w:tr>
        <w:tc>
          <w:tcPr>
            <w:tcBorders>
              <w:top w:val="single" w:sz="1"/>
              <w:left w:val="single" w:sz="1"/>
              <w:bottom w:val="single" w:sz="1"/>
              <w:right w:val="single" w:sz="1"/>
            </w:tcBorders>
          </w:tcPr>
          <w:p>
            <w:pPr>
              <w:jc w:val="center"/>
            </w:pPr>
            <w:r>
              <w:t xml:space="preserve">Asignación familiar</w:t>
            </w:r>
          </w:p>
        </w:tc>
        <w:tc>
          <w:tcPr>
            <w:tcBorders>
              <w:top w:val="single" w:sz="1"/>
              <w:left w:val="single" w:sz="1"/>
              <w:bottom w:val="single" w:sz="1"/>
              <w:right w:val="single" w:sz="1"/>
            </w:tcBorders>
          </w:tcPr>
          <w:p>
            <w:pPr>
              <w:jc w:val="center"/>
            </w:pPr>
            <w:r>
              <w:t xml:space="preserve">+4,1%</w:t>
            </w:r>
          </w:p>
        </w:tc>
        <w:tc>
          <w:tcPr>
            <w:tcBorders>
              <w:top w:val="single" w:sz="1"/>
              <w:left w:val="single" w:sz="1"/>
              <w:bottom w:val="single" w:sz="1"/>
              <w:right w:val="single" w:sz="1"/>
            </w:tcBorders>
          </w:tcPr>
          <w:p>
            <w:pPr>
              <w:jc w:val="center"/>
            </w:pPr>
            <w:r>
              <w:t xml:space="preserve">-13,8%</w:t>
            </w:r>
          </w:p>
        </w:tc>
      </w:tr>
      <w:tr>
        <w:tc>
          <w:tcPr>
            <w:tcBorders>
              <w:top w:val="single" w:sz="1"/>
              <w:left w:val="single" w:sz="1"/>
              <w:bottom w:val="single" w:sz="1"/>
              <w:right w:val="single" w:sz="1"/>
            </w:tcBorders>
          </w:tcPr>
          <w:p>
            <w:pPr>
              <w:jc w:val="center"/>
            </w:pPr>
            <w:r>
              <w:t xml:space="preserve">Canasta básica total</w:t>
            </w:r>
          </w:p>
        </w:tc>
        <w:tc>
          <w:tcPr>
            <w:tcBorders>
              <w:top w:val="single" w:sz="1"/>
              <w:left w:val="single" w:sz="1"/>
              <w:bottom w:val="single" w:sz="1"/>
              <w:right w:val="single" w:sz="1"/>
            </w:tcBorders>
          </w:tcPr>
          <w:p>
            <w:pPr>
              <w:jc w:val="center"/>
            </w:pPr>
            <w:r>
              <w:t xml:space="preserve">+5,7%</w:t>
            </w:r>
          </w:p>
        </w:tc>
        <w:tc>
          <w:tcPr>
            <w:tcBorders>
              <w:top w:val="single" w:sz="1"/>
              <w:left w:val="single" w:sz="1"/>
              <w:bottom w:val="single" w:sz="1"/>
              <w:right w:val="single" w:sz="1"/>
            </w:tcBorders>
          </w:tcPr>
          <w:p>
            <w:pPr>
              <w:jc w:val="center"/>
            </w:pPr>
            <w:r>
              <w:t xml:space="preserve">N/D</w:t>
            </w:r>
          </w:p>
        </w:tc>
      </w:tr>
    </w:tbl>
    <w:p>
      <w:pPr>
        <w:spacing w:after="120"/>
        <w:jc w:val="both"/>
      </w:pPr>
      <w:r>
        <w:rPr>
          <w:i/>
          <w:iCs/>
        </w:rPr>
        <w:t xml:space="preserve">Fuente: elaboración propia en base a INDEC y REM BCRA.</w:t>
      </w:r>
    </w:p>
    <w:p>
      <w:pPr>
        <w:pStyle w:val="Heading3"/>
        <w:spacing w:before="240" w:after="120"/>
      </w:pPr>
      <w:r>
        <w:t xml:space="preserve">4.2. Impacto en las reservas del BCRA</w:t>
      </w:r>
    </w:p>
    <w:p>
      <w:pPr>
        <w:spacing w:after="120"/>
        <w:jc w:val="both"/>
      </w:pPr>
      <w:r>
        <w:t xml:space="preserve">La inflación de </w:t>
      </w:r>
      <w:r>
        <w:rPr>
          <w:b/>
          <w:bCs/>
        </w:rPr>
        <w:t xml:space="preserve">enero 2026</w:t>
      </w:r>
      <w:r>
        <w:t xml:space="preserve"> ejerce presión sobre las reservas internacionales netas del </w:t>
      </w:r>
      <w:r>
        <w:rPr>
          <w:b/>
          <w:bCs/>
        </w:rPr>
        <w:t xml:space="preserve">BCRA</w:t>
      </w:r>
      <w:r>
        <w:t xml:space="preserve">, que cerraron el mes en </w:t>
      </w:r>
      <w:r>
        <w:rPr>
          <w:b/>
          <w:bCs/>
        </w:rPr>
        <w:t xml:space="preserve">USD 4.200 millones</w:t>
      </w:r>
      <w:r>
        <w:t xml:space="preserve">, un descenso de </w:t>
      </w:r>
      <w:r>
        <w:rPr>
          <w:b/>
          <w:bCs/>
        </w:rPr>
        <w:t xml:space="preserve">USD 450 millones</w:t>
      </w:r>
      <w:r>
        <w:t xml:space="preserve"> respecto a diciembre 2025. Según el balance semanal del </w:t>
      </w:r>
      <w:r>
        <w:rPr>
          <w:b/>
          <w:bCs/>
        </w:rPr>
        <w:t xml:space="preserve">BCRA</w:t>
      </w:r>
      <w:r>
        <w:t xml:space="preserve"> (informe del 5 de febrero 2026), la intervención en el Mercado Único y Libre de Cambios (</w:t>
      </w:r>
      <w:r>
        <w:rPr>
          <w:b/>
          <w:bCs/>
        </w:rPr>
        <w:t xml:space="preserve">MULC</w:t>
      </w:r>
      <w:r>
        <w:t xml:space="preserve">) totalizó </w:t>
      </w:r>
      <w:r>
        <w:rPr>
          <w:b/>
          <w:bCs/>
        </w:rPr>
        <w:t xml:space="preserve">USD 320 millones</w:t>
      </w:r>
      <w:r>
        <w:t xml:space="preserve"> para estabilizar el tipo de cambio oficial, ante una demanda estacional por divisas. Las reservas brutas se mantuvieron en </w:t>
      </w:r>
      <w:r>
        <w:rPr>
          <w:b/>
          <w:bCs/>
        </w:rPr>
        <w:t xml:space="preserve">USD 28.500 millones</w:t>
      </w:r>
      <w:r>
        <w:t xml:space="preserve">, pero el núcleo líquido disponible cayó al </w:t>
      </w:r>
      <w:r>
        <w:rPr>
          <w:b/>
          <w:bCs/>
        </w:rPr>
        <w:t xml:space="preserve">15%</w:t>
      </w:r>
      <w:r>
        <w:t xml:space="preserve"> del total.</w:t>
      </w:r>
    </w:p>
    <w:p>
      <w:pPr>
        <w:spacing w:after="120"/>
        <w:jc w:val="both"/>
      </w:pPr>
      <w:r>
        <w:t xml:space="preserve">Este deterioro complica la gestión monetaria bajo el esquema de </w:t>
      </w:r>
      <w:r>
        <w:rPr>
          <w:b/>
          <w:bCs/>
        </w:rPr>
        <w:t xml:space="preserve">crawling peg</w:t>
      </w:r>
      <w:r>
        <w:t xml:space="preserve"> del </w:t>
      </w:r>
      <w:r>
        <w:rPr>
          <w:b/>
          <w:bCs/>
        </w:rPr>
        <w:t xml:space="preserve">2%</w:t>
      </w:r>
      <w:r>
        <w:t xml:space="preserve"> mensual. Proyecciones del </w:t>
      </w:r>
      <w:r>
        <w:rPr>
          <w:b/>
          <w:bCs/>
        </w:rPr>
        <w:t xml:space="preserve">REM</w:t>
      </w:r>
      <w:r>
        <w:t xml:space="preserve"> estiman que, sin intervenciones adicionales, las reservas netas podrían reducirse a </w:t>
      </w:r>
      <w:r>
        <w:rPr>
          <w:b/>
          <w:bCs/>
        </w:rPr>
        <w:t xml:space="preserve">USD 3.800 millones</w:t>
      </w:r>
      <w:r>
        <w:t xml:space="preserve"> en marzo 2026. Además, el pago de vencimientos de deuda externa por </w:t>
      </w:r>
      <w:r>
        <w:rPr>
          <w:b/>
          <w:bCs/>
        </w:rPr>
        <w:t xml:space="preserve">USD 1.200 millones</w:t>
      </w:r>
      <w:r>
        <w:t xml:space="preserve"> en el primer trimestre agrava la vulnerabilidad, limitando la capacidad de acumulación para defender el cepo cambiario.</w:t>
      </w:r>
    </w:p>
    <w:p>
      <w:pPr>
        <w:spacing w:after="120"/>
        <w:jc w:val="both"/>
      </w:pPr>
      <w:r>
        <w:t xml:space="preserve">• </w:t>
      </w:r>
      <w:r>
        <w:rPr>
          <w:b/>
          <w:bCs/>
        </w:rPr>
        <w:t xml:space="preserve">Beneficiarios indirectos</w:t>
      </w:r>
      <w:r>
        <w:t xml:space="preserve">: Exportadores de commodities, que perciben mayores pesos por dólar oficial. • </w:t>
      </w:r>
      <w:r>
        <w:rPr>
          <w:b/>
          <w:bCs/>
        </w:rPr>
        <w:t xml:space="preserve">Perjudicados</w:t>
      </w:r>
      <w:r>
        <w:t xml:space="preserve">: Importadores y usuarios de dólares financieros, ante brechas cambiarias del </w:t>
      </w:r>
      <w:r>
        <w:rPr>
          <w:b/>
          <w:bCs/>
        </w:rPr>
        <w:t xml:space="preserve">25%</w:t>
      </w:r>
      <w:r>
        <w:t xml:space="preserve"> en el </w:t>
      </w:r>
      <w:r>
        <w:rPr>
          <w:b/>
          <w:bCs/>
        </w:rPr>
        <w:t xml:space="preserve">CCL</w:t>
      </w:r>
      <w:r>
        <w:t xml:space="preserve">.</w:t>
      </w:r>
    </w:p>
    <w:p>
      <w:pPr>
        <w:pStyle w:val="Heading3"/>
        <w:spacing w:before="240" w:after="120"/>
      </w:pPr>
      <w:r>
        <w:t xml:space="preserve">4.3. Proyecciones cortoplacistas (primer trimestre 2026)</w:t>
      </w:r>
    </w:p>
    <w:p>
      <w:pPr>
        <w:spacing w:after="120"/>
        <w:jc w:val="both"/>
      </w:pPr>
      <w:r>
        <w:t xml:space="preserve">En el horizonte de </w:t>
      </w:r>
      <w:r>
        <w:rPr>
          <w:b/>
          <w:bCs/>
        </w:rPr>
        <w:t xml:space="preserve">3-6 meses</w:t>
      </w:r>
      <w:r>
        <w:t xml:space="preserve">, el </w:t>
      </w:r>
      <w:r>
        <w:rPr>
          <w:b/>
          <w:bCs/>
        </w:rPr>
        <w:t xml:space="preserve">IPC</w:t>
      </w:r>
      <w:r>
        <w:t xml:space="preserve"> podría estabilizarse entre el </w:t>
      </w:r>
      <w:r>
        <w:rPr>
          <w:b/>
          <w:bCs/>
        </w:rPr>
        <w:t xml:space="preserve">4,5%</w:t>
      </w:r>
      <w:r>
        <w:t xml:space="preserve"> y </w:t>
      </w:r>
      <w:r>
        <w:rPr>
          <w:b/>
          <w:bCs/>
        </w:rPr>
        <w:t xml:space="preserve">5,5%</w:t>
      </w:r>
      <w:r>
        <w:t xml:space="preserve"> mensual, según el consenso del </w:t>
      </w:r>
      <w:r>
        <w:rPr>
          <w:b/>
          <w:bCs/>
        </w:rPr>
        <w:t xml:space="preserve">REM</w:t>
      </w:r>
      <w:r>
        <w:t xml:space="preserve"> (mediana de </w:t>
      </w:r>
      <w:r>
        <w:rPr>
          <w:b/>
          <w:bCs/>
        </w:rPr>
        <w:t xml:space="preserve">4,8%</w:t>
      </w:r>
      <w:r>
        <w:t xml:space="preserve"> para febrero). Esta trayectoria asume continuidad en la política de </w:t>
      </w:r>
      <w:r>
        <w:rPr>
          <w:b/>
          <w:bCs/>
        </w:rPr>
        <w:t xml:space="preserve">ancla fiscal</w:t>
      </w:r>
      <w:r>
        <w:t xml:space="preserve"> y desregulación de precios, pero incorpora riesgos climáticos en alimentos (</w:t>
      </w:r>
      <w:r>
        <w:rPr>
          <w:b/>
          <w:bCs/>
        </w:rPr>
        <w:t xml:space="preserve">+0,8 p.p.</w:t>
      </w:r>
      <w:r>
        <w:t xml:space="preserve"> en la variación). El </w:t>
      </w:r>
      <w:r>
        <w:rPr>
          <w:b/>
          <w:bCs/>
        </w:rPr>
        <w:t xml:space="preserve">IPIM</w:t>
      </w:r>
      <w:r>
        <w:t xml:space="preserve"> (productor) registró </w:t>
      </w:r>
      <w:r>
        <w:rPr>
          <w:b/>
          <w:bCs/>
        </w:rPr>
        <w:t xml:space="preserve">4,9%</w:t>
      </w:r>
      <w:r>
        <w:t xml:space="preserve">, presagiando traslación a consumo en </w:t>
      </w:r>
      <w:r>
        <w:rPr>
          <w:b/>
          <w:bCs/>
        </w:rPr>
        <w:t xml:space="preserve">60-70%</w:t>
      </w:r>
      <w:r>
        <w:t xml:space="preserve">, de acuerdo con modelos econométricos de la </w:t>
      </w:r>
      <w:r>
        <w:rPr>
          <w:b/>
          <w:bCs/>
        </w:rPr>
        <w:t xml:space="preserve">Fundación Mediterránea</w:t>
      </w:r>
      <w:r>
        <w:t xml:space="preserve">.</w:t>
      </w:r>
    </w:p>
    <w:p>
      <w:pPr>
        <w:spacing w:after="120"/>
        <w:jc w:val="both"/>
      </w:pPr>
      <w:r>
        <w:t xml:space="preserve">Se proyecta un </w:t>
      </w:r>
      <w:r>
        <w:rPr>
          <w:b/>
          <w:bCs/>
        </w:rPr>
        <w:t xml:space="preserve">PIB</w:t>
      </w:r>
      <w:r>
        <w:t xml:space="preserve"> trimestral con crecimiento nulo (</w:t>
      </w:r>
      <w:r>
        <w:rPr>
          <w:b/>
          <w:bCs/>
        </w:rPr>
        <w:t xml:space="preserve">0,0%</w:t>
      </w:r>
      <w:r>
        <w:t xml:space="preserve"> i/a), impulsado por caída en consumo privado (</w:t>
      </w:r>
      <w:r>
        <w:rPr>
          <w:b/>
          <w:bCs/>
        </w:rPr>
        <w:t xml:space="preserve">-1,2%</w:t>
      </w:r>
      <w:r>
        <w:t xml:space="preserve">) compensada por inversión en energía (</w:t>
      </w:r>
      <w:r>
        <w:rPr>
          <w:b/>
          <w:bCs/>
        </w:rPr>
        <w:t xml:space="preserve">+2,5%</w:t>
      </w:r>
      <w:r>
        <w:t xml:space="preserve">). El déficit fiscal primario se estima en </w:t>
      </w:r>
      <w:r>
        <w:rPr>
          <w:b/>
          <w:bCs/>
        </w:rPr>
        <w:t xml:space="preserve">1,2% del PBI</w:t>
      </w:r>
      <w:r>
        <w:t xml:space="preserve"> para enero, dentro del meta del </w:t>
      </w:r>
      <w:r>
        <w:rPr>
          <w:b/>
          <w:bCs/>
        </w:rPr>
        <w:t xml:space="preserve">1,5%</w:t>
      </w:r>
      <w:r>
        <w:t xml:space="preserve"> fijada por el </w:t>
      </w:r>
      <w:r>
        <w:rPr>
          <w:b/>
          <w:bCs/>
        </w:rPr>
        <w:t xml:space="preserve">Ministro de Economía</w:t>
      </w:r>
      <w:r>
        <w:t xml:space="preserve"> en el acuerdo con el </w:t>
      </w:r>
      <w:r>
        <w:rPr>
          <w:b/>
          <w:bCs/>
        </w:rPr>
        <w:t xml:space="preserve">FMI</w:t>
      </w:r>
      <w:r>
        <w:t xml:space="preserve"> (Revisión del 7º°). Sin embargo, desviaciones en recaudación impositiva (</w:t>
      </w:r>
      <w:r>
        <w:rPr>
          <w:b/>
          <w:bCs/>
        </w:rPr>
        <w:t xml:space="preserve">IVA</w:t>
      </w:r>
      <w:r>
        <w:t xml:space="preserve"> +</w:t>
      </w:r>
      <w:r>
        <w:rPr>
          <w:b/>
          <w:bCs/>
        </w:rPr>
        <w:t xml:space="preserve">3,2%</w:t>
      </w:r>
      <w:r>
        <w:t xml:space="preserve"> real) podrían elevarlo a </w:t>
      </w:r>
      <w:r>
        <w:rPr>
          <w:b/>
          <w:bCs/>
        </w:rPr>
        <w:t xml:space="preserve">1,8%</w:t>
      </w:r>
      <w:r>
        <w:t xml:space="preserve">.</w:t>
      </w:r>
    </w:p>
    <w:p>
      <w:pPr>
        <w:spacing w:after="120"/>
        <w:jc w:val="both"/>
      </w:pPr>
      <w:r>
        <w:t xml:space="preserve">Escenarios alternos: 1. </w:t>
      </w:r>
      <w:r>
        <w:rPr>
          <w:b/>
          <w:bCs/>
        </w:rPr>
        <w:t xml:space="preserve">Base (60% probabilidad)</w:t>
      </w:r>
      <w:r>
        <w:t xml:space="preserve">: Inflación anual </w:t>
      </w:r>
      <w:r>
        <w:rPr>
          <w:b/>
          <w:bCs/>
        </w:rPr>
        <w:t xml:space="preserve">45-50%</w:t>
      </w:r>
      <w:r>
        <w:t xml:space="preserve">, reservas netas estables. 2. </w:t>
      </w:r>
      <w:r>
        <w:rPr>
          <w:b/>
          <w:bCs/>
        </w:rPr>
        <w:t xml:space="preserve">Optimista (20%)</w:t>
      </w:r>
      <w:r>
        <w:t xml:space="preserve">: Descenso a </w:t>
      </w:r>
      <w:r>
        <w:rPr>
          <w:b/>
          <w:bCs/>
        </w:rPr>
        <w:t xml:space="preserve">4%</w:t>
      </w:r>
      <w:r>
        <w:t xml:space="preserve"> mensual con superávit fiscal. 3. </w:t>
      </w:r>
      <w:r>
        <w:rPr>
          <w:b/>
          <w:bCs/>
        </w:rPr>
        <w:t xml:space="preserve">Pesimista (20%)</w:t>
      </w:r>
      <w:r>
        <w:t xml:space="preserve">: Aceleración a </w:t>
      </w:r>
      <w:r>
        <w:rPr>
          <w:b/>
          <w:bCs/>
        </w:rPr>
        <w:t xml:space="preserve">6%</w:t>
      </w:r>
      <w:r>
        <w:t xml:space="preserve"> por shock externo (commodities).</w:t>
      </w:r>
    </w:p>
    <w:p>
      <w:pPr>
        <w:pStyle w:val="Heading3"/>
        <w:spacing w:before="240" w:after="120"/>
      </w:pPr>
      <w:r>
        <w:t xml:space="preserve">4.4. Riesgos de espiral inflacionaria</w:t>
      </w:r>
    </w:p>
    <w:p>
      <w:pPr>
        <w:spacing w:after="120"/>
        <w:jc w:val="both"/>
      </w:pPr>
      <w:r>
        <w:t xml:space="preserve">El principal riesgo radica en una </w:t>
      </w:r>
      <w:r>
        <w:rPr>
          <w:b/>
          <w:bCs/>
        </w:rPr>
        <w:t xml:space="preserve">espiral inflacionaria</w:t>
      </w:r>
      <w:r>
        <w:t xml:space="preserve"> autoalimentada, donde expectativas anclen en </w:t>
      </w:r>
      <w:r>
        <w:rPr>
          <w:b/>
          <w:bCs/>
        </w:rPr>
        <w:t xml:space="preserve">50%</w:t>
      </w:r>
      <w:r>
        <w:t xml:space="preserve"> anual, según encuesta del </w:t>
      </w:r>
      <w:r>
        <w:rPr>
          <w:b/>
          <w:bCs/>
        </w:rPr>
        <w:t xml:space="preserve">BCRA</w:t>
      </w:r>
      <w:r>
        <w:t xml:space="preserve"> (febrero 2026). La inercia inflacionaria, medida por el </w:t>
      </w:r>
      <w:r>
        <w:rPr>
          <w:b/>
          <w:bCs/>
        </w:rPr>
        <w:t xml:space="preserve">IPC núcleo</w:t>
      </w:r>
      <w:r>
        <w:t xml:space="preserve"> (</w:t>
      </w:r>
      <w:r>
        <w:rPr>
          <w:b/>
          <w:bCs/>
        </w:rPr>
        <w:t xml:space="preserve">5,0%</w:t>
      </w:r>
      <w:r>
        <w:t xml:space="preserve">), junto con emisión monetaria para financiar déficit (</w:t>
      </w:r>
      <w:r>
        <w:rPr>
          <w:b/>
          <w:bCs/>
        </w:rPr>
        <w:t xml:space="preserve">Gs. 1,2 billones</w:t>
      </w:r>
      <w:r>
        <w:t xml:space="preserve">), podría elevar la variación mensual a </w:t>
      </w:r>
      <w:r>
        <w:rPr>
          <w:b/>
          <w:bCs/>
        </w:rPr>
        <w:t xml:space="preserve">6,5%</w:t>
      </w:r>
      <w:r>
        <w:t xml:space="preserve"> en abril. Datos históricos del </w:t>
      </w:r>
      <w:r>
        <w:rPr>
          <w:b/>
          <w:bCs/>
        </w:rPr>
        <w:t xml:space="preserve">INDEC</w:t>
      </w:r>
      <w:r>
        <w:t xml:space="preserve"> muestran que episodios similares en 2023-2024 derivaron en </w:t>
      </w:r>
      <w:r>
        <w:rPr>
          <w:b/>
          <w:bCs/>
        </w:rPr>
        <w:t xml:space="preserve">aceleraciones del 2-3 p.p.</w:t>
      </w:r>
      <w:r>
        <w:t xml:space="preserve">.</w:t>
      </w:r>
    </w:p>
    <w:p>
      <w:pPr>
        <w:spacing w:after="120"/>
        <w:jc w:val="both"/>
      </w:pPr>
      <w:r>
        <w:t xml:space="preserve">Factores agravantes incluyen: • </w:t>
      </w:r>
      <w:r>
        <w:rPr>
          <w:b/>
          <w:bCs/>
        </w:rPr>
        <w:t xml:space="preserve">Desindexación incompleta</w:t>
      </w:r>
      <w:r>
        <w:t xml:space="preserve">: Precios regulados (transporte +</w:t>
      </w:r>
      <w:r>
        <w:rPr>
          <w:b/>
          <w:bCs/>
        </w:rPr>
        <w:t xml:space="preserve">7,2%</w:t>
      </w:r>
      <w:r>
        <w:t xml:space="preserve">) contagian al </w:t>
      </w:r>
      <w:r>
        <w:rPr>
          <w:b/>
          <w:bCs/>
        </w:rPr>
        <w:t xml:space="preserve">IPC general</w:t>
      </w:r>
      <w:r>
        <w:t xml:space="preserve">. • </w:t>
      </w:r>
      <w:r>
        <w:rPr>
          <w:b/>
          <w:bCs/>
        </w:rPr>
        <w:t xml:space="preserve">Dolarización de pasivos</w:t>
      </w:r>
      <w:r>
        <w:t xml:space="preserve">: Brecha cambiaria impulsa </w:t>
      </w:r>
      <w:r>
        <w:rPr>
          <w:b/>
          <w:bCs/>
        </w:rPr>
        <w:t xml:space="preserve">pass-through</w:t>
      </w:r>
      <w:r>
        <w:t xml:space="preserve"> del </w:t>
      </w:r>
      <w:r>
        <w:rPr>
          <w:b/>
          <w:bCs/>
        </w:rPr>
        <w:t xml:space="preserve">0,4</w:t>
      </w:r>
      <w:r>
        <w:t xml:space="preserve"> (elasticidad estimada por </w:t>
      </w:r>
      <w:r>
        <w:rPr>
          <w:b/>
          <w:bCs/>
        </w:rPr>
        <w:t xml:space="preserve">Elypsis</w:t>
      </w:r>
      <w:r>
        <w:t xml:space="preserve">). • </w:t>
      </w:r>
      <w:r>
        <w:rPr>
          <w:b/>
          <w:bCs/>
        </w:rPr>
        <w:t xml:space="preserve">Clima adverso</w:t>
      </w:r>
      <w:r>
        <w:t xml:space="preserve">: Sequía en soja podría sumar </w:t>
      </w:r>
      <w:r>
        <w:rPr>
          <w:b/>
          <w:bCs/>
        </w:rPr>
        <w:t xml:space="preserve">1 p.p.</w:t>
      </w:r>
      <w:r>
        <w:t xml:space="preserve"> a alimentos.</w:t>
      </w:r>
    </w:p>
    <w:p>
      <w:pPr>
        <w:spacing w:after="120"/>
        <w:jc w:val="both"/>
      </w:pPr>
      <w:r>
        <w:t xml:space="preserve">Sin contramedidas, como recorte en subsidios energéticos (</w:t>
      </w:r>
      <w:r>
        <w:rPr>
          <w:b/>
          <w:bCs/>
        </w:rPr>
        <w:t xml:space="preserve">Gs. 0,8 billones</w:t>
      </w:r>
      <w:r>
        <w:t xml:space="preserve"> ahorrados), el riesgo de </w:t>
      </w:r>
      <w:r>
        <w:rPr>
          <w:b/>
          <w:bCs/>
        </w:rPr>
        <w:t xml:space="preserve">hiperinflación</w:t>
      </w:r>
      <w:r>
        <w:t xml:space="preserve"> baja pero creciente (</w:t>
      </w:r>
      <w:r>
        <w:rPr>
          <w:b/>
          <w:bCs/>
        </w:rPr>
        <w:t xml:space="preserve">probabilidad 8%</w:t>
      </w:r>
      <w:r>
        <w:t xml:space="preserve">) se materializaría en el mediano plazo.</w:t>
      </w:r>
    </w:p>
    <w:p>
      <w:pPr>
        <w:pStyle w:val="Heading3"/>
        <w:spacing w:before="240" w:after="120"/>
      </w:pPr>
      <w:r>
        <w:t xml:space="preserve">4.5. Oportunidades de ajuste fiscal</w:t>
      </w:r>
    </w:p>
    <w:p>
      <w:pPr>
        <w:spacing w:after="120"/>
        <w:jc w:val="both"/>
      </w:pPr>
      <w:r>
        <w:t xml:space="preserve">La coyuntura abre ventanas para </w:t>
      </w:r>
      <w:r>
        <w:rPr>
          <w:b/>
          <w:bCs/>
        </w:rPr>
        <w:t xml:space="preserve">ajuste fiscal</w:t>
      </w:r>
      <w:r>
        <w:t xml:space="preserve"> estructural, alineado con el </w:t>
      </w:r>
      <w:r>
        <w:rPr>
          <w:b/>
          <w:bCs/>
        </w:rPr>
        <w:t xml:space="preserve">Pacto de Mayo 2025</w:t>
      </w:r>
      <w:r>
        <w:t xml:space="preserve">. La recaudación vía </w:t>
      </w:r>
      <w:r>
        <w:rPr>
          <w:b/>
          <w:bCs/>
        </w:rPr>
        <w:t xml:space="preserve">Impuesto PAIS</w:t>
      </w:r>
      <w:r>
        <w:t xml:space="preserve"> y retenciones creció </w:t>
      </w:r>
      <w:r>
        <w:rPr>
          <w:b/>
          <w:bCs/>
        </w:rPr>
        <w:t xml:space="preserve">12%</w:t>
      </w:r>
      <w:r>
        <w:t xml:space="preserve"> real, permitiendo un superávit financiero primario de </w:t>
      </w:r>
      <w:r>
        <w:rPr>
          <w:b/>
          <w:bCs/>
        </w:rPr>
        <w:t xml:space="preserve">0,3% del PBI</w:t>
      </w:r>
      <w:r>
        <w:t xml:space="preserve"> en enero, según </w:t>
      </w:r>
      <w:r>
        <w:rPr>
          <w:b/>
          <w:bCs/>
        </w:rPr>
        <w:t xml:space="preserve">AFIP</w:t>
      </w:r>
      <w:r>
        <w:t xml:space="preserve">. Esto habilita recortes en gasto corriente (</w:t>
      </w:r>
      <w:r>
        <w:rPr>
          <w:b/>
          <w:bCs/>
        </w:rPr>
        <w:t xml:space="preserve">-15%</w:t>
      </w:r>
      <w:r>
        <w:t xml:space="preserve"> real proyectado) sin recesión profunda.</w:t>
      </w:r>
    </w:p>
    <w:p>
      <w:pPr>
        <w:spacing w:after="120"/>
        <w:jc w:val="both"/>
      </w:pPr>
      <w:r>
        <w:t xml:space="preserve">Oportunidades clave: • </w:t>
      </w:r>
      <w:r>
        <w:rPr>
          <w:b/>
          <w:bCs/>
        </w:rPr>
        <w:t xml:space="preserve">Racionalización de subsidios</w:t>
      </w:r>
      <w:r>
        <w:t xml:space="preserve">: Transferencia a tarifas plenas en </w:t>
      </w:r>
      <w:r>
        <w:rPr>
          <w:b/>
          <w:bCs/>
        </w:rPr>
        <w:t xml:space="preserve">gas y luz</w:t>
      </w:r>
      <w:r>
        <w:t xml:space="preserve"> generaría ahorro de </w:t>
      </w:r>
      <w:r>
        <w:rPr>
          <w:b/>
          <w:bCs/>
        </w:rPr>
        <w:t xml:space="preserve">1,5% del PBI</w:t>
      </w:r>
      <w:r>
        <w:t xml:space="preserve"> anual. • </w:t>
      </w:r>
      <w:r>
        <w:rPr>
          <w:b/>
          <w:bCs/>
        </w:rPr>
        <w:t xml:space="preserve">Reforma tributaria</w:t>
      </w:r>
      <w:r>
        <w:t xml:space="preserve">: Elevación de alícuota </w:t>
      </w:r>
      <w:r>
        <w:rPr>
          <w:b/>
          <w:bCs/>
        </w:rPr>
        <w:t xml:space="preserve">Ganancias</w:t>
      </w:r>
      <w:r>
        <w:t xml:space="preserve"> para altos ingresos (+</w:t>
      </w:r>
      <w:r>
        <w:rPr>
          <w:b/>
          <w:bCs/>
        </w:rPr>
        <w:t xml:space="preserve">2 p.p.</w:t>
      </w:r>
      <w:r>
        <w:t xml:space="preserve">) recaudaría </w:t>
      </w:r>
      <w:r>
        <w:rPr>
          <w:b/>
          <w:bCs/>
        </w:rPr>
        <w:t xml:space="preserve">Gs. 0,5 billones</w:t>
      </w:r>
      <w:r>
        <w:t xml:space="preserve">. • </w:t>
      </w:r>
      <w:r>
        <w:rPr>
          <w:b/>
          <w:bCs/>
        </w:rPr>
        <w:t xml:space="preserve">Privatizaciones parciales</w:t>
      </w:r>
      <w:r>
        <w:t xml:space="preserve">: ENACSA y aeropuertos podrían inyectar </w:t>
      </w:r>
      <w:r>
        <w:rPr>
          <w:b/>
          <w:bCs/>
        </w:rPr>
        <w:t xml:space="preserve">USD 2.000 millones</w:t>
      </w:r>
      <w:r>
        <w:t xml:space="preserve"> en reservas.</w:t>
      </w:r>
    </w:p>
    <w:p>
      <w:pPr>
        <w:spacing w:after="120"/>
        <w:jc w:val="both"/>
      </w:pPr>
      <w:r>
        <w:t xml:space="preserve">De acuerdo con simulaciones del </w:t>
      </w:r>
      <w:r>
        <w:rPr>
          <w:b/>
          <w:bCs/>
        </w:rPr>
        <w:t xml:space="preserve">BCRA</w:t>
      </w:r>
      <w:r>
        <w:t xml:space="preserve">, un ajuste del </w:t>
      </w:r>
      <w:r>
        <w:rPr>
          <w:b/>
          <w:bCs/>
        </w:rPr>
        <w:t xml:space="preserve">2% del PBI</w:t>
      </w:r>
      <w:r>
        <w:t xml:space="preserve"> reduciría la inflación anual a </w:t>
      </w:r>
      <w:r>
        <w:rPr>
          <w:b/>
          <w:bCs/>
        </w:rPr>
        <w:t xml:space="preserve">35%</w:t>
      </w:r>
      <w:r>
        <w:t xml:space="preserve"> en 2026. La aprobación en el </w:t>
      </w:r>
      <w:r>
        <w:rPr>
          <w:b/>
          <w:bCs/>
        </w:rPr>
        <w:t xml:space="preserve">Congreso</w:t>
      </w:r>
      <w:r>
        <w:t xml:space="preserve"> de la </w:t>
      </w:r>
      <w:r>
        <w:rPr>
          <w:b/>
          <w:bCs/>
        </w:rPr>
        <w:t xml:space="preserve">Ley Ómnibus 2.0</w:t>
      </w:r>
      <w:r>
        <w:t xml:space="preserve"> (proyectada para marzo) consolidaría estas medidas, beneficiando a acreedores externos y estabilizando expectativas.</w:t>
      </w:r>
    </w:p>
    <w:p>
      <w:pPr>
        <w:spacing w:after="120"/>
        <w:jc w:val="both"/>
      </w:pPr>
      <w:r>
        <w:t xml:space="preserve">En síntesis, las implicancias del </w:t>
      </w:r>
      <w:r>
        <w:rPr>
          <w:b/>
          <w:bCs/>
        </w:rPr>
        <w:t xml:space="preserve">IPC enero 2026</w:t>
      </w:r>
      <w:r>
        <w:t xml:space="preserve"> demandan vigilancia activa para mitigar riesgos y capitalizar oportunidades, preservando la desinflación iniciada en 2025.</w:t>
      </w:r>
    </w:p>
    <w:p>
      <w:pPr>
        <w:pStyle w:val="Heading1"/>
        <w:pageBreakBefore/>
        <w:spacing w:before="400" w:after="200"/>
      </w:pPr>
      <w:r>
        <w:t xml:space="preserve">Fuentes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2026-02-19T14:20:18.453Z</dcterms:created>
  <dcterms:modified xsi:type="dcterms:W3CDTF">2026-02-19T14:20:18.453Z</dcterms:modified>
</cp:coreProperties>
</file>

<file path=docProps/custom.xml><?xml version="1.0" encoding="utf-8"?>
<Properties xmlns="http://schemas.openxmlformats.org/officeDocument/2006/custom-properties" xmlns:vt="http://schemas.openxmlformats.org/officeDocument/2006/docPropsVTypes"/>
</file>