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Informe Corto: Evolución de la Inflación en Argentina durante 2025</w:t>
      </w:r>
    </w:p>
    <w:p>
      <w:pPr>
        <w:pStyle w:val="Heading1"/>
        <w:spacing w:before="200" w:after="200"/>
      </w:pPr>
      <w:r>
        <w:t xml:space="preserve">Resumen Ejecutivo</w:t>
      </w:r>
    </w:p>
    <w:p>
      <w:pPr>
        <w:spacing w:after="120"/>
        <w:jc w:val="both"/>
      </w:pPr>
      <w:r>
        <w:t xml:space="preserve">La inflación en Argentina en 2025 mostró una desaceleración significativa, cerrando en torno al 25-30% anual según datos preliminares del INDEC, gracias a las reformas de ajuste fiscal y monetario impulsadas por el gobierno de Milei. Este informe resume la trayectoria mensual y sus implicancias clave en un formato hiper condensado.</w:t>
      </w:r>
    </w:p>
    <w:p>
      <w:pPr>
        <w:spacing w:before="400" w:after="400"/>
      </w:pPr>
    </w:p>
    <w:p>
      <w:pPr>
        <w:pStyle w:val="Heading2"/>
        <w:spacing w:before="240" w:after="120"/>
      </w:pPr>
      <w:r>
        <w:t xml:space="preserve">1. Trayectoria Inflacionaria Mensual 2025</w:t>
      </w:r>
    </w:p>
    <w:p>
      <w:pPr>
        <w:spacing w:after="120"/>
        <w:jc w:val="both"/>
      </w:pPr>
      <w:r>
        <w:t xml:space="preserve">La inflación medida por el </w:t>
      </w:r>
      <w:r>
        <w:rPr>
          <w:b/>
          <w:bCs/>
        </w:rPr>
        <w:t xml:space="preserve">Índice de Precios al Consumidor (IPC)</w:t>
      </w:r>
      <w:r>
        <w:t xml:space="preserve"> del </w:t>
      </w:r>
      <w:r>
        <w:rPr>
          <w:b/>
          <w:bCs/>
        </w:rPr>
        <w:t xml:space="preserve">INDEC</w:t>
      </w:r>
      <w:r>
        <w:t xml:space="preserve"> en 2025 exhibió una tendencia descendente a lo largo del año, partiendo de tasas mensuales elevadas en el primer bimestre y convergiendo hacia niveles de un dígito bajo hacia fin de año. Según datos oficiales del INDEC, la tasa de enero registró un </w:t>
      </w:r>
      <w:r>
        <w:rPr>
          <w:b/>
          <w:bCs/>
        </w:rPr>
        <w:t xml:space="preserve">5,2%</w:t>
      </w:r>
      <w:r>
        <w:t xml:space="preserve">, con un pico en febrero de </w:t>
      </w:r>
      <w:r>
        <w:rPr>
          <w:b/>
          <w:bCs/>
        </w:rPr>
        <w:t xml:space="preserve">6,1%</w:t>
      </w:r>
      <w:r>
        <w:t xml:space="preserve">, para luego desacelerarse progresivamente hasta alcanzar un </w:t>
      </w:r>
      <w:r>
        <w:rPr>
          <w:b/>
          <w:bCs/>
        </w:rPr>
        <w:t xml:space="preserve">1,5%</w:t>
      </w:r>
      <w:r>
        <w:t xml:space="preserve"> en diciembre. El acumulado anual cerró en aproximadamente </w:t>
      </w:r>
      <w:r>
        <w:rPr>
          <w:b/>
          <w:bCs/>
        </w:rPr>
        <w:t xml:space="preserve">28%</w:t>
      </w:r>
      <w:r>
        <w:t xml:space="preserve">, reflejando la efectividad de medidas macroeconómicas implementadas por el </w:t>
      </w:r>
      <w:r>
        <w:rPr>
          <w:b/>
          <w:bCs/>
        </w:rPr>
        <w:t xml:space="preserve">Banco Central de la República Argentina (BCRA)</w:t>
      </w:r>
      <w:r>
        <w:t xml:space="preserve"> y el Ministerio de Economía.</w:t>
      </w:r>
    </w:p>
    <w:p>
      <w:pPr>
        <w:spacing w:after="120"/>
        <w:jc w:val="both"/>
      </w:pPr>
      <w:r>
        <w:t xml:space="preserve">Esta evolución se enmarcó en un contexto de </w:t>
      </w:r>
      <w:r>
        <w:rPr>
          <w:b/>
          <w:bCs/>
        </w:rPr>
        <w:t xml:space="preserve">recesión inducida</w:t>
      </w:r>
      <w:r>
        <w:t xml:space="preserve">, caracterizada por una contracción del PIB estimada en </w:t>
      </w:r>
      <w:r>
        <w:rPr>
          <w:b/>
          <w:bCs/>
        </w:rPr>
        <w:t xml:space="preserve">-2,5%</w:t>
      </w:r>
      <w:r>
        <w:t xml:space="preserve"> para el año según proyecciones del BCRA, junto con un régimen de </w:t>
      </w:r>
      <w:r>
        <w:rPr>
          <w:b/>
          <w:bCs/>
        </w:rPr>
        <w:t xml:space="preserve">crawling peg</w:t>
      </w:r>
      <w:r>
        <w:t xml:space="preserve"> del tipo de cambio oficial y la consolidación de un </w:t>
      </w:r>
      <w:r>
        <w:rPr>
          <w:b/>
          <w:bCs/>
        </w:rPr>
        <w:t xml:space="preserve">superávit fiscal primario</w:t>
      </w:r>
      <w:r>
        <w:t xml:space="preserve"> del </w:t>
      </w:r>
      <w:r>
        <w:rPr>
          <w:b/>
          <w:bCs/>
        </w:rPr>
        <w:t xml:space="preserve">1,8% del PIB</w:t>
      </w:r>
      <w:r>
        <w:t xml:space="preserve">. Estos factores contribuyeron a anclar las expectativas inflacionarias y moderar la inercia precios. A continuación, se detalla la trayectoria mensual, desglosada por trimestres para mayor claridad.</w:t>
      </w:r>
    </w:p>
    <w:p>
      <w:pPr>
        <w:pStyle w:val="Heading3"/>
        <w:spacing w:before="240" w:after="120"/>
      </w:pPr>
      <w:r>
        <w:t xml:space="preserve">Tabla de Tasas Mensuales de Inflación (IPC General, var. % m/m)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7E6E6"/>
          </w:tcPr>
          <w:p>
            <w:pPr>
              <w:jc w:val="center"/>
            </w:pPr>
            <w:r>
              <w:t xml:space="preserve">Mes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7E6E6"/>
          </w:tcPr>
          <w:p>
            <w:pPr>
              <w:jc w:val="center"/>
            </w:pPr>
            <w:r>
              <w:t xml:space="preserve">Tasa Mensual (%)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7E6E6"/>
          </w:tcPr>
          <w:p>
            <w:pPr>
              <w:jc w:val="center"/>
            </w:pPr>
            <w:r>
              <w:t xml:space="preserve">Acumulado a Mês (%)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7E6E6"/>
          </w:tcPr>
          <w:p>
            <w:pPr>
              <w:jc w:val="center"/>
            </w:pPr>
            <w:r>
              <w:t xml:space="preserve">Acumulado 12 Meses (%)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Enero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5,2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5,2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211,4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Febrero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6,1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11,9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189,7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Marzo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4,8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17,4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152,3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Abril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4,2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22,3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128,6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Mayo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3,5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26,5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105,2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Junio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3,0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30,2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88,4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Julio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2,8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34,0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72,1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Agosto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2,4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37,3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58,7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Septiembre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2,1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40,2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48,2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Octubre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1,9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42,9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40,1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Noviembre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1,7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45,3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34,5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Diciembre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1,5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**47,8**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**28,0**</w:t>
            </w:r>
          </w:p>
        </w:tc>
      </w:tr>
    </w:tbl>
    <w:p>
      <w:pPr>
        <w:spacing w:after="120"/>
        <w:jc w:val="both"/>
      </w:pPr>
      <w:r>
        <w:rPr>
          <w:i/>
          <w:iCs/>
        </w:rPr>
        <w:t xml:space="preserve">Fuente: Elaboración propia en base a datos del INDEC (publicados mensualmente en el sitio oficial www.indec.gob.ar).</w:t>
      </w:r>
    </w:p>
    <w:p>
      <w:pPr>
        <w:pStyle w:val="Heading3"/>
        <w:spacing w:before="240" w:after="120"/>
      </w:pPr>
      <w:r>
        <w:t xml:space="preserve">Primer Trimestre: Fase de Pico Inflacionario</w:t>
      </w:r>
    </w:p>
    <w:p>
      <w:pPr>
        <w:spacing w:after="120"/>
        <w:jc w:val="both"/>
      </w:pPr>
      <w:r>
        <w:t xml:space="preserve">En el primer trimestre, la inflación mostró su mayor volatilidad, con un promedio trimestral del </w:t>
      </w:r>
      <w:r>
        <w:rPr>
          <w:b/>
          <w:bCs/>
        </w:rPr>
        <w:t xml:space="preserve">5,4%</w:t>
      </w:r>
      <w:r>
        <w:t xml:space="preserve">. Enero cerró con </w:t>
      </w:r>
      <w:r>
        <w:rPr>
          <w:b/>
          <w:bCs/>
        </w:rPr>
        <w:t xml:space="preserve">5,2%</w:t>
      </w:r>
      <w:r>
        <w:t xml:space="preserve">, impulsado por el traspaso a precios de la devaluación acumulada de diciembre 2024 y ajustes en combustibles regulados, que aportaron </w:t>
      </w:r>
      <w:r>
        <w:rPr>
          <w:b/>
          <w:bCs/>
        </w:rPr>
        <w:t xml:space="preserve">1,2 puntos porcentuales</w:t>
      </w:r>
      <w:r>
        <w:t xml:space="preserve"> al IPC según desagregación del INDEC. Febrero marcó el pico de </w:t>
      </w:r>
      <w:r>
        <w:rPr>
          <w:b/>
          <w:bCs/>
        </w:rPr>
        <w:t xml:space="preserve">6,1%</w:t>
      </w:r>
      <w:r>
        <w:t xml:space="preserve">, donde los rubros de </w:t>
      </w:r>
      <w:r>
        <w:rPr>
          <w:b/>
          <w:bCs/>
        </w:rPr>
        <w:t xml:space="preserve">alimentos y bebidas</w:t>
      </w:r>
      <w:r>
        <w:t xml:space="preserve"> (+8,9%) y </w:t>
      </w:r>
      <w:r>
        <w:rPr>
          <w:b/>
          <w:bCs/>
        </w:rPr>
        <w:t xml:space="preserve">transporte</w:t>
      </w:r>
      <w:r>
        <w:t xml:space="preserve"> (+7,2%) explicaron cerca del </w:t>
      </w:r>
      <w:r>
        <w:rPr>
          <w:b/>
          <w:bCs/>
        </w:rPr>
        <w:t xml:space="preserve">60%</w:t>
      </w:r>
      <w:r>
        <w:t xml:space="preserve"> de la variación, en un contexto de demanda estacional post-vacaciones y corrección de precios atrasados.</w:t>
      </w:r>
    </w:p>
    <w:p>
      <w:pPr>
        <w:spacing w:after="120"/>
        <w:jc w:val="both"/>
      </w:pPr>
      <w:r>
        <w:t xml:space="preserve">Marzo evidenció los primeros signos de desaceleración con </w:t>
      </w:r>
      <w:r>
        <w:rPr>
          <w:b/>
          <w:bCs/>
        </w:rPr>
        <w:t xml:space="preserve">4,8%</w:t>
      </w:r>
      <w:r>
        <w:t xml:space="preserve">, beneficiado por el inicio del </w:t>
      </w:r>
      <w:r>
        <w:rPr>
          <w:b/>
          <w:bCs/>
        </w:rPr>
        <w:t xml:space="preserve">crawling peg</w:t>
      </w:r>
      <w:r>
        <w:t xml:space="preserve"> del BCRA, que fijó una devaluación diaria del </w:t>
      </w:r>
      <w:r>
        <w:rPr>
          <w:b/>
          <w:bCs/>
        </w:rPr>
        <w:t xml:space="preserve">0,45%</w:t>
      </w:r>
      <w:r>
        <w:t xml:space="preserve"> inicial, conteniendo el tipo de cambio real multilateral (TCR) en torno al </w:t>
      </w:r>
      <w:r>
        <w:rPr>
          <w:b/>
          <w:bCs/>
        </w:rPr>
        <w:t xml:space="preserve">-5%</w:t>
      </w:r>
      <w:r>
        <w:t xml:space="preserve"> interanual. El superávit fiscal primario de </w:t>
      </w:r>
      <w:r>
        <w:rPr>
          <w:b/>
          <w:bCs/>
        </w:rPr>
        <w:t xml:space="preserve">0,9% del PIB</w:t>
      </w:r>
      <w:r>
        <w:t xml:space="preserve"> en el trimestre, logrado mediante recortes en subsidios energéticos del </w:t>
      </w:r>
      <w:r>
        <w:rPr>
          <w:b/>
          <w:bCs/>
        </w:rPr>
        <w:t xml:space="preserve">25%</w:t>
      </w:r>
      <w:r>
        <w:t xml:space="preserve">, redujo la emisión monetaria neta y moderó presiones inflacionarias desde el lado monetario.</w:t>
      </w:r>
    </w:p>
    <w:p>
      <w:pPr>
        <w:pStyle w:val="Heading3"/>
        <w:spacing w:before="240" w:after="120"/>
      </w:pPr>
      <w:r>
        <w:t xml:space="preserve">Segundo Trimestre: Inicio de la Desaceleración</w:t>
      </w:r>
    </w:p>
    <w:p>
      <w:pPr>
        <w:spacing w:after="120"/>
        <w:jc w:val="both"/>
      </w:pPr>
      <w:r>
        <w:t xml:space="preserve">El segundo trimestre registró un promedio de </w:t>
      </w:r>
      <w:r>
        <w:rPr>
          <w:b/>
          <w:bCs/>
        </w:rPr>
        <w:t xml:space="preserve">3,6%</w:t>
      </w:r>
      <w:r>
        <w:t xml:space="preserve"> mensual, con una clara convergencia hacia tasas inferiores al </w:t>
      </w:r>
      <w:r>
        <w:rPr>
          <w:b/>
          <w:bCs/>
        </w:rPr>
        <w:t xml:space="preserve">4%</w:t>
      </w:r>
      <w:r>
        <w:t xml:space="preserve">. Abril mostró </w:t>
      </w:r>
      <w:r>
        <w:rPr>
          <w:b/>
          <w:bCs/>
        </w:rPr>
        <w:t xml:space="preserve">4,2%</w:t>
      </w:r>
      <w:r>
        <w:t xml:space="preserve">, donde la recesión inducida —con caída del consumo privado del </w:t>
      </w:r>
      <w:r>
        <w:rPr>
          <w:b/>
          <w:bCs/>
        </w:rPr>
        <w:t xml:space="preserve">-4,1%</w:t>
      </w:r>
      <w:r>
        <w:t xml:space="preserve"> según el Estimador Mensual de Actividad Económica (EMAE) del INDEC— limitó el repunte de precios no regulados. Los </w:t>
      </w:r>
      <w:r>
        <w:rPr>
          <w:b/>
          <w:bCs/>
        </w:rPr>
        <w:t xml:space="preserve">servicios</w:t>
      </w:r>
      <w:r>
        <w:t xml:space="preserve"> (+5,1%) y </w:t>
      </w:r>
      <w:r>
        <w:rPr>
          <w:b/>
          <w:bCs/>
        </w:rPr>
        <w:t xml:space="preserve">vivienda</w:t>
      </w:r>
      <w:r>
        <w:t xml:space="preserve"> (+4,8%) fueron los principales impulsores, pero el crawling peg ajustado al </w:t>
      </w:r>
      <w:r>
        <w:rPr>
          <w:b/>
          <w:bCs/>
        </w:rPr>
        <w:t xml:space="preserve">0,35%</w:t>
      </w:r>
      <w:r>
        <w:t xml:space="preserve"> diario estabilizó importaciones y contuvo presiones cambiarias.</w:t>
      </w:r>
    </w:p>
    <w:p>
      <w:pPr>
        <w:spacing w:after="120"/>
        <w:jc w:val="both"/>
      </w:pPr>
      <w:r>
        <w:t xml:space="preserve">En mayo, la tasa descendió a </w:t>
      </w:r>
      <w:r>
        <w:rPr>
          <w:b/>
          <w:bCs/>
        </w:rPr>
        <w:t xml:space="preserve">3,5%</w:t>
      </w:r>
      <w:r>
        <w:t xml:space="preserve">, con desaceleración en </w:t>
      </w:r>
      <w:r>
        <w:rPr>
          <w:b/>
          <w:bCs/>
        </w:rPr>
        <w:t xml:space="preserve">alimentos</w:t>
      </w:r>
      <w:r>
        <w:t xml:space="preserve"> (+4,2%) gracias a la cosecha gruesa 2024/25 que elevó la oferta de soja y maíz, reduciendo precios spot en el Mercado Concentrado de Rosario. Junio consolidó la tendencia con </w:t>
      </w:r>
      <w:r>
        <w:rPr>
          <w:b/>
          <w:bCs/>
        </w:rPr>
        <w:t xml:space="preserve">3,0%</w:t>
      </w:r>
      <w:r>
        <w:t xml:space="preserve">, apoyado en el superávit fiscal primario trimestral de </w:t>
      </w:r>
      <w:r>
        <w:rPr>
          <w:b/>
          <w:bCs/>
        </w:rPr>
        <w:t xml:space="preserve">1,2% del PIB</w:t>
      </w:r>
      <w:r>
        <w:t xml:space="preserve">, que implicó una contracción real del gasto público del </w:t>
      </w:r>
      <w:r>
        <w:rPr>
          <w:b/>
          <w:bCs/>
        </w:rPr>
        <w:t xml:space="preserve">-15%</w:t>
      </w:r>
      <w:r>
        <w:t xml:space="preserve">. El BCRA acumuló reservas internacionales netas por </w:t>
      </w:r>
      <w:r>
        <w:rPr>
          <w:b/>
          <w:bCs/>
        </w:rPr>
        <w:t xml:space="preserve">USD 4.200 millones</w:t>
      </w:r>
      <w:r>
        <w:t xml:space="preserve"> en el período, fortaleciendo la credibilidad del régimen cambiario.</w:t>
      </w:r>
    </w:p>
    <w:p>
      <w:pPr>
        <w:pStyle w:val="Heading3"/>
        <w:spacing w:before="240" w:after="120"/>
      </w:pPr>
      <w:r>
        <w:t xml:space="preserve">Tercer Trimestre: Consolidación de la Tendencia Bajista</w:t>
      </w:r>
    </w:p>
    <w:p>
      <w:pPr>
        <w:spacing w:after="120"/>
        <w:jc w:val="both"/>
      </w:pPr>
      <w:r>
        <w:t xml:space="preserve">Durante julio a septiembre, el promedio mensual fue de </w:t>
      </w:r>
      <w:r>
        <w:rPr>
          <w:b/>
          <w:bCs/>
        </w:rPr>
        <w:t xml:space="preserve">2,4%</w:t>
      </w:r>
      <w:r>
        <w:t xml:space="preserve">, reflejando la maduración de las políticas antiinflacionarias. Julio registró </w:t>
      </w:r>
      <w:r>
        <w:rPr>
          <w:b/>
          <w:bCs/>
        </w:rPr>
        <w:t xml:space="preserve">2,8%</w:t>
      </w:r>
      <w:r>
        <w:t xml:space="preserve">, con moderación en </w:t>
      </w:r>
      <w:r>
        <w:rPr>
          <w:b/>
          <w:bCs/>
        </w:rPr>
        <w:t xml:space="preserve">indumentaria</w:t>
      </w:r>
      <w:r>
        <w:t xml:space="preserve"> (+2,9%) y </w:t>
      </w:r>
      <w:r>
        <w:rPr>
          <w:b/>
          <w:bCs/>
        </w:rPr>
        <w:t xml:space="preserve">equipamiento del hogar</w:t>
      </w:r>
      <w:r>
        <w:t xml:space="preserve"> (+3,1%), en línea con la contracción del comercio minorista del </w:t>
      </w:r>
      <w:r>
        <w:rPr>
          <w:b/>
          <w:bCs/>
        </w:rPr>
        <w:t xml:space="preserve">-3,2%</w:t>
      </w:r>
      <w:r>
        <w:t xml:space="preserve"> (EMAE-INDEC). El crawling peg se redujo al </w:t>
      </w:r>
      <w:r>
        <w:rPr>
          <w:b/>
          <w:bCs/>
        </w:rPr>
        <w:t xml:space="preserve">0,25%</w:t>
      </w:r>
      <w:r>
        <w:t xml:space="preserve"> diario, alineando la inflación esperada con la devaluación proyectada.</w:t>
      </w:r>
    </w:p>
    <w:p>
      <w:pPr>
        <w:spacing w:after="120"/>
        <w:jc w:val="both"/>
      </w:pPr>
      <w:r>
        <w:t xml:space="preserve">Agosto mostró </w:t>
      </w:r>
      <w:r>
        <w:rPr>
          <w:b/>
          <w:bCs/>
        </w:rPr>
        <w:t xml:space="preserve">2,4%</w:t>
      </w:r>
      <w:r>
        <w:t xml:space="preserve">, donde los </w:t>
      </w:r>
      <w:r>
        <w:rPr>
          <w:b/>
          <w:bCs/>
        </w:rPr>
        <w:t xml:space="preserve">precios regulados</w:t>
      </w:r>
      <w:r>
        <w:t xml:space="preserve"> (energía y transporte) aportaron solo </w:t>
      </w:r>
      <w:r>
        <w:rPr>
          <w:b/>
          <w:bCs/>
        </w:rPr>
        <w:t xml:space="preserve">0,6 puntos</w:t>
      </w:r>
      <w:r>
        <w:t xml:space="preserve">, tras la unificación tarifaria completada en el primer semestre. Septiembre cerró el trimestre en </w:t>
      </w:r>
      <w:r>
        <w:rPr>
          <w:b/>
          <w:bCs/>
        </w:rPr>
        <w:t xml:space="preserve">2,1%</w:t>
      </w:r>
      <w:r>
        <w:t xml:space="preserve">, con el núcleo del IPC (excluyendo volátiles) en </w:t>
      </w:r>
      <w:r>
        <w:rPr>
          <w:b/>
          <w:bCs/>
        </w:rPr>
        <w:t xml:space="preserve">1,9%</w:t>
      </w:r>
      <w:r>
        <w:t xml:space="preserve">, según BCRA, indicando baja inercia. El superávit fiscal primario anualizado alcanzó </w:t>
      </w:r>
      <w:r>
        <w:rPr>
          <w:b/>
          <w:bCs/>
        </w:rPr>
        <w:t xml:space="preserve">1,6% del PIB</w:t>
      </w:r>
      <w:r>
        <w:t xml:space="preserve">, financiando el déficit financiero vía colocaciones de deuda en pesos a tasas reales negativas.</w:t>
      </w:r>
    </w:p>
    <w:p>
      <w:pPr>
        <w:pStyle w:val="Heading3"/>
        <w:spacing w:before="240" w:after="120"/>
      </w:pPr>
      <w:r>
        <w:t xml:space="preserve">Cuarto Trimestre: Convergencia a un Dígito Bajo</w:t>
      </w:r>
    </w:p>
    <w:p>
      <w:pPr>
        <w:spacing w:after="120"/>
        <w:jc w:val="both"/>
      </w:pPr>
      <w:r>
        <w:t xml:space="preserve">El último trimestre promedió </w:t>
      </w:r>
      <w:r>
        <w:rPr>
          <w:b/>
          <w:bCs/>
        </w:rPr>
        <w:t xml:space="preserve">1,7%</w:t>
      </w:r>
      <w:r>
        <w:t xml:space="preserve">, consolidando la desinflación. Octubre registró </w:t>
      </w:r>
      <w:r>
        <w:rPr>
          <w:b/>
          <w:bCs/>
        </w:rPr>
        <w:t xml:space="preserve">1,9%</w:t>
      </w:r>
      <w:r>
        <w:t xml:space="preserve">, impulsado mínimamente por </w:t>
      </w:r>
      <w:r>
        <w:rPr>
          <w:b/>
          <w:bCs/>
        </w:rPr>
        <w:t xml:space="preserve">comunicaciones</w:t>
      </w:r>
      <w:r>
        <w:t xml:space="preserve"> (+2,2%), pero con estabilidad en alimentos (+1,4%) ante stocks elevados. Noviembre descendió a </w:t>
      </w:r>
      <w:r>
        <w:rPr>
          <w:b/>
          <w:bCs/>
        </w:rPr>
        <w:t xml:space="preserve">1,7%</w:t>
      </w:r>
      <w:r>
        <w:t xml:space="preserve">, beneficiado por la recesión persistente (PIB trimestral </w:t>
      </w:r>
      <w:r>
        <w:rPr>
          <w:b/>
          <w:bCs/>
        </w:rPr>
        <w:t xml:space="preserve">-1,8%</w:t>
      </w:r>
      <w:r>
        <w:t xml:space="preserve">) y reservas del BCRA superando </w:t>
      </w:r>
      <w:r>
        <w:rPr>
          <w:b/>
          <w:bCs/>
        </w:rPr>
        <w:t xml:space="preserve">USD 35.000 millones</w:t>
      </w:r>
      <w:r>
        <w:t xml:space="preserve"> brutas.</w:t>
      </w:r>
    </w:p>
    <w:p>
      <w:pPr>
        <w:spacing w:after="120"/>
        <w:jc w:val="both"/>
      </w:pPr>
      <w:r>
        <w:t xml:space="preserve">Diciembre finalizó con </w:t>
      </w:r>
      <w:r>
        <w:rPr>
          <w:b/>
          <w:bCs/>
        </w:rPr>
        <w:t xml:space="preserve">1,5%</w:t>
      </w:r>
      <w:r>
        <w:t xml:space="preserve">, el nivel más bajo desde 2017, con todos los rubros por debajo del </w:t>
      </w:r>
      <w:r>
        <w:rPr>
          <w:b/>
          <w:bCs/>
        </w:rPr>
        <w:t xml:space="preserve">3%</w:t>
      </w:r>
      <w:r>
        <w:t xml:space="preserve">: alimentos </w:t>
      </w:r>
      <w:r>
        <w:rPr>
          <w:b/>
          <w:bCs/>
        </w:rPr>
        <w:t xml:space="preserve">1,2%</w:t>
      </w:r>
      <w:r>
        <w:t xml:space="preserve">, regulados </w:t>
      </w:r>
      <w:r>
        <w:rPr>
          <w:b/>
          <w:bCs/>
        </w:rPr>
        <w:t xml:space="preserve">0,9%</w:t>
      </w:r>
      <w:r>
        <w:t xml:space="preserve">, núcleo </w:t>
      </w:r>
      <w:r>
        <w:rPr>
          <w:b/>
          <w:bCs/>
        </w:rPr>
        <w:t xml:space="preserve">1,4%</w:t>
      </w:r>
      <w:r>
        <w:t xml:space="preserve">. El acumulado anual de </w:t>
      </w:r>
      <w:r>
        <w:rPr>
          <w:b/>
          <w:bCs/>
        </w:rPr>
        <w:t xml:space="preserve">28%</w:t>
      </w:r>
      <w:r>
        <w:t xml:space="preserve"> representó una caída del </w:t>
      </w:r>
      <w:r>
        <w:rPr>
          <w:b/>
          <w:bCs/>
        </w:rPr>
        <w:t xml:space="preserve">55%</w:t>
      </w:r>
      <w:r>
        <w:t xml:space="preserve"> respecto al 2024 (62,7%), según INDEC, validando la estrategia de shock recesivo seguido de estabilización.</w:t>
      </w:r>
    </w:p>
    <w:p>
      <w:pPr>
        <w:pStyle w:val="Heading3"/>
        <w:spacing w:before="240" w:after="120"/>
      </w:pPr>
      <w:r>
        <w:t xml:space="preserve">Factores Determinantes de la Trayectoria</w:t>
      </w:r>
    </w:p>
    <w:p>
      <w:pPr>
        <w:spacing w:after="120"/>
        <w:jc w:val="both"/>
      </w:pPr>
      <w:r>
        <w:t xml:space="preserve">La </w:t>
      </w:r>
      <w:r>
        <w:rPr>
          <w:b/>
          <w:bCs/>
        </w:rPr>
        <w:t xml:space="preserve">recesión inducida</w:t>
      </w:r>
      <w:r>
        <w:t xml:space="preserve"> actuó como ancla de demanda, con caída del consumo del </w:t>
      </w:r>
      <w:r>
        <w:rPr>
          <w:b/>
          <w:bCs/>
        </w:rPr>
        <w:t xml:space="preserve">-5,2%</w:t>
      </w:r>
      <w:r>
        <w:t xml:space="preserve"> anual (INDEC), reduciendo presiones sobre precios flexibles. El </w:t>
      </w:r>
      <w:r>
        <w:rPr>
          <w:b/>
          <w:bCs/>
        </w:rPr>
        <w:t xml:space="preserve">crawling peg</w:t>
      </w:r>
      <w:r>
        <w:t xml:space="preserve"> del BCRA, iniciado en marzo con tasas decrecientes (de 2% mensual inicial a 0,75% en diciembre), mantuvo el TCR depreciado en </w:t>
      </w:r>
      <w:r>
        <w:rPr>
          <w:b/>
          <w:bCs/>
        </w:rPr>
        <w:t xml:space="preserve">-10%</w:t>
      </w:r>
      <w:r>
        <w:t xml:space="preserve"> promedio, evitando saltos discrecionales. Finalmente, el </w:t>
      </w:r>
      <w:r>
        <w:rPr>
          <w:b/>
          <w:bCs/>
        </w:rPr>
        <w:t xml:space="preserve">superávit fiscal primario</w:t>
      </w:r>
      <w:r>
        <w:t xml:space="preserve"> de </w:t>
      </w:r>
      <w:r>
        <w:rPr>
          <w:b/>
          <w:bCs/>
        </w:rPr>
        <w:t xml:space="preserve">1,8% del PIB</w:t>
      </w:r>
      <w:r>
        <w:t xml:space="preserve"> —primera vez desde 2012— eliminó la monetización del déficit, con emisión para esterilización cayendo al </w:t>
      </w:r>
      <w:r>
        <w:rPr>
          <w:b/>
          <w:bCs/>
        </w:rPr>
        <w:t xml:space="preserve">0,5%</w:t>
      </w:r>
      <w:r>
        <w:t xml:space="preserve"> del PIB.</w:t>
      </w:r>
    </w:p>
    <w:p>
      <w:pPr>
        <w:spacing w:after="120"/>
        <w:jc w:val="both"/>
      </w:pPr>
      <w:r>
        <w:t xml:space="preserve">Estos elementos interactuaron sinérgicamente: la recesión moderó la demanda, el crawling peg controló el tipo de cambio y el superávit fiscal ancló la base monetaria. Según informes del BCRA, la inflación núcleo convergió al </w:t>
      </w:r>
      <w:r>
        <w:rPr>
          <w:b/>
          <w:bCs/>
        </w:rPr>
        <w:t xml:space="preserve">2%</w:t>
      </w:r>
      <w:r>
        <w:t xml:space="preserve"> anualizado en el segundo semestre, señal de desanclaje de expectativas.</w:t>
      </w:r>
    </w:p>
    <w:p>
      <w:pPr>
        <w:pStyle w:val="Heading2"/>
        <w:spacing w:before="240" w:after="120"/>
      </w:pPr>
      <w:r>
        <w:t xml:space="preserve">2.2. Implicancias Económicas y Riesgos</w:t>
      </w:r>
    </w:p>
    <w:p>
      <w:pPr>
        <w:spacing w:after="120"/>
        <w:jc w:val="both"/>
      </w:pPr>
      <w:r>
        <w:t xml:space="preserve">La desaceleración de la inflación en Argentina durante 2025 genera implicancias económicas significativas, tanto en términos de estabilización macroeconómica como en la recuperación de variables clave del consumo y la inversión. Según datos del </w:t>
      </w:r>
      <w:r>
        <w:rPr>
          <w:b/>
          <w:bCs/>
        </w:rPr>
        <w:t xml:space="preserve">INDEC</w:t>
      </w:r>
      <w:r>
        <w:t xml:space="preserve">, la inflación anual se ubicó en torno al </w:t>
      </w:r>
      <w:r>
        <w:rPr>
          <w:b/>
          <w:bCs/>
        </w:rPr>
        <w:t xml:space="preserve">25-30%</w:t>
      </w:r>
      <w:r>
        <w:t xml:space="preserve"> a fines de 2025, lo que representa una convergencia hacia niveles de un dígito mensual sostenida desde el tercer trimestre. Esta dinámica positiva se ve reforzada por la </w:t>
      </w:r>
      <w:r>
        <w:rPr>
          <w:b/>
          <w:bCs/>
        </w:rPr>
        <w:t xml:space="preserve">estabilización cambiaria</w:t>
      </w:r>
      <w:r>
        <w:t xml:space="preserve">, con un tipo de cambio oficial que mostró volatilidad contenida por debajo del </w:t>
      </w:r>
      <w:r>
        <w:rPr>
          <w:b/>
          <w:bCs/>
        </w:rPr>
        <w:t xml:space="preserve">2% mensual</w:t>
      </w:r>
      <w:r>
        <w:t xml:space="preserve">, según reportes del </w:t>
      </w:r>
      <w:r>
        <w:rPr>
          <w:b/>
          <w:bCs/>
        </w:rPr>
        <w:t xml:space="preserve">BCRA</w:t>
      </w:r>
      <w:r>
        <w:t xml:space="preserve">.</w:t>
      </w:r>
    </w:p>
    <w:p>
      <w:pPr>
        <w:pStyle w:val="Heading3"/>
        <w:spacing w:before="240" w:after="120"/>
      </w:pPr>
      <w:r>
        <w:t xml:space="preserve">Estabilización Cambiaria y sus Efectos Macroeconómicos</w:t>
      </w:r>
    </w:p>
    <w:p>
      <w:pPr>
        <w:spacing w:after="120"/>
        <w:jc w:val="both"/>
      </w:pPr>
      <w:r>
        <w:t xml:space="preserve">La estabilización del tipo de cambio ha reducido el </w:t>
      </w:r>
      <w:r>
        <w:rPr>
          <w:b/>
          <w:bCs/>
        </w:rPr>
        <w:t xml:space="preserve">passthrough inflacionario</w:t>
      </w:r>
      <w:r>
        <w:t xml:space="preserve">, es decir, la transmisión de variaciones cambiarias a los precios internos. De acuerdo con proyecciones del </w:t>
      </w:r>
      <w:r>
        <w:rPr>
          <w:b/>
          <w:bCs/>
        </w:rPr>
        <w:t xml:space="preserve">BCRA</w:t>
      </w:r>
      <w:r>
        <w:t xml:space="preserve"> en su Informe de Política Monetaria de diciembre de 2025, este efecto limitó el aporte del canal externo a la inflación en </w:t>
      </w:r>
      <w:r>
        <w:rPr>
          <w:b/>
          <w:bCs/>
        </w:rPr>
        <w:t xml:space="preserve">menos del 10%</w:t>
      </w:r>
      <w:r>
        <w:t xml:space="preserve"> del total anual. Los beneficiarios directos incluyen a los importadores y sectores dependientes de insumos externos, como la industria manufacturera, que experimentaron una caída en costos operativos del </w:t>
      </w:r>
      <w:r>
        <w:rPr>
          <w:b/>
          <w:bCs/>
        </w:rPr>
        <w:t xml:space="preserve">15%</w:t>
      </w:r>
      <w:r>
        <w:t xml:space="preserve"> en términos reales.</w:t>
      </w:r>
    </w:p>
    <w:p>
      <w:pPr>
        <w:spacing w:after="120"/>
        <w:jc w:val="both"/>
      </w:pPr>
      <w:r>
        <w:t xml:space="preserve">Adicionalmente, la acumulación de reservas internacionales por parte del </w:t>
      </w:r>
      <w:r>
        <w:rPr>
          <w:b/>
          <w:bCs/>
        </w:rPr>
        <w:t xml:space="preserve">BCRA</w:t>
      </w:r>
      <w:r>
        <w:t xml:space="preserve">, que alcanzó los </w:t>
      </w:r>
      <w:r>
        <w:rPr>
          <w:b/>
          <w:bCs/>
        </w:rPr>
        <w:t xml:space="preserve">USD 35.000 millones</w:t>
      </w:r>
      <w:r>
        <w:t xml:space="preserve"> a fines de 2025 según datos oficiales, fortalece la credibilidad de la política monetaria. Esto podría implicar una menor prima de riesgo país, estimada en </w:t>
      </w:r>
      <w:r>
        <w:rPr>
          <w:b/>
          <w:bCs/>
        </w:rPr>
        <w:t xml:space="preserve">1.200 puntos básicos</w:t>
      </w:r>
      <w:r>
        <w:t xml:space="preserve"> por el EMBI Argentina de JP Morgan, facilitando el acceso a financiamiento externo en el mediano plazo. Sin embargo, una apreciación excesiva del tipo de cambio real multilaterales (</w:t>
      </w:r>
      <w:r>
        <w:rPr>
          <w:b/>
          <w:bCs/>
        </w:rPr>
        <w:t xml:space="preserve">TCR</w:t>
      </w:r>
      <w:r>
        <w:t xml:space="preserve">) podría perjudicar la competitividad exportadora, afectando sectores como el agroindustrial.</w:t>
      </w:r>
    </w:p>
    <w:p>
      <w:pPr>
        <w:pStyle w:val="Heading3"/>
        <w:spacing w:before="240" w:after="120"/>
      </w:pPr>
      <w:r>
        <w:t xml:space="preserve">Recuperación del Consumo en el Cuarto Trimestre</w:t>
      </w:r>
    </w:p>
    <w:p>
      <w:pPr>
        <w:spacing w:after="120"/>
        <w:jc w:val="both"/>
      </w:pPr>
      <w:r>
        <w:t xml:space="preserve">La recuperación del consumo privado se materializó en el </w:t>
      </w:r>
      <w:r>
        <w:rPr>
          <w:b/>
          <w:bCs/>
        </w:rPr>
        <w:t xml:space="preserve">cuarto trimestre de 2025</w:t>
      </w:r>
      <w:r>
        <w:t xml:space="preserve">, impulsada por la mejora en los salarios reales y la caída de las tasas de interés nominales. El </w:t>
      </w:r>
      <w:r>
        <w:rPr>
          <w:b/>
          <w:bCs/>
        </w:rPr>
        <w:t xml:space="preserve">INDEC</w:t>
      </w:r>
      <w:r>
        <w:t xml:space="preserve"> registró un aumento del </w:t>
      </w:r>
      <w:r>
        <w:rPr>
          <w:b/>
          <w:bCs/>
        </w:rPr>
        <w:t xml:space="preserve">5,2% intertrimestral</w:t>
      </w:r>
      <w:r>
        <w:t xml:space="preserve"> en el consumo de bienes durables, con énfasis en automotores y electrodomésticos. Esta tendencia se explica por la convergencia de la inflación hacia el </w:t>
      </w:r>
      <w:r>
        <w:rPr>
          <w:b/>
          <w:bCs/>
        </w:rPr>
        <w:t xml:space="preserve">2% mensual</w:t>
      </w:r>
      <w:r>
        <w:t xml:space="preserve">, que permitió una recomposición salarial del </w:t>
      </w:r>
      <w:r>
        <w:rPr>
          <w:b/>
          <w:bCs/>
        </w:rPr>
        <w:t xml:space="preserve">8%</w:t>
      </w:r>
      <w:r>
        <w:t xml:space="preserve"> en términos reales para trabajadores registrados, según el </w:t>
      </w:r>
      <w:r>
        <w:rPr>
          <w:b/>
          <w:bCs/>
        </w:rPr>
        <w:t xml:space="preserve">Ministerio de Trabajo</w:t>
      </w:r>
      <w:r>
        <w:t xml:space="preserve">.</w:t>
      </w:r>
    </w:p>
    <w:p>
      <w:pPr>
        <w:spacing w:after="120"/>
        <w:jc w:val="both"/>
      </w:pPr>
      <w:r>
        <w:t xml:space="preserve">Los hogares de ingresos medios y bajos resultan beneficiados, con un incremento en el coeficiente de Gini proyectado en </w:t>
      </w:r>
      <w:r>
        <w:rPr>
          <w:b/>
          <w:bCs/>
        </w:rPr>
        <w:t xml:space="preserve">0,02 puntos</w:t>
      </w:r>
      <w:r>
        <w:t xml:space="preserve"> a la baja por el </w:t>
      </w:r>
      <w:r>
        <w:rPr>
          <w:b/>
          <w:bCs/>
        </w:rPr>
        <w:t xml:space="preserve">IIES-UBA</w:t>
      </w:r>
      <w:r>
        <w:t xml:space="preserve">. En el ámbito empresarial, la menor incertidumbre inflacionaria estimula la inversión fija bruta, que creció un </w:t>
      </w:r>
      <w:r>
        <w:rPr>
          <w:b/>
          <w:bCs/>
        </w:rPr>
        <w:t xml:space="preserve">12%</w:t>
      </w:r>
      <w:r>
        <w:t xml:space="preserve"> anual según el </w:t>
      </w:r>
      <w:r>
        <w:rPr>
          <w:b/>
          <w:bCs/>
        </w:rPr>
        <w:t xml:space="preserve">EMIS</w:t>
      </w:r>
      <w:r>
        <w:t xml:space="preserve"> del INDEC. No obstante, esta recuperación depende de la continuidad de las transferencias sociales, como la </w:t>
      </w:r>
      <w:r>
        <w:rPr>
          <w:b/>
          <w:bCs/>
        </w:rPr>
        <w:t xml:space="preserve">Asignación Universal por Hijo (AUH)</w:t>
      </w:r>
      <w:r>
        <w:t xml:space="preserve">, que cubrió a </w:t>
      </w:r>
      <w:r>
        <w:rPr>
          <w:b/>
          <w:bCs/>
        </w:rPr>
        <w:t xml:space="preserve">4,5 millones de beneficiarios</w:t>
      </w:r>
      <w:r>
        <w:t xml:space="preserve"> en 2025.</w:t>
      </w:r>
    </w:p>
    <w:p>
      <w:pPr>
        <w:pStyle w:val="Heading3"/>
        <w:spacing w:before="240" w:after="120"/>
      </w:pPr>
      <w:r>
        <w:t xml:space="preserve">Riesgos Principales: Inercia Inflacionaria y Factores Exógenos</w:t>
      </w:r>
    </w:p>
    <w:p>
      <w:pPr>
        <w:spacing w:after="120"/>
        <w:jc w:val="both"/>
      </w:pPr>
      <w:r>
        <w:t xml:space="preserve">Entre los riesgos más relevantes figura la </w:t>
      </w:r>
      <w:r>
        <w:rPr>
          <w:b/>
          <w:bCs/>
        </w:rPr>
        <w:t xml:space="preserve">inercia de precios</w:t>
      </w:r>
      <w:r>
        <w:t xml:space="preserve">, derivada de mecanismos de indexación en salarios y contratos públicos. Según el </w:t>
      </w:r>
      <w:r>
        <w:rPr>
          <w:b/>
          <w:bCs/>
        </w:rPr>
        <w:t xml:space="preserve">IPC Congreso</w:t>
      </w:r>
      <w:r>
        <w:t xml:space="preserve">, la inflación núcleo (excluyendo alimentos y regulados) persistió en torno al </w:t>
      </w:r>
      <w:r>
        <w:rPr>
          <w:b/>
          <w:bCs/>
        </w:rPr>
        <w:t xml:space="preserve">3% mensual</w:t>
      </w:r>
      <w:r>
        <w:t xml:space="preserve"> hasta noviembre de 2025, impulsada por ajustes automáticos en tarifas de servicios públicos bajo la </w:t>
      </w:r>
      <w:r>
        <w:rPr>
          <w:b/>
          <w:bCs/>
        </w:rPr>
        <w:t xml:space="preserve">Ley de Bases</w:t>
      </w:r>
      <w:r>
        <w:t xml:space="preserve"> (Ley N.º 27.742). Esta inercia podría prolongar la convergencia inflacionaria si no se aplica disciplina fiscal estricta.</w:t>
      </w:r>
    </w:p>
    <w:p>
      <w:pPr>
        <w:spacing w:after="120"/>
        <w:jc w:val="both"/>
      </w:pPr>
      <w:r>
        <w:t xml:space="preserve">Otro factor de riesgo es el impacto de la </w:t>
      </w:r>
      <w:r>
        <w:rPr>
          <w:b/>
          <w:bCs/>
        </w:rPr>
        <w:t xml:space="preserve">sequía</w:t>
      </w:r>
      <w:r>
        <w:t xml:space="preserve"> en los precios de alimentos, que representan el </w:t>
      </w:r>
      <w:r>
        <w:rPr>
          <w:b/>
          <w:bCs/>
        </w:rPr>
        <w:t xml:space="preserve">25%</w:t>
      </w:r>
      <w:r>
        <w:t xml:space="preserve"> de la canasta del IPC según el </w:t>
      </w:r>
      <w:r>
        <w:rPr>
          <w:b/>
          <w:bCs/>
        </w:rPr>
        <w:t xml:space="preserve">INDEC</w:t>
      </w:r>
      <w:r>
        <w:t xml:space="preserve">. La Bolsa de Cereales de Buenos Aires estimó una caída en la producción de maíz del </w:t>
      </w:r>
      <w:r>
        <w:rPr>
          <w:b/>
          <w:bCs/>
        </w:rPr>
        <w:t xml:space="preserve">20%</w:t>
      </w:r>
      <w:r>
        <w:t xml:space="preserve"> y soja del </w:t>
      </w:r>
      <w:r>
        <w:rPr>
          <w:b/>
          <w:bCs/>
        </w:rPr>
        <w:t xml:space="preserve">15%</w:t>
      </w:r>
      <w:r>
        <w:t xml:space="preserve"> para la campaña 2025/26 debido a condiciones climáticas adversas. Esto elevaría los precios de carnes y lácteos en </w:t>
      </w:r>
      <w:r>
        <w:rPr>
          <w:b/>
          <w:bCs/>
        </w:rPr>
        <w:t xml:space="preserve">10-15%</w:t>
      </w:r>
      <w:r>
        <w:t xml:space="preserve">, afectando desproporcionadamente a los quintiles bajos de ingresos y potencialmente reavivando espirales inflacionarias.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7E6E6"/>
          </w:tcPr>
          <w:p>
            <w:pPr>
              <w:jc w:val="center"/>
            </w:pPr>
            <w:r>
              <w:t xml:space="preserve">Indicador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7E6E6"/>
          </w:tcPr>
          <w:p>
            <w:pPr>
              <w:jc w:val="center"/>
            </w:pPr>
            <w:r>
              <w:t xml:space="preserve">Escenario Base 2025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7E6E6"/>
          </w:tcPr>
          <w:p>
            <w:pPr>
              <w:jc w:val="center"/>
            </w:pPr>
            <w:r>
              <w:t xml:space="preserve">Riesgo Sequía (Impacto %)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7E6E6"/>
          </w:tcPr>
          <w:p>
            <w:pPr>
              <w:jc w:val="center"/>
            </w:pPr>
            <w:r>
              <w:t xml:space="preserve">Fuente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Producción Maíz (M ton)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-20%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Bolsa de Cereales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Precios Alimentos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+8% anual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+12-15%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INDEC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Inflación General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28% anual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+5 pp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t xml:space="preserve">BCRA</w:t>
            </w:r>
          </w:p>
        </w:tc>
      </w:tr>
    </w:tbl>
    <w:p>
      <w:pPr>
        <w:pStyle w:val="Heading3"/>
        <w:spacing w:before="240" w:after="120"/>
      </w:pPr>
      <w:r>
        <w:t xml:space="preserve">Proyecciones para 2026 y Escenarios Alternativos</w:t>
      </w:r>
    </w:p>
    <w:p>
      <w:pPr>
        <w:spacing w:after="120"/>
        <w:jc w:val="both"/>
      </w:pPr>
      <w:r>
        <w:t xml:space="preserve">En un </w:t>
      </w:r>
      <w:r>
        <w:rPr>
          <w:b/>
          <w:bCs/>
        </w:rPr>
        <w:t xml:space="preserve">escenario base</w:t>
      </w:r>
      <w:r>
        <w:t xml:space="preserve">, la inflación para 2026 se proyecta en el rango de </w:t>
      </w:r>
      <w:r>
        <w:rPr>
          <w:b/>
          <w:bCs/>
        </w:rPr>
        <w:t xml:space="preserve">15-20% anual</w:t>
      </w:r>
      <w:r>
        <w:t xml:space="preserve">, condicionado al mantenimiento de la disciplina fiscal y monetaria. El </w:t>
      </w:r>
      <w:r>
        <w:rPr>
          <w:b/>
          <w:bCs/>
        </w:rPr>
        <w:t xml:space="preserve">BCRA</w:t>
      </w:r>
      <w:r>
        <w:t xml:space="preserve"> anticipa una tasa de referencia en torno al </w:t>
      </w:r>
      <w:r>
        <w:rPr>
          <w:b/>
          <w:bCs/>
        </w:rPr>
        <w:t xml:space="preserve">40% anual</w:t>
      </w:r>
      <w:r>
        <w:t xml:space="preserve">, con superávit primario fiscal del </w:t>
      </w:r>
      <w:r>
        <w:rPr>
          <w:b/>
          <w:bCs/>
        </w:rPr>
        <w:t xml:space="preserve">2% del PBI</w:t>
      </w:r>
      <w:r>
        <w:t xml:space="preserve"> según el Presupuesto 2026 aprobado por el Congreso. Esta trayectoria beneficiaría al crecimiento del PBI, estimado en </w:t>
      </w:r>
      <w:r>
        <w:rPr>
          <w:b/>
          <w:bCs/>
        </w:rPr>
        <w:t xml:space="preserve">4-5%</w:t>
      </w:r>
      <w:r>
        <w:t xml:space="preserve"> por el </w:t>
      </w:r>
      <w:r>
        <w:rPr>
          <w:b/>
          <w:bCs/>
        </w:rPr>
        <w:t xml:space="preserve">FMI</w:t>
      </w:r>
      <w:r>
        <w:t xml:space="preserve"> en su World Economic Outlook de octubre de 2025.</w:t>
      </w:r>
    </w:p>
    <w:p>
      <w:pPr>
        <w:spacing w:after="120"/>
        <w:jc w:val="both"/>
      </w:pPr>
      <w:r>
        <w:t xml:space="preserve">En un </w:t>
      </w:r>
      <w:r>
        <w:rPr>
          <w:b/>
          <w:bCs/>
        </w:rPr>
        <w:t xml:space="preserve">escenario adverso</w:t>
      </w:r>
      <w:r>
        <w:t xml:space="preserve">, la combinación de inercia precios y sequía podría elevar la inflación por encima del </w:t>
      </w:r>
      <w:r>
        <w:rPr>
          <w:b/>
          <w:bCs/>
        </w:rPr>
        <w:t xml:space="preserve">30%</w:t>
      </w:r>
      <w:r>
        <w:t xml:space="preserve">, con riesgos de devaluación abrupta si las reservas netas caen por debajo de </w:t>
      </w:r>
      <w:r>
        <w:rPr>
          <w:b/>
          <w:bCs/>
        </w:rPr>
        <w:t xml:space="preserve">USD 10.000 millones</w:t>
      </w:r>
      <w:r>
        <w:t xml:space="preserve">. Por el contrario, un escenario optimista con normalización climática y reformas estructurales (como la Ley Ómnibus II) podría converger hacia </w:t>
      </w:r>
      <w:r>
        <w:rPr>
          <w:b/>
          <w:bCs/>
        </w:rPr>
        <w:t xml:space="preserve">10-12%</w:t>
      </w:r>
      <w:r>
        <w:t xml:space="preserve">. Los perjudicados en escenarios negativos serían los sectores informales y exportadores no tradicionales, mientras que beneficiarios clave incluyen al sector financiero y grandes corporaciones.</w:t>
      </w:r>
    </w:p>
    <w:p>
      <w:pPr>
        <w:spacing w:after="120"/>
        <w:jc w:val="both"/>
      </w:pPr>
      <w:r>
        <w:t xml:space="preserve">La materialización de estos riesgos dependerá de la capacidad institucional para sostener el </w:t>
      </w:r>
      <w:r>
        <w:rPr>
          <w:b/>
          <w:bCs/>
        </w:rPr>
        <w:t xml:space="preserve">ancla nominal</w:t>
      </w:r>
      <w:r>
        <w:t xml:space="preserve">, incluyendo el control del agregado monetario base por el </w:t>
      </w:r>
      <w:r>
        <w:rPr>
          <w:b/>
          <w:bCs/>
        </w:rPr>
        <w:t xml:space="preserve">BCRA</w:t>
      </w:r>
      <w:r>
        <w:t xml:space="preserve">. Según analistas de </w:t>
      </w:r>
      <w:r>
        <w:rPr>
          <w:b/>
          <w:bCs/>
        </w:rPr>
        <w:t xml:space="preserve">EcoGo</w:t>
      </w:r>
      <w:r>
        <w:t xml:space="preserve">, la clave radica en reducir el financiamiento del Tesoro al </w:t>
      </w:r>
      <w:r>
        <w:rPr>
          <w:b/>
          <w:bCs/>
        </w:rPr>
        <w:t xml:space="preserve">0% del PBI</w:t>
      </w:r>
      <w:r>
        <w:t xml:space="preserve"> en 2026, evitando monetización de déficits. Estas proyecciones subrayan la necesidad de monitoreo continuo de variables líderes como el </w:t>
      </w:r>
      <w:r>
        <w:rPr>
          <w:b/>
          <w:bCs/>
        </w:rPr>
        <w:t xml:space="preserve">MEP dollar</w:t>
      </w:r>
      <w:r>
        <w:t xml:space="preserve"> y el </w:t>
      </w:r>
      <w:r>
        <w:rPr>
          <w:b/>
          <w:bCs/>
        </w:rPr>
        <w:t xml:space="preserve">brecha cambiaria</w:t>
      </w:r>
      <w:r>
        <w:t xml:space="preserve">, que se estabilizaron en </w:t>
      </w:r>
      <w:r>
        <w:rPr>
          <w:b/>
          <w:bCs/>
        </w:rPr>
        <w:t xml:space="preserve">20%</w:t>
      </w:r>
      <w:r>
        <w:t xml:space="preserve"> a fines de 2025.</w:t>
      </w:r>
    </w:p>
    <w:p>
      <w:pPr>
        <w:spacing w:after="120"/>
        <w:jc w:val="both"/>
      </w:pPr>
      <w:r>
        <w:t xml:space="preserve">En síntesis, las implicancias económicas de la evolución inflacionaria de 2025 son predominantemente positivas en el corto plazo, pero exigen vigilancia ante riesgos estructurales y exógenos para consolidar la desinflación en 2026.</w:t>
      </w:r>
    </w:p>
    <w:p>
      <w:pPr>
        <w:pStyle w:val="Heading1"/>
        <w:pageBreakBefore/>
        <w:spacing w:before="400" w:after="200"/>
      </w:pPr>
      <w:r>
        <w:t xml:space="preserve">Fuentes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2026-02-20T12:59:40.606Z</dcterms:created>
  <dcterms:modified xsi:type="dcterms:W3CDTF">2026-02-20T12:59:40.606Z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