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Informe Succinto: Evolución de la Inflación en Argentina durante 2025</w:t>
      </w:r>
    </w:p>
    <w:p>
      <w:pPr>
        <w:pStyle w:val="Heading1"/>
        <w:spacing w:before="200" w:after="200"/>
      </w:pPr>
      <w:r>
        <w:t xml:space="preserve">Resumen Ejecutivo</w:t>
      </w:r>
    </w:p>
    <w:p>
      <w:pPr>
        <w:spacing w:after="120"/>
        <w:jc w:val="both"/>
      </w:pPr>
      <w:r>
        <w:t xml:space="preserve">La inflación en Argentina en 2025 mostró una desaceleración significativa respecto a años previos, cerrando en torno al 50-60% anual según datos preliminares del INDEC, impulsada por políticas de estabilización fiscal y monetaria del gobierno de Milei. Este informe resume la trayectoria mensual y los factores clave, destacando una convergencia hacia niveles de un dígito mensual en el segundo semestre. Se proyectan efectos positivos en el mediano plazo para la competitividad económica.</w:t>
      </w:r>
    </w:p>
    <w:p>
      <w:pPr>
        <w:spacing w:before="400" w:after="400"/>
      </w:pPr>
    </w:p>
    <w:p>
      <w:pPr>
        <w:pStyle w:val="Heading3"/>
        <w:spacing w:before="240" w:after="120"/>
      </w:pPr>
      <w:r>
        <w:t xml:space="preserve">1. Trayectoria Mensual de la Inflación (IPC-INDEC)</w:t>
      </w:r>
    </w:p>
    <w:p>
      <w:pPr>
        <w:spacing w:after="120"/>
        <w:jc w:val="both"/>
      </w:pPr>
      <w:r>
        <w:t xml:space="preserve">El </w:t>
      </w:r>
      <w:r>
        <w:rPr>
          <w:b/>
          <w:bCs/>
        </w:rPr>
        <w:t xml:space="preserve">Índice de Precios al Consumidor (IPC)</w:t>
      </w:r>
      <w:r>
        <w:t xml:space="preserve"> nacional, elaborado por el </w:t>
      </w:r>
      <w:r>
        <w:rPr>
          <w:b/>
          <w:bCs/>
        </w:rPr>
        <w:t xml:space="preserve">INDEC</w:t>
      </w:r>
      <w:r>
        <w:t xml:space="preserve">, registró en 2025 una variación anual del </w:t>
      </w:r>
      <w:r>
        <w:rPr>
          <w:b/>
          <w:bCs/>
        </w:rPr>
        <w:t xml:space="preserve">31,5%</w:t>
      </w:r>
      <w:r>
        <w:t xml:space="preserve">, el registro más bajo en los últimos ocho años y una desaceleración marcada respecto al </w:t>
      </w:r>
      <w:r>
        <w:rPr>
          <w:b/>
          <w:bCs/>
        </w:rPr>
        <w:t xml:space="preserve">117,8%</w:t>
      </w:r>
      <w:r>
        <w:t xml:space="preserve"> de 2024. Esta evolución refleja la continuidad de la tendencia descendente iniciada en el año anterior, con tasas mensuales que partieron desde niveles cercanos al </w:t>
      </w:r>
      <w:r>
        <w:rPr>
          <w:b/>
          <w:bCs/>
        </w:rPr>
        <w:t xml:space="preserve">2,2%</w:t>
      </w:r>
      <w:r>
        <w:t xml:space="preserve"> en enero y alcanzaron un pico de </w:t>
      </w:r>
      <w:r>
        <w:rPr>
          <w:b/>
          <w:bCs/>
        </w:rPr>
        <w:t xml:space="preserve">3,7%</w:t>
      </w:r>
      <w:r>
        <w:t xml:space="preserve"> en marzo, para luego estabilizarse en torno al </w:t>
      </w:r>
      <w:r>
        <w:rPr>
          <w:b/>
          <w:bCs/>
        </w:rPr>
        <w:t xml:space="preserve">2%</w:t>
      </w:r>
      <w:r>
        <w:t xml:space="preserve"> hacia fin de año. Según datos oficiales del INDEC, el proceso de enfriamiento inflacionario se sostuvo durante todo el período, impulsado por la moderación en los componentes regulados y la estabilización cambiaria.</w:t>
      </w:r>
    </w:p>
    <w:p>
      <w:pPr>
        <w:pStyle w:val="Heading4"/>
        <w:spacing w:before="240" w:after="120"/>
      </w:pPr>
      <w:r>
        <w:t xml:space="preserve">Evolución Mensual del IPC en 2025</w:t>
      </w:r>
    </w:p>
    <w:p>
      <w:pPr>
        <w:spacing w:after="120"/>
        <w:jc w:val="both"/>
      </w:pPr>
      <w:r>
        <w:t xml:space="preserve">La trayectoria mensual del IPC en 2025 mostró una volatilidad moderada, con incrementos iniciales superiores al </w:t>
      </w:r>
      <w:r>
        <w:rPr>
          <w:b/>
          <w:bCs/>
        </w:rPr>
        <w:t xml:space="preserve">3%</w:t>
      </w:r>
      <w:r>
        <w:t xml:space="preserve"> en los primeros meses, seguidos de una fase de desaceleración sostenida. El INDEC reportó las siguientes variaciones mensuales: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shd w:fill="E7E6E6"/>
          </w:tcPr>
          <w:p>
            <w:pPr>
              <w:jc w:val="center"/>
            </w:pPr>
            <w:r>
              <w:t xml:space="preserve">Mes</w:t>
            </w:r>
          </w:p>
        </w:tc>
        <w:tc>
          <w:tcPr>
            <w:tcBorders>
              <w:top w:val="single" w:sz="1"/>
              <w:left w:val="single" w:sz="1"/>
              <w:bottom w:val="single" w:sz="1"/>
              <w:right w:val="single" w:sz="1"/>
            </w:tcBorders>
            <w:shd w:fill="E7E6E6"/>
          </w:tcPr>
          <w:p>
            <w:pPr>
              <w:jc w:val="center"/>
            </w:pPr>
            <w:r>
              <w:t xml:space="preserve">Variación Mensual (%)</w:t>
            </w:r>
          </w:p>
        </w:tc>
        <w:tc>
          <w:tcPr>
            <w:tcBorders>
              <w:top w:val="single" w:sz="1"/>
              <w:left w:val="single" w:sz="1"/>
              <w:bottom w:val="single" w:sz="1"/>
              <w:right w:val="single" w:sz="1"/>
            </w:tcBorders>
            <w:shd w:fill="E7E6E6"/>
          </w:tcPr>
          <w:p>
            <w:pPr>
              <w:jc w:val="center"/>
            </w:pPr>
            <w:r>
              <w:t xml:space="preserve">Acumulada Anual (%)</w:t>
            </w:r>
          </w:p>
        </w:tc>
        <w:tc>
          <w:tcPr>
            <w:tcBorders>
              <w:top w:val="single" w:sz="1"/>
              <w:left w:val="single" w:sz="1"/>
              <w:bottom w:val="single" w:sz="1"/>
              <w:right w:val="single" w:sz="1"/>
            </w:tcBorders>
            <w:shd w:fill="E7E6E6"/>
          </w:tcPr>
          <w:p>
            <w:pPr>
              <w:jc w:val="center"/>
            </w:pPr>
            <w:r>
              <w:t xml:space="preserve">Interanual (%)</w:t>
            </w:r>
          </w:p>
        </w:tc>
      </w:tr>
      <w:tr>
        <w:tc>
          <w:tcPr>
            <w:tcBorders>
              <w:top w:val="single" w:sz="1"/>
              <w:left w:val="single" w:sz="1"/>
              <w:bottom w:val="single" w:sz="1"/>
              <w:right w:val="single" w:sz="1"/>
            </w:tcBorders>
          </w:tcPr>
          <w:p>
            <w:pPr>
              <w:jc w:val="center"/>
            </w:pPr>
            <w:r>
              <w:t xml:space="preserve">Enero</w:t>
            </w:r>
          </w:p>
        </w:tc>
        <w:tc>
          <w:tcPr>
            <w:tcBorders>
              <w:top w:val="single" w:sz="1"/>
              <w:left w:val="single" w:sz="1"/>
              <w:bottom w:val="single" w:sz="1"/>
              <w:right w:val="single" w:sz="1"/>
            </w:tcBorders>
          </w:tcPr>
          <w:p>
            <w:pPr>
              <w:jc w:val="center"/>
            </w:pPr>
            <w:r>
              <w:t xml:space="preserve">2,2</w:t>
            </w:r>
          </w:p>
        </w:tc>
        <w:tc>
          <w:tcPr>
            <w:tcBorders>
              <w:top w:val="single" w:sz="1"/>
              <w:left w:val="single" w:sz="1"/>
              <w:bottom w:val="single" w:sz="1"/>
              <w:right w:val="single" w:sz="1"/>
            </w:tcBorders>
          </w:tcPr>
          <w:p>
            <w:pPr>
              <w:jc w:val="center"/>
            </w:pPr>
            <w:r>
              <w:t xml:space="preserve">2,2</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Febrero</w:t>
            </w:r>
          </w:p>
        </w:tc>
        <w:tc>
          <w:tcPr>
            <w:tcBorders>
              <w:top w:val="single" w:sz="1"/>
              <w:left w:val="single" w:sz="1"/>
              <w:bottom w:val="single" w:sz="1"/>
              <w:right w:val="single" w:sz="1"/>
            </w:tcBorders>
          </w:tcPr>
          <w:p>
            <w:pPr>
              <w:jc w:val="center"/>
            </w:pPr>
            <w:r>
              <w:t xml:space="preserve">2,4</w:t>
            </w:r>
          </w:p>
        </w:tc>
        <w:tc>
          <w:tcPr>
            <w:tcBorders>
              <w:top w:val="single" w:sz="1"/>
              <w:left w:val="single" w:sz="1"/>
              <w:bottom w:val="single" w:sz="1"/>
              <w:right w:val="single" w:sz="1"/>
            </w:tcBorders>
          </w:tcPr>
          <w:p>
            <w:pPr>
              <w:jc w:val="center"/>
            </w:pPr>
            <w:r>
              <w:t xml:space="preserve">4,7</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Marzo</w:t>
            </w:r>
          </w:p>
        </w:tc>
        <w:tc>
          <w:tcPr>
            <w:tcBorders>
              <w:top w:val="single" w:sz="1"/>
              <w:left w:val="single" w:sz="1"/>
              <w:bottom w:val="single" w:sz="1"/>
              <w:right w:val="single" w:sz="1"/>
            </w:tcBorders>
          </w:tcPr>
          <w:p>
            <w:pPr>
              <w:jc w:val="center"/>
            </w:pPr>
            <w:r>
              <w:t xml:space="preserve">3,7</w:t>
            </w:r>
          </w:p>
        </w:tc>
        <w:tc>
          <w:tcPr>
            <w:tcBorders>
              <w:top w:val="single" w:sz="1"/>
              <w:left w:val="single" w:sz="1"/>
              <w:bottom w:val="single" w:sz="1"/>
              <w:right w:val="single" w:sz="1"/>
            </w:tcBorders>
          </w:tcPr>
          <w:p>
            <w:pPr>
              <w:jc w:val="center"/>
            </w:pPr>
            <w:r>
              <w:t xml:space="preserve">8,6</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Abril</w:t>
            </w:r>
          </w:p>
        </w:tc>
        <w:tc>
          <w:tcPr>
            <w:tcBorders>
              <w:top w:val="single" w:sz="1"/>
              <w:left w:val="single" w:sz="1"/>
              <w:bottom w:val="single" w:sz="1"/>
              <w:right w:val="single" w:sz="1"/>
            </w:tcBorders>
          </w:tcPr>
          <w:p>
            <w:pPr>
              <w:jc w:val="center"/>
            </w:pPr>
            <w:r>
              <w:t xml:space="preserve">2,8</w:t>
            </w:r>
          </w:p>
        </w:tc>
        <w:tc>
          <w:tcPr>
            <w:tcBorders>
              <w:top w:val="single" w:sz="1"/>
              <w:left w:val="single" w:sz="1"/>
              <w:bottom w:val="single" w:sz="1"/>
              <w:right w:val="single" w:sz="1"/>
            </w:tcBorders>
          </w:tcPr>
          <w:p>
            <w:pPr>
              <w:jc w:val="center"/>
            </w:pPr>
            <w:r>
              <w:t xml:space="preserve">11,7</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Mayo</w:t>
            </w:r>
          </w:p>
        </w:tc>
        <w:tc>
          <w:tcPr>
            <w:tcBorders>
              <w:top w:val="single" w:sz="1"/>
              <w:left w:val="single" w:sz="1"/>
              <w:bottom w:val="single" w:sz="1"/>
              <w:right w:val="single" w:sz="1"/>
            </w:tcBorders>
          </w:tcPr>
          <w:p>
            <w:pPr>
              <w:jc w:val="center"/>
            </w:pPr>
            <w:r>
              <w:t xml:space="preserve">1,5</w:t>
            </w:r>
          </w:p>
        </w:tc>
        <w:tc>
          <w:tcPr>
            <w:tcBorders>
              <w:top w:val="single" w:sz="1"/>
              <w:left w:val="single" w:sz="1"/>
              <w:bottom w:val="single" w:sz="1"/>
              <w:right w:val="single" w:sz="1"/>
            </w:tcBorders>
          </w:tcPr>
          <w:p>
            <w:pPr>
              <w:jc w:val="center"/>
            </w:pPr>
            <w:r>
              <w:t xml:space="preserve">13,4</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Junio</w:t>
            </w:r>
          </w:p>
        </w:tc>
        <w:tc>
          <w:tcPr>
            <w:tcBorders>
              <w:top w:val="single" w:sz="1"/>
              <w:left w:val="single" w:sz="1"/>
              <w:bottom w:val="single" w:sz="1"/>
              <w:right w:val="single" w:sz="1"/>
            </w:tcBorders>
          </w:tcPr>
          <w:p>
            <w:pPr>
              <w:jc w:val="center"/>
            </w:pPr>
            <w:r>
              <w:t xml:space="preserve">1,6</w:t>
            </w:r>
          </w:p>
        </w:tc>
        <w:tc>
          <w:tcPr>
            <w:tcBorders>
              <w:top w:val="single" w:sz="1"/>
              <w:left w:val="single" w:sz="1"/>
              <w:bottom w:val="single" w:sz="1"/>
              <w:right w:val="single" w:sz="1"/>
            </w:tcBorders>
          </w:tcPr>
          <w:p>
            <w:pPr>
              <w:jc w:val="center"/>
            </w:pPr>
            <w:r>
              <w:t xml:space="preserve">15,2</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Julio</w:t>
            </w:r>
          </w:p>
        </w:tc>
        <w:tc>
          <w:tcPr>
            <w:tcBorders>
              <w:top w:val="single" w:sz="1"/>
              <w:left w:val="single" w:sz="1"/>
              <w:bottom w:val="single" w:sz="1"/>
              <w:right w:val="single" w:sz="1"/>
            </w:tcBorders>
          </w:tcPr>
          <w:p>
            <w:pPr>
              <w:jc w:val="center"/>
            </w:pPr>
            <w:r>
              <w:t xml:space="preserve">1,9</w:t>
            </w:r>
          </w:p>
        </w:tc>
        <w:tc>
          <w:tcPr>
            <w:tcBorders>
              <w:top w:val="single" w:sz="1"/>
              <w:left w:val="single" w:sz="1"/>
              <w:bottom w:val="single" w:sz="1"/>
              <w:right w:val="single" w:sz="1"/>
            </w:tcBorders>
          </w:tcPr>
          <w:p>
            <w:pPr>
              <w:jc w:val="center"/>
            </w:pPr>
            <w:r>
              <w:t xml:space="preserve">17,3</w:t>
            </w:r>
          </w:p>
        </w:tc>
        <w:tc>
          <w:tcPr>
            <w:tcBorders>
              <w:top w:val="single" w:sz="1"/>
              <w:left w:val="single" w:sz="1"/>
              <w:bottom w:val="single" w:sz="1"/>
              <w:right w:val="single" w:sz="1"/>
            </w:tcBorders>
          </w:tcPr>
          <w:p>
            <w:pPr>
              <w:jc w:val="center"/>
            </w:pPr>
            <w:r>
              <w:t xml:space="preserve">36,6</w:t>
            </w:r>
          </w:p>
        </w:tc>
      </w:tr>
      <w:tr>
        <w:tc>
          <w:tcPr>
            <w:tcBorders>
              <w:top w:val="single" w:sz="1"/>
              <w:left w:val="single" w:sz="1"/>
              <w:bottom w:val="single" w:sz="1"/>
              <w:right w:val="single" w:sz="1"/>
            </w:tcBorders>
          </w:tcPr>
          <w:p>
            <w:pPr>
              <w:jc w:val="center"/>
            </w:pPr>
            <w:r>
              <w:t xml:space="preserve">Agosto</w:t>
            </w:r>
          </w:p>
        </w:tc>
        <w:tc>
          <w:tcPr>
            <w:tcBorders>
              <w:top w:val="single" w:sz="1"/>
              <w:left w:val="single" w:sz="1"/>
              <w:bottom w:val="single" w:sz="1"/>
              <w:right w:val="single" w:sz="1"/>
            </w:tcBorders>
          </w:tcPr>
          <w:p>
            <w:pPr>
              <w:jc w:val="center"/>
            </w:pPr>
            <w:r>
              <w:t xml:space="preserve">1,9</w:t>
            </w:r>
          </w:p>
        </w:tc>
        <w:tc>
          <w:tcPr>
            <w:tcBorders>
              <w:top w:val="single" w:sz="1"/>
              <w:left w:val="single" w:sz="1"/>
              <w:bottom w:val="single" w:sz="1"/>
              <w:right w:val="single" w:sz="1"/>
            </w:tcBorders>
          </w:tcPr>
          <w:p>
            <w:pPr>
              <w:jc w:val="center"/>
            </w:pPr>
            <w:r>
              <w:t xml:space="preserve">19,4</w:t>
            </w:r>
          </w:p>
        </w:tc>
        <w:tc>
          <w:tcPr>
            <w:tcBorders>
              <w:top w:val="single" w:sz="1"/>
              <w:left w:val="single" w:sz="1"/>
              <w:bottom w:val="single" w:sz="1"/>
              <w:right w:val="single" w:sz="1"/>
            </w:tcBorders>
          </w:tcPr>
          <w:p>
            <w:pPr>
              <w:jc w:val="center"/>
            </w:pPr>
            <w:r>
              <w:t xml:space="preserve">33,6</w:t>
            </w:r>
          </w:p>
        </w:tc>
      </w:tr>
      <w:tr>
        <w:tc>
          <w:tcPr>
            <w:tcBorders>
              <w:top w:val="single" w:sz="1"/>
              <w:left w:val="single" w:sz="1"/>
              <w:bottom w:val="single" w:sz="1"/>
              <w:right w:val="single" w:sz="1"/>
            </w:tcBorders>
          </w:tcPr>
          <w:p>
            <w:pPr>
              <w:jc w:val="center"/>
            </w:pPr>
            <w:r>
              <w:t xml:space="preserve">Septiembre</w:t>
            </w:r>
          </w:p>
        </w:tc>
        <w:tc>
          <w:tcPr>
            <w:tcBorders>
              <w:top w:val="single" w:sz="1"/>
              <w:left w:val="single" w:sz="1"/>
              <w:bottom w:val="single" w:sz="1"/>
              <w:right w:val="single" w:sz="1"/>
            </w:tcBorders>
          </w:tcPr>
          <w:p>
            <w:pPr>
              <w:jc w:val="center"/>
            </w:pPr>
            <w:r>
              <w:t xml:space="preserve">2,1</w:t>
            </w:r>
          </w:p>
        </w:tc>
        <w:tc>
          <w:tcPr>
            <w:tcBorders>
              <w:top w:val="single" w:sz="1"/>
              <w:left w:val="single" w:sz="1"/>
              <w:bottom w:val="single" w:sz="1"/>
              <w:right w:val="single" w:sz="1"/>
            </w:tcBorders>
          </w:tcPr>
          <w:p>
            <w:pPr>
              <w:jc w:val="center"/>
            </w:pPr>
            <w:r>
              <w:t xml:space="preserve">21,8</w:t>
            </w:r>
          </w:p>
        </w:tc>
        <w:tc>
          <w:tcPr>
            <w:tcBorders>
              <w:top w:val="single" w:sz="1"/>
              <w:left w:val="single" w:sz="1"/>
              <w:bottom w:val="single" w:sz="1"/>
              <w:right w:val="single" w:sz="1"/>
            </w:tcBorders>
          </w:tcPr>
          <w:p>
            <w:pPr>
              <w:jc w:val="center"/>
            </w:pPr>
            <w:r>
              <w:t xml:space="preserve">31,8</w:t>
            </w:r>
          </w:p>
        </w:tc>
      </w:tr>
      <w:tr>
        <w:tc>
          <w:tcPr>
            <w:tcBorders>
              <w:top w:val="single" w:sz="1"/>
              <w:left w:val="single" w:sz="1"/>
              <w:bottom w:val="single" w:sz="1"/>
              <w:right w:val="single" w:sz="1"/>
            </w:tcBorders>
          </w:tcPr>
          <w:p>
            <w:pPr>
              <w:jc w:val="center"/>
            </w:pPr>
            <w:r>
              <w:t xml:space="preserve">Octubre</w:t>
            </w:r>
          </w:p>
        </w:tc>
        <w:tc>
          <w:tcPr>
            <w:tcBorders>
              <w:top w:val="single" w:sz="1"/>
              <w:left w:val="single" w:sz="1"/>
              <w:bottom w:val="single" w:sz="1"/>
              <w:right w:val="single" w:sz="1"/>
            </w:tcBorders>
          </w:tcPr>
          <w:p>
            <w:pPr>
              <w:jc w:val="center"/>
            </w:pPr>
            <w:r>
              <w:t xml:space="preserve">2,3</w:t>
            </w:r>
          </w:p>
        </w:tc>
        <w:tc>
          <w:tcPr>
            <w:tcBorders>
              <w:top w:val="single" w:sz="1"/>
              <w:left w:val="single" w:sz="1"/>
              <w:bottom w:val="single" w:sz="1"/>
              <w:right w:val="single" w:sz="1"/>
            </w:tcBorders>
          </w:tcPr>
          <w:p>
            <w:pPr>
              <w:jc w:val="center"/>
            </w:pPr>
            <w:r>
              <w:t xml:space="preserve">24,3</w:t>
            </w:r>
          </w:p>
        </w:tc>
        <w:tc>
          <w:tcPr>
            <w:tcBorders>
              <w:top w:val="single" w:sz="1"/>
              <w:left w:val="single" w:sz="1"/>
              <w:bottom w:val="single" w:sz="1"/>
              <w:right w:val="single" w:sz="1"/>
            </w:tcBorders>
          </w:tcPr>
          <w:p>
            <w:pPr>
              <w:jc w:val="center"/>
            </w:pPr>
            <w:r>
              <w:t xml:space="preserve">31,3</w:t>
            </w:r>
          </w:p>
        </w:tc>
      </w:tr>
      <w:tr>
        <w:tc>
          <w:tcPr>
            <w:tcBorders>
              <w:top w:val="single" w:sz="1"/>
              <w:left w:val="single" w:sz="1"/>
              <w:bottom w:val="single" w:sz="1"/>
              <w:right w:val="single" w:sz="1"/>
            </w:tcBorders>
          </w:tcPr>
          <w:p>
            <w:pPr>
              <w:jc w:val="center"/>
            </w:pPr>
            <w:r>
              <w:t xml:space="preserve">Noviembre</w:t>
            </w:r>
          </w:p>
        </w:tc>
        <w:tc>
          <w:tcPr>
            <w:tcBorders>
              <w:top w:val="single" w:sz="1"/>
              <w:left w:val="single" w:sz="1"/>
              <w:bottom w:val="single" w:sz="1"/>
              <w:right w:val="single" w:sz="1"/>
            </w:tcBorders>
          </w:tcPr>
          <w:p>
            <w:pPr>
              <w:jc w:val="center"/>
            </w:pPr>
            <w:r>
              <w:t xml:space="preserve">2,5</w:t>
            </w:r>
          </w:p>
        </w:tc>
        <w:tc>
          <w:tcPr>
            <w:tcBorders>
              <w:top w:val="single" w:sz="1"/>
              <w:left w:val="single" w:sz="1"/>
              <w:bottom w:val="single" w:sz="1"/>
              <w:right w:val="single" w:sz="1"/>
            </w:tcBorders>
          </w:tcPr>
          <w:p>
            <w:pPr>
              <w:jc w:val="center"/>
            </w:pPr>
            <w:r>
              <w:t xml:space="preserve">27,9</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Diciembre</w:t>
            </w:r>
          </w:p>
        </w:tc>
        <w:tc>
          <w:tcPr>
            <w:tcBorders>
              <w:top w:val="single" w:sz="1"/>
              <w:left w:val="single" w:sz="1"/>
              <w:bottom w:val="single" w:sz="1"/>
              <w:right w:val="single" w:sz="1"/>
            </w:tcBorders>
          </w:tcPr>
          <w:p>
            <w:pPr>
              <w:jc w:val="center"/>
            </w:pPr>
            <w:r>
              <w:t xml:space="preserve">2,8</w:t>
            </w:r>
          </w:p>
        </w:tc>
        <w:tc>
          <w:tcPr>
            <w:tcBorders>
              <w:top w:val="single" w:sz="1"/>
              <w:left w:val="single" w:sz="1"/>
              <w:bottom w:val="single" w:sz="1"/>
              <w:right w:val="single" w:sz="1"/>
            </w:tcBorders>
          </w:tcPr>
          <w:p>
            <w:pPr>
              <w:jc w:val="center"/>
            </w:pPr>
            <w:r>
              <w:t xml:space="preserve">**31,5**</w:t>
            </w:r>
          </w:p>
        </w:tc>
        <w:tc>
          <w:tcPr>
            <w:tcBorders>
              <w:top w:val="single" w:sz="1"/>
              <w:left w:val="single" w:sz="1"/>
              <w:bottom w:val="single" w:sz="1"/>
              <w:right w:val="single" w:sz="1"/>
            </w:tcBorders>
          </w:tcPr>
          <w:p>
            <w:pPr>
              <w:jc w:val="center"/>
            </w:pPr>
            <w:r>
              <w:t xml:space="preserve">-</w:t>
            </w:r>
          </w:p>
        </w:tc>
      </w:tr>
    </w:tbl>
    <w:p>
      <w:pPr>
        <w:spacing w:after="120"/>
        <w:jc w:val="both"/>
      </w:pPr>
      <w:r>
        <w:t xml:space="preserve">Fuente: Elaboración propia en base a informes mensuales del INDEC (2025).</w:t>
      </w:r>
    </w:p>
    <w:p>
      <w:pPr>
        <w:spacing w:after="120"/>
        <w:jc w:val="both"/>
      </w:pPr>
      <w:r>
        <w:t xml:space="preserve">El pico de </w:t>
      </w:r>
      <w:r>
        <w:rPr>
          <w:b/>
          <w:bCs/>
        </w:rPr>
        <w:t xml:space="preserve">3,7%</w:t>
      </w:r>
      <w:r>
        <w:t xml:space="preserve"> en marzo se explica por ajustes estacionales en rubros como educación y vestimenta, mientras que el mínimo de </w:t>
      </w:r>
      <w:r>
        <w:rPr>
          <w:b/>
          <w:bCs/>
        </w:rPr>
        <w:t xml:space="preserve">1,5%</w:t>
      </w:r>
      <w:r>
        <w:t xml:space="preserve"> en mayo coincidió con la estabilización de los precios mayoristas (IPIM). Hacia diciembre, la tasa mensual de </w:t>
      </w:r>
      <w:r>
        <w:rPr>
          <w:b/>
          <w:bCs/>
        </w:rPr>
        <w:t xml:space="preserve">2,8%</w:t>
      </w:r>
      <w:r>
        <w:t xml:space="preserve"> representó un leve repunte respecto a noviembre (</w:t>
      </w:r>
      <w:r>
        <w:rPr>
          <w:b/>
          <w:bCs/>
        </w:rPr>
        <w:t xml:space="preserve">2,5%</w:t>
      </w:r>
      <w:r>
        <w:t xml:space="preserve">), pero mantuvo la tendencia general de baja intensidad.</w:t>
      </w:r>
    </w:p>
    <w:p>
      <w:pPr>
        <w:pStyle w:val="Heading4"/>
        <w:spacing w:before="240" w:after="120"/>
      </w:pPr>
      <w:r>
        <w:t xml:space="preserve">Comparación con 2025</w:t>
      </w:r>
    </w:p>
    <w:p>
      <w:pPr>
        <w:spacing w:after="120"/>
        <w:jc w:val="both"/>
      </w:pPr>
      <w:r>
        <w:t xml:space="preserve">En contraste con 2025, el año 2024 exhibió una hiperinflación inicial que se moderó progresivamente. La tabla comparativa ilustra la drástica reducción en las tasas mensuales: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shd w:fill="E7E6E6"/>
          </w:tcPr>
          <w:p>
            <w:pPr>
              <w:jc w:val="center"/>
            </w:pPr>
            <w:r>
              <w:t xml:space="preserve">Mes</w:t>
            </w:r>
          </w:p>
        </w:tc>
        <w:tc>
          <w:tcPr>
            <w:tcBorders>
              <w:top w:val="single" w:sz="1"/>
              <w:left w:val="single" w:sz="1"/>
              <w:bottom w:val="single" w:sz="1"/>
              <w:right w:val="single" w:sz="1"/>
            </w:tcBorders>
            <w:shd w:fill="E7E6E6"/>
          </w:tcPr>
          <w:p>
            <w:pPr>
              <w:jc w:val="center"/>
            </w:pPr>
            <w:r>
              <w:t xml:space="preserve">IPC 2025 (%)</w:t>
            </w:r>
          </w:p>
        </w:tc>
        <w:tc>
          <w:tcPr>
            <w:tcBorders>
              <w:top w:val="single" w:sz="1"/>
              <w:left w:val="single" w:sz="1"/>
              <w:bottom w:val="single" w:sz="1"/>
              <w:right w:val="single" w:sz="1"/>
            </w:tcBorders>
            <w:shd w:fill="E7E6E6"/>
          </w:tcPr>
          <w:p>
            <w:pPr>
              <w:jc w:val="center"/>
            </w:pPr>
            <w:r>
              <w:t xml:space="preserve">IPC 2024 (%)</w:t>
            </w:r>
          </w:p>
        </w:tc>
        <w:tc>
          <w:tcPr>
            <w:tcBorders>
              <w:top w:val="single" w:sz="1"/>
              <w:left w:val="single" w:sz="1"/>
              <w:bottom w:val="single" w:sz="1"/>
              <w:right w:val="single" w:sz="1"/>
            </w:tcBorders>
            <w:shd w:fill="E7E6E6"/>
          </w:tcPr>
          <w:p>
            <w:pPr>
              <w:jc w:val="center"/>
            </w:pPr>
            <w:r>
              <w:t xml:space="preserve">Diferencia (p.p.)</w:t>
            </w:r>
          </w:p>
        </w:tc>
      </w:tr>
      <w:tr>
        <w:tc>
          <w:tcPr>
            <w:tcBorders>
              <w:top w:val="single" w:sz="1"/>
              <w:left w:val="single" w:sz="1"/>
              <w:bottom w:val="single" w:sz="1"/>
              <w:right w:val="single" w:sz="1"/>
            </w:tcBorders>
          </w:tcPr>
          <w:p>
            <w:pPr>
              <w:jc w:val="center"/>
            </w:pPr>
            <w:r>
              <w:t xml:space="preserve">Enero</w:t>
            </w:r>
          </w:p>
        </w:tc>
        <w:tc>
          <w:tcPr>
            <w:tcBorders>
              <w:top w:val="single" w:sz="1"/>
              <w:left w:val="single" w:sz="1"/>
              <w:bottom w:val="single" w:sz="1"/>
              <w:right w:val="single" w:sz="1"/>
            </w:tcBorders>
          </w:tcPr>
          <w:p>
            <w:pPr>
              <w:jc w:val="center"/>
            </w:pPr>
            <w:r>
              <w:t xml:space="preserve">2,2</w:t>
            </w:r>
          </w:p>
        </w:tc>
        <w:tc>
          <w:tcPr>
            <w:tcBorders>
              <w:top w:val="single" w:sz="1"/>
              <w:left w:val="single" w:sz="1"/>
              <w:bottom w:val="single" w:sz="1"/>
              <w:right w:val="single" w:sz="1"/>
            </w:tcBorders>
          </w:tcPr>
          <w:p>
            <w:pPr>
              <w:jc w:val="center"/>
            </w:pPr>
            <w:r>
              <w:t xml:space="preserve">20,6</w:t>
            </w:r>
          </w:p>
        </w:tc>
        <w:tc>
          <w:tcPr>
            <w:tcBorders>
              <w:top w:val="single" w:sz="1"/>
              <w:left w:val="single" w:sz="1"/>
              <w:bottom w:val="single" w:sz="1"/>
              <w:right w:val="single" w:sz="1"/>
            </w:tcBorders>
          </w:tcPr>
          <w:p>
            <w:pPr>
              <w:jc w:val="center"/>
            </w:pPr>
            <w:r>
              <w:t xml:space="preserve">-18,4</w:t>
            </w:r>
          </w:p>
        </w:tc>
      </w:tr>
      <w:tr>
        <w:tc>
          <w:tcPr>
            <w:tcBorders>
              <w:top w:val="single" w:sz="1"/>
              <w:left w:val="single" w:sz="1"/>
              <w:bottom w:val="single" w:sz="1"/>
              <w:right w:val="single" w:sz="1"/>
            </w:tcBorders>
          </w:tcPr>
          <w:p>
            <w:pPr>
              <w:jc w:val="center"/>
            </w:pPr>
            <w:r>
              <w:t xml:space="preserve">Febrero</w:t>
            </w:r>
          </w:p>
        </w:tc>
        <w:tc>
          <w:tcPr>
            <w:tcBorders>
              <w:top w:val="single" w:sz="1"/>
              <w:left w:val="single" w:sz="1"/>
              <w:bottom w:val="single" w:sz="1"/>
              <w:right w:val="single" w:sz="1"/>
            </w:tcBorders>
          </w:tcPr>
          <w:p>
            <w:pPr>
              <w:jc w:val="center"/>
            </w:pPr>
            <w:r>
              <w:t xml:space="preserve">2,4</w:t>
            </w:r>
          </w:p>
        </w:tc>
        <w:tc>
          <w:tcPr>
            <w:tcBorders>
              <w:top w:val="single" w:sz="1"/>
              <w:left w:val="single" w:sz="1"/>
              <w:bottom w:val="single" w:sz="1"/>
              <w:right w:val="single" w:sz="1"/>
            </w:tcBorders>
          </w:tcPr>
          <w:p>
            <w:pPr>
              <w:jc w:val="center"/>
            </w:pPr>
            <w:r>
              <w:t xml:space="preserve">13,2</w:t>
            </w:r>
          </w:p>
        </w:tc>
        <w:tc>
          <w:tcPr>
            <w:tcBorders>
              <w:top w:val="single" w:sz="1"/>
              <w:left w:val="single" w:sz="1"/>
              <w:bottom w:val="single" w:sz="1"/>
              <w:right w:val="single" w:sz="1"/>
            </w:tcBorders>
          </w:tcPr>
          <w:p>
            <w:pPr>
              <w:jc w:val="center"/>
            </w:pPr>
            <w:r>
              <w:t xml:space="preserve">-10,8</w:t>
            </w:r>
          </w:p>
        </w:tc>
      </w:tr>
      <w:tr>
        <w:tc>
          <w:tcPr>
            <w:tcBorders>
              <w:top w:val="single" w:sz="1"/>
              <w:left w:val="single" w:sz="1"/>
              <w:bottom w:val="single" w:sz="1"/>
              <w:right w:val="single" w:sz="1"/>
            </w:tcBorders>
          </w:tcPr>
          <w:p>
            <w:pPr>
              <w:jc w:val="center"/>
            </w:pPr>
            <w:r>
              <w:t xml:space="preserve">Marzo</w:t>
            </w:r>
          </w:p>
        </w:tc>
        <w:tc>
          <w:tcPr>
            <w:tcBorders>
              <w:top w:val="single" w:sz="1"/>
              <w:left w:val="single" w:sz="1"/>
              <w:bottom w:val="single" w:sz="1"/>
              <w:right w:val="single" w:sz="1"/>
            </w:tcBorders>
          </w:tcPr>
          <w:p>
            <w:pPr>
              <w:jc w:val="center"/>
            </w:pPr>
            <w:r>
              <w:t xml:space="preserve">3,7</w:t>
            </w:r>
          </w:p>
        </w:tc>
        <w:tc>
          <w:tcPr>
            <w:tcBorders>
              <w:top w:val="single" w:sz="1"/>
              <w:left w:val="single" w:sz="1"/>
              <w:bottom w:val="single" w:sz="1"/>
              <w:right w:val="single" w:sz="1"/>
            </w:tcBorders>
          </w:tcPr>
          <w:p>
            <w:pPr>
              <w:jc w:val="center"/>
            </w:pPr>
            <w:r>
              <w:t xml:space="preserve">11,0</w:t>
            </w:r>
          </w:p>
        </w:tc>
        <w:tc>
          <w:tcPr>
            <w:tcBorders>
              <w:top w:val="single" w:sz="1"/>
              <w:left w:val="single" w:sz="1"/>
              <w:bottom w:val="single" w:sz="1"/>
              <w:right w:val="single" w:sz="1"/>
            </w:tcBorders>
          </w:tcPr>
          <w:p>
            <w:pPr>
              <w:jc w:val="center"/>
            </w:pPr>
            <w:r>
              <w:t xml:space="preserve">-7,3</w:t>
            </w:r>
          </w:p>
        </w:tc>
      </w:tr>
      <w:tr>
        <w:tc>
          <w:tcPr>
            <w:tcBorders>
              <w:top w:val="single" w:sz="1"/>
              <w:left w:val="single" w:sz="1"/>
              <w:bottom w:val="single" w:sz="1"/>
              <w:right w:val="single" w:sz="1"/>
            </w:tcBorders>
          </w:tcPr>
          <w:p>
            <w:pPr>
              <w:jc w:val="center"/>
            </w:pPr>
            <w:r>
              <w:t xml:space="preserve">Abril</w:t>
            </w:r>
          </w:p>
        </w:tc>
        <w:tc>
          <w:tcPr>
            <w:tcBorders>
              <w:top w:val="single" w:sz="1"/>
              <w:left w:val="single" w:sz="1"/>
              <w:bottom w:val="single" w:sz="1"/>
              <w:right w:val="single" w:sz="1"/>
            </w:tcBorders>
          </w:tcPr>
          <w:p>
            <w:pPr>
              <w:jc w:val="center"/>
            </w:pPr>
            <w:r>
              <w:t xml:space="preserve">2,8</w:t>
            </w:r>
          </w:p>
        </w:tc>
        <w:tc>
          <w:tcPr>
            <w:tcBorders>
              <w:top w:val="single" w:sz="1"/>
              <w:left w:val="single" w:sz="1"/>
              <w:bottom w:val="single" w:sz="1"/>
              <w:right w:val="single" w:sz="1"/>
            </w:tcBorders>
          </w:tcPr>
          <w:p>
            <w:pPr>
              <w:jc w:val="center"/>
            </w:pPr>
            <w:r>
              <w:t xml:space="preserve">8,8</w:t>
            </w:r>
          </w:p>
        </w:tc>
        <w:tc>
          <w:tcPr>
            <w:tcBorders>
              <w:top w:val="single" w:sz="1"/>
              <w:left w:val="single" w:sz="1"/>
              <w:bottom w:val="single" w:sz="1"/>
              <w:right w:val="single" w:sz="1"/>
            </w:tcBorders>
          </w:tcPr>
          <w:p>
            <w:pPr>
              <w:jc w:val="center"/>
            </w:pPr>
            <w:r>
              <w:t xml:space="preserve">-6,0</w:t>
            </w:r>
          </w:p>
        </w:tc>
      </w:tr>
      <w:tr>
        <w:tc>
          <w:tcPr>
            <w:tcBorders>
              <w:top w:val="single" w:sz="1"/>
              <w:left w:val="single" w:sz="1"/>
              <w:bottom w:val="single" w:sz="1"/>
              <w:right w:val="single" w:sz="1"/>
            </w:tcBorders>
          </w:tcPr>
          <w:p>
            <w:pPr>
              <w:jc w:val="center"/>
            </w:pPr>
            <w:r>
              <w:t xml:space="preserve">Mayo</w:t>
            </w:r>
          </w:p>
        </w:tc>
        <w:tc>
          <w:tcPr>
            <w:tcBorders>
              <w:top w:val="single" w:sz="1"/>
              <w:left w:val="single" w:sz="1"/>
              <w:bottom w:val="single" w:sz="1"/>
              <w:right w:val="single" w:sz="1"/>
            </w:tcBorders>
          </w:tcPr>
          <w:p>
            <w:pPr>
              <w:jc w:val="center"/>
            </w:pPr>
            <w:r>
              <w:t xml:space="preserve">1,5</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-2,7</w:t>
            </w:r>
          </w:p>
        </w:tc>
      </w:tr>
      <w:tr>
        <w:tc>
          <w:tcPr>
            <w:tcBorders>
              <w:top w:val="single" w:sz="1"/>
              <w:left w:val="single" w:sz="1"/>
              <w:bottom w:val="single" w:sz="1"/>
              <w:right w:val="single" w:sz="1"/>
            </w:tcBorders>
          </w:tcPr>
          <w:p>
            <w:pPr>
              <w:jc w:val="center"/>
            </w:pPr>
            <w:r>
              <w:t xml:space="preserve">Junio</w:t>
            </w:r>
          </w:p>
        </w:tc>
        <w:tc>
          <w:tcPr>
            <w:tcBorders>
              <w:top w:val="single" w:sz="1"/>
              <w:left w:val="single" w:sz="1"/>
              <w:bottom w:val="single" w:sz="1"/>
              <w:right w:val="single" w:sz="1"/>
            </w:tcBorders>
          </w:tcPr>
          <w:p>
            <w:pPr>
              <w:jc w:val="center"/>
            </w:pPr>
            <w:r>
              <w:t xml:space="preserve">1,6</w:t>
            </w:r>
          </w:p>
        </w:tc>
        <w:tc>
          <w:tcPr>
            <w:tcBorders>
              <w:top w:val="single" w:sz="1"/>
              <w:left w:val="single" w:sz="1"/>
              <w:bottom w:val="single" w:sz="1"/>
              <w:right w:val="single" w:sz="1"/>
            </w:tcBorders>
          </w:tcPr>
          <w:p>
            <w:pPr>
              <w:jc w:val="center"/>
            </w:pPr>
            <w:r>
              <w:t xml:space="preserve">4,6</w:t>
            </w:r>
          </w:p>
        </w:tc>
        <w:tc>
          <w:tcPr>
            <w:tcBorders>
              <w:top w:val="single" w:sz="1"/>
              <w:left w:val="single" w:sz="1"/>
              <w:bottom w:val="single" w:sz="1"/>
              <w:right w:val="single" w:sz="1"/>
            </w:tcBorders>
          </w:tcPr>
          <w:p>
            <w:pPr>
              <w:jc w:val="center"/>
            </w:pPr>
            <w:r>
              <w:t xml:space="preserve">-3,0</w:t>
            </w:r>
          </w:p>
        </w:tc>
      </w:tr>
      <w:tr>
        <w:tc>
          <w:tcPr>
            <w:tcBorders>
              <w:top w:val="single" w:sz="1"/>
              <w:left w:val="single" w:sz="1"/>
              <w:bottom w:val="single" w:sz="1"/>
              <w:right w:val="single" w:sz="1"/>
            </w:tcBorders>
          </w:tcPr>
          <w:p>
            <w:pPr>
              <w:jc w:val="center"/>
            </w:pPr>
            <w:r>
              <w:t xml:space="preserve">Julio</w:t>
            </w:r>
          </w:p>
        </w:tc>
        <w:tc>
          <w:tcPr>
            <w:tcBorders>
              <w:top w:val="single" w:sz="1"/>
              <w:left w:val="single" w:sz="1"/>
              <w:bottom w:val="single" w:sz="1"/>
              <w:right w:val="single" w:sz="1"/>
            </w:tcBorders>
          </w:tcPr>
          <w:p>
            <w:pPr>
              <w:jc w:val="center"/>
            </w:pPr>
            <w:r>
              <w:t xml:space="preserve">1,9</w:t>
            </w:r>
          </w:p>
        </w:tc>
        <w:tc>
          <w:tcPr>
            <w:tcBorders>
              <w:top w:val="single" w:sz="1"/>
              <w:left w:val="single" w:sz="1"/>
              <w:bottom w:val="single" w:sz="1"/>
              <w:right w:val="single" w:sz="1"/>
            </w:tcBorders>
          </w:tcPr>
          <w:p>
            <w:pPr>
              <w:jc w:val="center"/>
            </w:pPr>
            <w:r>
              <w:t xml:space="preserve">4,0</w:t>
            </w:r>
          </w:p>
        </w:tc>
        <w:tc>
          <w:tcPr>
            <w:tcBorders>
              <w:top w:val="single" w:sz="1"/>
              <w:left w:val="single" w:sz="1"/>
              <w:bottom w:val="single" w:sz="1"/>
              <w:right w:val="single" w:sz="1"/>
            </w:tcBorders>
          </w:tcPr>
          <w:p>
            <w:pPr>
              <w:jc w:val="center"/>
            </w:pPr>
            <w:r>
              <w:t xml:space="preserve">-2,1</w:t>
            </w:r>
          </w:p>
        </w:tc>
      </w:tr>
      <w:tr>
        <w:tc>
          <w:tcPr>
            <w:tcBorders>
              <w:top w:val="single" w:sz="1"/>
              <w:left w:val="single" w:sz="1"/>
              <w:bottom w:val="single" w:sz="1"/>
              <w:right w:val="single" w:sz="1"/>
            </w:tcBorders>
          </w:tcPr>
          <w:p>
            <w:pPr>
              <w:jc w:val="center"/>
            </w:pPr>
            <w:r>
              <w:t xml:space="preserve">Agosto</w:t>
            </w:r>
          </w:p>
        </w:tc>
        <w:tc>
          <w:tcPr>
            <w:tcBorders>
              <w:top w:val="single" w:sz="1"/>
              <w:left w:val="single" w:sz="1"/>
              <w:bottom w:val="single" w:sz="1"/>
              <w:right w:val="single" w:sz="1"/>
            </w:tcBorders>
          </w:tcPr>
          <w:p>
            <w:pPr>
              <w:jc w:val="center"/>
            </w:pPr>
            <w:r>
              <w:t xml:space="preserve">1,9</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-2,3</w:t>
            </w:r>
          </w:p>
        </w:tc>
      </w:tr>
      <w:tr>
        <w:tc>
          <w:tcPr>
            <w:tcBorders>
              <w:top w:val="single" w:sz="1"/>
              <w:left w:val="single" w:sz="1"/>
              <w:bottom w:val="single" w:sz="1"/>
              <w:right w:val="single" w:sz="1"/>
            </w:tcBorders>
          </w:tcPr>
          <w:p>
            <w:pPr>
              <w:jc w:val="center"/>
            </w:pPr>
            <w:r>
              <w:t xml:space="preserve">Septiembre</w:t>
            </w:r>
          </w:p>
        </w:tc>
        <w:tc>
          <w:tcPr>
            <w:tcBorders>
              <w:top w:val="single" w:sz="1"/>
              <w:left w:val="single" w:sz="1"/>
              <w:bottom w:val="single" w:sz="1"/>
              <w:right w:val="single" w:sz="1"/>
            </w:tcBorders>
          </w:tcPr>
          <w:p>
            <w:pPr>
              <w:jc w:val="center"/>
            </w:pPr>
            <w:r>
              <w:t xml:space="preserve">2,1</w:t>
            </w:r>
          </w:p>
        </w:tc>
        <w:tc>
          <w:tcPr>
            <w:tcBorders>
              <w:top w:val="single" w:sz="1"/>
              <w:left w:val="single" w:sz="1"/>
              <w:bottom w:val="single" w:sz="1"/>
              <w:right w:val="single" w:sz="1"/>
            </w:tcBorders>
          </w:tcPr>
          <w:p>
            <w:pPr>
              <w:jc w:val="center"/>
            </w:pPr>
            <w:r>
              <w:t xml:space="preserve">3,5</w:t>
            </w:r>
          </w:p>
        </w:tc>
        <w:tc>
          <w:tcPr>
            <w:tcBorders>
              <w:top w:val="single" w:sz="1"/>
              <w:left w:val="single" w:sz="1"/>
              <w:bottom w:val="single" w:sz="1"/>
              <w:right w:val="single" w:sz="1"/>
            </w:tcBorders>
          </w:tcPr>
          <w:p>
            <w:pPr>
              <w:jc w:val="center"/>
            </w:pPr>
            <w:r>
              <w:t xml:space="preserve">-1,4</w:t>
            </w:r>
          </w:p>
        </w:tc>
      </w:tr>
      <w:tr>
        <w:tc>
          <w:tcPr>
            <w:tcBorders>
              <w:top w:val="single" w:sz="1"/>
              <w:left w:val="single" w:sz="1"/>
              <w:bottom w:val="single" w:sz="1"/>
              <w:right w:val="single" w:sz="1"/>
            </w:tcBorders>
          </w:tcPr>
          <w:p>
            <w:pPr>
              <w:jc w:val="center"/>
            </w:pPr>
            <w:r>
              <w:t xml:space="preserve">Octubre</w:t>
            </w:r>
          </w:p>
        </w:tc>
        <w:tc>
          <w:tcPr>
            <w:tcBorders>
              <w:top w:val="single" w:sz="1"/>
              <w:left w:val="single" w:sz="1"/>
              <w:bottom w:val="single" w:sz="1"/>
              <w:right w:val="single" w:sz="1"/>
            </w:tcBorders>
          </w:tcPr>
          <w:p>
            <w:pPr>
              <w:jc w:val="center"/>
            </w:pPr>
            <w:r>
              <w:t xml:space="preserve">2,3</w:t>
            </w:r>
          </w:p>
        </w:tc>
        <w:tc>
          <w:tcPr>
            <w:tcBorders>
              <w:top w:val="single" w:sz="1"/>
              <w:left w:val="single" w:sz="1"/>
              <w:bottom w:val="single" w:sz="1"/>
              <w:right w:val="single" w:sz="1"/>
            </w:tcBorders>
          </w:tcPr>
          <w:p>
            <w:pPr>
              <w:jc w:val="center"/>
            </w:pPr>
            <w:r>
              <w:t xml:space="preserve">-</w:t>
            </w:r>
          </w:p>
        </w:tc>
        <w:tc>
          <w:tcPr>
            <w:tcBorders>
              <w:top w:val="single" w:sz="1"/>
              <w:left w:val="single" w:sz="1"/>
              <w:bottom w:val="single" w:sz="1"/>
              <w:right w:val="single" w:sz="1"/>
            </w:tcBorders>
          </w:tcPr>
          <w:p>
            <w:pPr>
              <w:jc w:val="center"/>
            </w:pPr>
            <w:r>
              <w:t xml:space="preserve">-</w:t>
            </w:r>
          </w:p>
        </w:tc>
      </w:tr>
      <w:tr>
        <w:tc>
          <w:tcPr>
            <w:tcBorders>
              <w:top w:val="single" w:sz="1"/>
              <w:left w:val="single" w:sz="1"/>
              <w:bottom w:val="single" w:sz="1"/>
              <w:right w:val="single" w:sz="1"/>
            </w:tcBorders>
          </w:tcPr>
          <w:p>
            <w:pPr>
              <w:jc w:val="center"/>
            </w:pPr>
            <w:r>
              <w:t xml:space="preserve">Noviembre</w:t>
            </w:r>
          </w:p>
        </w:tc>
        <w:tc>
          <w:tcPr>
            <w:tcBorders>
              <w:top w:val="single" w:sz="1"/>
              <w:left w:val="single" w:sz="1"/>
              <w:bottom w:val="single" w:sz="1"/>
              <w:right w:val="single" w:sz="1"/>
            </w:tcBorders>
          </w:tcPr>
          <w:p>
            <w:pPr>
              <w:jc w:val="center"/>
            </w:pPr>
            <w:r>
              <w:t xml:space="preserve">2,5</w:t>
            </w:r>
          </w:p>
        </w:tc>
        <w:tc>
          <w:tcPr>
            <w:tcBorders>
              <w:top w:val="single" w:sz="1"/>
              <w:left w:val="single" w:sz="1"/>
              <w:bottom w:val="single" w:sz="1"/>
              <w:right w:val="single" w:sz="1"/>
            </w:tcBorders>
          </w:tcPr>
          <w:p>
            <w:pPr>
              <w:jc w:val="center"/>
            </w:pPr>
            <w:r>
              <w:t xml:space="preserve">2,4</w:t>
            </w:r>
          </w:p>
        </w:tc>
        <w:tc>
          <w:tcPr>
            <w:tcBorders>
              <w:top w:val="single" w:sz="1"/>
              <w:left w:val="single" w:sz="1"/>
              <w:bottom w:val="single" w:sz="1"/>
              <w:right w:val="single" w:sz="1"/>
            </w:tcBorders>
          </w:tcPr>
          <w:p>
            <w:pPr>
              <w:jc w:val="center"/>
            </w:pPr>
            <w:r>
              <w:t xml:space="preserve">+0,1</w:t>
            </w:r>
          </w:p>
        </w:tc>
      </w:tr>
      <w:tr>
        <w:tc>
          <w:tcPr>
            <w:tcBorders>
              <w:top w:val="single" w:sz="1"/>
              <w:left w:val="single" w:sz="1"/>
              <w:bottom w:val="single" w:sz="1"/>
              <w:right w:val="single" w:sz="1"/>
            </w:tcBorders>
          </w:tcPr>
          <w:p>
            <w:pPr>
              <w:jc w:val="center"/>
            </w:pPr>
            <w:r>
              <w:t xml:space="preserve">Diciembre</w:t>
            </w:r>
          </w:p>
        </w:tc>
        <w:tc>
          <w:tcPr>
            <w:tcBorders>
              <w:top w:val="single" w:sz="1"/>
              <w:left w:val="single" w:sz="1"/>
              <w:bottom w:val="single" w:sz="1"/>
              <w:right w:val="single" w:sz="1"/>
            </w:tcBorders>
          </w:tcPr>
          <w:p>
            <w:pPr>
              <w:jc w:val="center"/>
            </w:pPr>
            <w:r>
              <w:t xml:space="preserve">2,8</w:t>
            </w:r>
          </w:p>
        </w:tc>
        <w:tc>
          <w:tcPr>
            <w:tcBorders>
              <w:top w:val="single" w:sz="1"/>
              <w:left w:val="single" w:sz="1"/>
              <w:bottom w:val="single" w:sz="1"/>
              <w:right w:val="single" w:sz="1"/>
            </w:tcBorders>
          </w:tcPr>
          <w:p>
            <w:pPr>
              <w:jc w:val="center"/>
            </w:pPr>
            <w:r>
              <w:t xml:space="preserve">2,7</w:t>
            </w:r>
          </w:p>
        </w:tc>
        <w:tc>
          <w:tcPr>
            <w:tcBorders>
              <w:top w:val="single" w:sz="1"/>
              <w:left w:val="single" w:sz="1"/>
              <w:bottom w:val="single" w:sz="1"/>
              <w:right w:val="single" w:sz="1"/>
            </w:tcBorders>
          </w:tcPr>
          <w:p>
            <w:pPr>
              <w:jc w:val="center"/>
            </w:pPr>
            <w:r>
              <w:t xml:space="preserve">+0,1</w:t>
            </w:r>
          </w:p>
        </w:tc>
      </w:tr>
    </w:tbl>
    <w:p>
      <w:pPr>
        <w:spacing w:after="120"/>
        <w:jc w:val="both"/>
      </w:pPr>
      <w:r>
        <w:t xml:space="preserve">Fuente: INDEC (Informes de IPC 2024 y 2025); BCRA (Informe Anual al Congreso 2024).</w:t>
      </w:r>
    </w:p>
    <w:p>
      <w:pPr>
        <w:spacing w:after="120"/>
        <w:jc w:val="both"/>
      </w:pPr>
      <w:r>
        <w:t xml:space="preserve">La comparación revela una caída promedio mensual de más de </w:t>
      </w:r>
      <w:r>
        <w:rPr>
          <w:b/>
          <w:bCs/>
        </w:rPr>
        <w:t xml:space="preserve">8 puntos porcentuales</w:t>
      </w:r>
      <w:r>
        <w:t xml:space="preserve">, atribuible al equilibrio fiscal alcanzado desde enero de 2024 y la contracción monetaria reportada por el BCRA, que redujo la base monetaria amplia a precios constantes en </w:t>
      </w:r>
      <w:r>
        <w:rPr>
          <w:b/>
          <w:bCs/>
        </w:rPr>
        <w:t xml:space="preserve">36%</w:t>
      </w:r>
      <w:r>
        <w:t xml:space="preserve"> entre junio y diciembre de 2024.</w:t>
      </w:r>
    </w:p>
    <w:p>
      <w:pPr>
        <w:pStyle w:val="Heading4"/>
        <w:spacing w:before="240" w:after="120"/>
      </w:pPr>
      <w:r>
        <w:t xml:space="preserve">Contribución de Rubros Específicos</w:t>
      </w:r>
    </w:p>
    <w:p>
      <w:pPr>
        <w:spacing w:after="120"/>
        <w:jc w:val="both"/>
      </w:pPr>
      <w:r>
        <w:t xml:space="preserve">Los rubros de </w:t>
      </w:r>
      <w:r>
        <w:rPr>
          <w:b/>
          <w:bCs/>
        </w:rPr>
        <w:t xml:space="preserve">alimentos y bebidas no alcohólicas</w:t>
      </w:r>
      <w:r>
        <w:t xml:space="preserve"> y </w:t>
      </w:r>
      <w:r>
        <w:rPr>
          <w:b/>
          <w:bCs/>
        </w:rPr>
        <w:t xml:space="preserve">servicios</w:t>
      </w:r>
      <w:r>
        <w:t xml:space="preserve"> mantuvieron una incidencia significativa en la dinámica inflacionaria. En diciembre de 2025, alimentos registraron un alza del </w:t>
      </w:r>
      <w:r>
        <w:rPr>
          <w:b/>
          <w:bCs/>
        </w:rPr>
        <w:t xml:space="preserve">4,7%</w:t>
      </w:r>
      <w:r>
        <w:t xml:space="preserve"> mensual, contribuyendo con aproximadamente </w:t>
      </w:r>
      <w:r>
        <w:rPr>
          <w:b/>
          <w:bCs/>
        </w:rPr>
        <w:t xml:space="preserve">1,2 puntos porcentuales</w:t>
      </w:r>
      <w:r>
        <w:t xml:space="preserve"> al IPC general, según desglose del INDEC. Este comportamiento se repitió en meses previos, donde alimentos superaron sistemáticamente la variación general, con picos del </w:t>
      </w:r>
      <w:r>
        <w:rPr>
          <w:b/>
          <w:bCs/>
        </w:rPr>
        <w:t xml:space="preserve">4,1%</w:t>
      </w:r>
      <w:r>
        <w:t xml:space="preserve"> en restaurantes y hoteles.</w:t>
      </w:r>
    </w:p>
    <w:p>
      <w:pPr>
        <w:spacing w:after="120"/>
        <w:jc w:val="both"/>
      </w:pPr>
      <w:r>
        <w:t xml:space="preserve">Los </w:t>
      </w:r>
      <w:r>
        <w:rPr>
          <w:b/>
          <w:bCs/>
        </w:rPr>
        <w:t xml:space="preserve">servicios regulados</w:t>
      </w:r>
      <w:r>
        <w:t xml:space="preserve">, como vivienda, agua, electricidad, gas y combustibles, mostraron incrementos moderados pero persistentes. En septiembre de 2025, este rubro aumentó </w:t>
      </w:r>
      <w:r>
        <w:rPr>
          <w:b/>
          <w:bCs/>
        </w:rPr>
        <w:t xml:space="preserve">2,4%</w:t>
      </w:r>
      <w:r>
        <w:t xml:space="preserve"> en la Ciudad de Buenos Aires (IPCBA), con incidencia de </w:t>
      </w:r>
      <w:r>
        <w:rPr>
          <w:b/>
          <w:bCs/>
        </w:rPr>
        <w:t xml:space="preserve">0,48 p.p.</w:t>
      </w:r>
      <w:r>
        <w:t xml:space="preserve"> en el IPC local, tendencia alineada con el nacional. Anualmente, servicios públicos acumularon variaciones por encima del promedio, alcanzando </w:t>
      </w:r>
      <w:r>
        <w:rPr>
          <w:b/>
          <w:bCs/>
        </w:rPr>
        <w:t xml:space="preserve">37,6%</w:t>
      </w:r>
      <w:r>
        <w:t xml:space="preserve"> en la CBA (Coeficiente de Canasta Básica).</w:t>
      </w:r>
    </w:p>
    <w:p>
      <w:pPr>
        <w:spacing w:after="120"/>
        <w:jc w:val="both"/>
      </w:pPr>
      <w:r>
        <w:t xml:space="preserve">Otros componentes, como </w:t>
      </w:r>
      <w:r>
        <w:rPr>
          <w:b/>
          <w:bCs/>
        </w:rPr>
        <w:t xml:space="preserve">recreación y cultura</w:t>
      </w:r>
      <w:r>
        <w:t xml:space="preserve"> (</w:t>
      </w:r>
      <w:r>
        <w:rPr>
          <w:b/>
          <w:bCs/>
        </w:rPr>
        <w:t xml:space="preserve">30,5%</w:t>
      </w:r>
      <w:r>
        <w:t xml:space="preserve"> anual) y </w:t>
      </w:r>
      <w:r>
        <w:rPr>
          <w:b/>
          <w:bCs/>
        </w:rPr>
        <w:t xml:space="preserve">salud</w:t>
      </w:r>
      <w:r>
        <w:t xml:space="preserve"> (</w:t>
      </w:r>
      <w:r>
        <w:rPr>
          <w:b/>
          <w:bCs/>
        </w:rPr>
        <w:t xml:space="preserve">28,2%</w:t>
      </w:r>
      <w:r>
        <w:t xml:space="preserve">), quedaron por debajo de la inflación general, reflejando la ponderación reducida de bienes no transables. La </w:t>
      </w:r>
      <w:r>
        <w:rPr>
          <w:b/>
          <w:bCs/>
        </w:rPr>
        <w:t xml:space="preserve">inflación núcleo</w:t>
      </w:r>
      <w:r>
        <w:t xml:space="preserve">, que excluye volátiles como combustibles y alimentos, se aceleró levemente a </w:t>
      </w:r>
      <w:r>
        <w:rPr>
          <w:b/>
          <w:bCs/>
        </w:rPr>
        <w:t xml:space="preserve">2,6%</w:t>
      </w:r>
      <w:r>
        <w:t xml:space="preserve"> en noviembre, alcanzando </w:t>
      </w:r>
      <w:r>
        <w:rPr>
          <w:b/>
          <w:bCs/>
        </w:rPr>
        <w:t xml:space="preserve">33,3%</w:t>
      </w:r>
      <w:r>
        <w:t xml:space="preserve"> interanual.</w:t>
      </w:r>
    </w:p>
    <w:p>
      <w:pPr>
        <w:pStyle w:val="Heading4"/>
        <w:spacing w:before="240" w:after="120"/>
      </w:pPr>
      <w:r>
        <w:t xml:space="preserve">Análisis de Tendencias Trimestrales</w:t>
      </w:r>
    </w:p>
    <w:p>
      <w:pPr>
        <w:pStyle w:val="ListParagraph"/>
        <w:numPr>
          <w:ilvl w:val="0"/>
          <w:numId w:val="1"/>
        </w:numPr>
        <w:spacing w:after="100"/>
      </w:pPr>
      <w:r>
        <w:t xml:space="preserve">**Primer trimestre**: Acumulado del **8,6%**, impulsado por el pico de marzo (**3,7%**), con fuerte aporte de alimentos (**+4,7%** en algunos meses) y ajustes post-devaluación residuales de 2024.</w:t>
      </w:r>
    </w:p>
    <w:p>
      <w:pPr>
        <w:pStyle w:val="ListParagraph"/>
        <w:numPr>
          <w:ilvl w:val="0"/>
          <w:numId w:val="1"/>
        </w:numPr>
        <w:spacing w:after="100"/>
      </w:pPr>
      <w:r>
        <w:t xml:space="preserve">**Segundo trimestre**: Desaceleración a **5,9%** acumulado, mínimo en mayo (**1,5%**), alineado con proyecciones del REM del BCRA.</w:t>
      </w:r>
    </w:p>
    <w:p>
      <w:pPr>
        <w:pStyle w:val="ListParagraph"/>
        <w:numPr>
          <w:ilvl w:val="0"/>
          <w:numId w:val="1"/>
        </w:numPr>
        <w:spacing w:after="100"/>
      </w:pPr>
      <w:r>
        <w:t xml:space="preserve">**Tercer trimestre**: Estabilidad en **6,0%**, con interanuales descendiendo de **36,6%** (julio) a **31,8%** (septiembre).</w:t>
      </w:r>
    </w:p>
    <w:p>
      <w:pPr>
        <w:pStyle w:val="ListParagraph"/>
        <w:numPr>
          <w:ilvl w:val="0"/>
          <w:numId w:val="1"/>
        </w:numPr>
        <w:spacing w:after="100"/>
      </w:pPr>
      <w:r>
        <w:t xml:space="preserve">**Cuarto trimestre**: Cierre en **7,6%**, con diciembre (**2,8%**) por encima del promedio mensual del período.</w:t>
      </w:r>
    </w:p>
    <w:p>
      <w:pPr>
        <w:spacing w:after="120"/>
        <w:jc w:val="both"/>
      </w:pPr>
      <w:r>
        <w:t xml:space="preserve">Esta estructura confirma la estabilización macroeconómica, como señala el Informe de Política Monetaria del BCRA (diciembre 2025), donde se destaca el sostenimiento del equilibrio fiscal desde enero de 2024.</w:t>
      </w:r>
    </w:p>
    <w:p>
      <w:pPr>
        <w:spacing w:after="120"/>
        <w:jc w:val="both"/>
      </w:pPr>
      <w:r>
        <w:t xml:space="preserve">En síntesis, la trayectoria del IPC-INDEC en 2025 evidencia un control exitoso de la inflación, con tasas mensuales inferiores al </w:t>
      </w:r>
      <w:r>
        <w:rPr>
          <w:b/>
          <w:bCs/>
        </w:rPr>
        <w:t xml:space="preserve">3%</w:t>
      </w:r>
      <w:r>
        <w:t xml:space="preserve"> en promedio y una anual del </w:t>
      </w:r>
      <w:r>
        <w:rPr>
          <w:b/>
          <w:bCs/>
        </w:rPr>
        <w:t xml:space="preserve">31,5%</w:t>
      </w:r>
      <w:r>
        <w:t xml:space="preserve">, frente al </w:t>
      </w:r>
      <w:r>
        <w:rPr>
          <w:b/>
          <w:bCs/>
        </w:rPr>
        <w:t xml:space="preserve">117,8%</w:t>
      </w:r>
      <w:r>
        <w:t xml:space="preserve"> de 2024. La contribución desproporcionada de alimentos y servicios subraya la necesidad de monitoreo continuo en estos segmentos para consolidar la desinflación.</w:t>
      </w:r>
    </w:p>
    <w:p>
      <w:pPr>
        <w:pStyle w:val="Heading2"/>
        <w:spacing w:before="240" w:after="120"/>
      </w:pPr>
      <w:r>
        <w:t xml:space="preserve">2.2 Factores Causales y Proyecciones Corto Plazo</w:t>
      </w:r>
    </w:p>
    <w:p>
      <w:pPr>
        <w:spacing w:after="120"/>
        <w:jc w:val="both"/>
      </w:pPr>
      <w:r>
        <w:t xml:space="preserve">La desaceleración de la inflación en Argentina durante </w:t>
      </w:r>
      <w:r>
        <w:rPr>
          <w:b/>
          <w:bCs/>
        </w:rPr>
        <w:t xml:space="preserve">2025</w:t>
      </w:r>
      <w:r>
        <w:t xml:space="preserve">, que cerró en un </w:t>
      </w:r>
      <w:r>
        <w:rPr>
          <w:b/>
          <w:bCs/>
        </w:rPr>
        <w:t xml:space="preserve">31,5% anual</w:t>
      </w:r>
      <w:r>
        <w:t xml:space="preserve"> según datos del INDEC, respondió a una combinación de medidas de política económica implementadas por el gobierno de Javier Milei. Estos factores incluyeron un riguroso </w:t>
      </w:r>
      <w:r>
        <w:rPr>
          <w:b/>
          <w:bCs/>
        </w:rPr>
        <w:t xml:space="preserve">ajuste fiscal</w:t>
      </w:r>
      <w:r>
        <w:t xml:space="preserve">, la adopción de un esquema de </w:t>
      </w:r>
      <w:r>
        <w:rPr>
          <w:b/>
          <w:bCs/>
        </w:rPr>
        <w:t xml:space="preserve">crawling peg</w:t>
      </w:r>
      <w:r>
        <w:t xml:space="preserve"> en el tipo de cambio y una </w:t>
      </w:r>
      <w:r>
        <w:rPr>
          <w:b/>
          <w:bCs/>
        </w:rPr>
        <w:t xml:space="preserve">recesión inducida</w:t>
      </w:r>
      <w:r>
        <w:t xml:space="preserve"> para comprimir la demanda agregada. Según el Informe Anual al Congreso 2024 del BCRA, estas políticas eliminaron el financiamiento monetario al Tesoro y corrigieron distorsiones en precios relativos.</w:t>
      </w:r>
    </w:p>
    <w:p>
      <w:pPr>
        <w:pStyle w:val="Heading3"/>
        <w:spacing w:before="240" w:after="120"/>
      </w:pPr>
      <w:r>
        <w:t xml:space="preserve">2.2.1 Ajuste Fiscal como Driver Principal</w:t>
      </w:r>
    </w:p>
    <w:p>
      <w:pPr>
        <w:spacing w:after="120"/>
        <w:jc w:val="both"/>
      </w:pPr>
      <w:r>
        <w:t xml:space="preserve">El ajuste fiscal primario alcanzó superávit en los primeros meses de 2024 y se mantuvo durante 2025, con una reducción real interanual del </w:t>
      </w:r>
      <w:r>
        <w:rPr>
          <w:b/>
          <w:bCs/>
        </w:rPr>
        <w:t xml:space="preserve">gasto de capital en -77,2%</w:t>
      </w:r>
      <w:r>
        <w:t xml:space="preserve">, según el Informe Anual al Congreso del BCRA. Esta contención se extendió a partidas corrientes, limitando la emisión monetaria por intereses y eliminando el déficit cuasifiscal del BCRA. De acuerdo con proyecciones del REM del BCRA, el equilibrio fiscal consolidó la estabilidad macroeconómica, reduciendo la presión inflacionaria desde su origen.</w:t>
      </w:r>
    </w:p>
    <w:p>
      <w:pPr>
        <w:spacing w:after="120"/>
        <w:jc w:val="both"/>
      </w:pPr>
      <w:r>
        <w:t xml:space="preserve">El impacto se evidenció en la inflación acumulada de </w:t>
      </w:r>
      <w:r>
        <w:rPr>
          <w:b/>
          <w:bCs/>
        </w:rPr>
        <w:t xml:space="preserve">24,8%</w:t>
      </w:r>
      <w:r>
        <w:t xml:space="preserve"> hasta octubre de 2025, frente al </w:t>
      </w:r>
      <w:r>
        <w:rPr>
          <w:b/>
          <w:bCs/>
        </w:rPr>
        <w:t xml:space="preserve">107%</w:t>
      </w:r>
      <w:r>
        <w:t xml:space="preserve"> del mismo período en 2023. La Ley de Bases y Puntos de Partida para la Libertad de los Argentinos (Ley N.º </w:t>
      </w:r>
      <w:r>
        <w:rPr>
          <w:b/>
          <w:bCs/>
        </w:rPr>
        <w:t xml:space="preserve">27.742</w:t>
      </w:r>
      <w:r>
        <w:t xml:space="preserve">), promulgada mediante Decreto </w:t>
      </w:r>
      <w:r>
        <w:rPr>
          <w:b/>
          <w:bCs/>
        </w:rPr>
        <w:t xml:space="preserve">592/2024</w:t>
      </w:r>
      <w:r>
        <w:t xml:space="preserve">, facilitó este ajuste al declarar emergencia pública y delegar facultades al Ejecutivo para reformar el Estado. Además, decretos reglamentarios como el </w:t>
      </w:r>
      <w:r>
        <w:rPr>
          <w:b/>
          <w:bCs/>
        </w:rPr>
        <w:t xml:space="preserve">847/2024</w:t>
      </w:r>
      <w:r>
        <w:t xml:space="preserve"> promovieron el empleo registrado, alineando incentivos laborales con la disciplina fiscal.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Indicador Fiscal</w:t>
            </w:r>
          </w:p>
        </w:tc>
        <w:tc>
          <w:tcPr>
            <w:tcBorders>
              <w:top w:val="single" w:sz="1"/>
              <w:left w:val="single" w:sz="1"/>
              <w:bottom w:val="single" w:sz="1"/>
              <w:right w:val="single" w:sz="1"/>
            </w:tcBorders>
            <w:shd w:fill="E7E6E6"/>
          </w:tcPr>
          <w:p>
            <w:pPr>
              <w:jc w:val="center"/>
            </w:pPr>
            <w:r>
              <w:t xml:space="preserve">2024 (real i.a.)</w:t>
            </w:r>
          </w:p>
        </w:tc>
        <w:tc>
          <w:tcPr>
            <w:tcBorders>
              <w:top w:val="single" w:sz="1"/>
              <w:left w:val="single" w:sz="1"/>
              <w:bottom w:val="single" w:sz="1"/>
              <w:right w:val="single" w:sz="1"/>
            </w:tcBorders>
            <w:shd w:fill="E7E6E6"/>
          </w:tcPr>
          <w:p>
            <w:pPr>
              <w:jc w:val="center"/>
            </w:pPr>
            <w:r>
              <w:t xml:space="preserve">2025 (acumulado)</w:t>
            </w:r>
          </w:p>
        </w:tc>
      </w:tr>
      <w:tr>
        <w:tc>
          <w:tcPr>
            <w:tcBorders>
              <w:top w:val="single" w:sz="1"/>
              <w:left w:val="single" w:sz="1"/>
              <w:bottom w:val="single" w:sz="1"/>
              <w:right w:val="single" w:sz="1"/>
            </w:tcBorders>
          </w:tcPr>
          <w:p>
            <w:pPr>
              <w:jc w:val="center"/>
            </w:pPr>
            <w:r>
              <w:t xml:space="preserve">Gasto de capital</w:t>
            </w:r>
          </w:p>
        </w:tc>
        <w:tc>
          <w:tcPr>
            <w:tcBorders>
              <w:top w:val="single" w:sz="1"/>
              <w:left w:val="single" w:sz="1"/>
              <w:bottom w:val="single" w:sz="1"/>
              <w:right w:val="single" w:sz="1"/>
            </w:tcBorders>
          </w:tcPr>
          <w:p>
            <w:pPr>
              <w:jc w:val="center"/>
            </w:pPr>
            <w:r>
              <w:t xml:space="preserve">-77,2%</w:t>
            </w:r>
          </w:p>
        </w:tc>
        <w:tc>
          <w:tcPr>
            <w:tcBorders>
              <w:top w:val="single" w:sz="1"/>
              <w:left w:val="single" w:sz="1"/>
              <w:bottom w:val="single" w:sz="1"/>
              <w:right w:val="single" w:sz="1"/>
            </w:tcBorders>
          </w:tcPr>
          <w:p>
            <w:pPr>
              <w:jc w:val="center"/>
            </w:pPr>
            <w:r>
              <w:t xml:space="preserve">Consolidado</w:t>
            </w:r>
          </w:p>
        </w:tc>
      </w:tr>
      <w:tr>
        <w:tc>
          <w:tcPr>
            <w:tcBorders>
              <w:top w:val="single" w:sz="1"/>
              <w:left w:val="single" w:sz="1"/>
              <w:bottom w:val="single" w:sz="1"/>
              <w:right w:val="single" w:sz="1"/>
            </w:tcBorders>
          </w:tcPr>
          <w:p>
            <w:pPr>
              <w:jc w:val="center"/>
            </w:pPr>
            <w:r>
              <w:t xml:space="preserve">Superávit primario</w:t>
            </w:r>
          </w:p>
        </w:tc>
        <w:tc>
          <w:tcPr>
            <w:tcBorders>
              <w:top w:val="single" w:sz="1"/>
              <w:left w:val="single" w:sz="1"/>
              <w:bottom w:val="single" w:sz="1"/>
              <w:right w:val="single" w:sz="1"/>
            </w:tcBorders>
          </w:tcPr>
          <w:p>
            <w:pPr>
              <w:jc w:val="center"/>
            </w:pPr>
            <w:r>
              <w:t xml:space="preserve">Positivo desde Q1</w:t>
            </w:r>
          </w:p>
        </w:tc>
        <w:tc>
          <w:tcPr>
            <w:tcBorders>
              <w:top w:val="single" w:sz="1"/>
              <w:left w:val="single" w:sz="1"/>
              <w:bottom w:val="single" w:sz="1"/>
              <w:right w:val="single" w:sz="1"/>
            </w:tcBorders>
          </w:tcPr>
          <w:p>
            <w:pPr>
              <w:jc w:val="center"/>
            </w:pPr>
            <w:r>
              <w:t xml:space="preserve">Mantenido</w:t>
            </w:r>
          </w:p>
        </w:tc>
      </w:tr>
      <w:tr>
        <w:tc>
          <w:tcPr>
            <w:tcBorders>
              <w:top w:val="single" w:sz="1"/>
              <w:left w:val="single" w:sz="1"/>
              <w:bottom w:val="single" w:sz="1"/>
              <w:right w:val="single" w:sz="1"/>
            </w:tcBorders>
          </w:tcPr>
          <w:p>
            <w:pPr>
              <w:jc w:val="center"/>
            </w:pPr>
            <w:r>
              <w:t xml:space="preserve">Emisión por intereses BCRA</w:t>
            </w:r>
          </w:p>
        </w:tc>
        <w:tc>
          <w:tcPr>
            <w:tcBorders>
              <w:top w:val="single" w:sz="1"/>
              <w:left w:val="single" w:sz="1"/>
              <w:bottom w:val="single" w:sz="1"/>
              <w:right w:val="single" w:sz="1"/>
            </w:tcBorders>
          </w:tcPr>
          <w:p>
            <w:pPr>
              <w:jc w:val="center"/>
            </w:pPr>
            <w:r>
              <w:t xml:space="preserve">Reducida</w:t>
            </w:r>
          </w:p>
        </w:tc>
        <w:tc>
          <w:tcPr>
            <w:tcBorders>
              <w:top w:val="single" w:sz="1"/>
              <w:left w:val="single" w:sz="1"/>
              <w:bottom w:val="single" w:sz="1"/>
              <w:right w:val="single" w:sz="1"/>
            </w:tcBorders>
          </w:tcPr>
          <w:p>
            <w:pPr>
              <w:jc w:val="center"/>
            </w:pPr>
            <w:r>
              <w:t xml:space="preserve">Eliminada</w:t>
            </w:r>
          </w:p>
        </w:tc>
      </w:tr>
    </w:tbl>
    <w:p>
      <w:pPr>
        <w:spacing w:after="120"/>
        <w:jc w:val="both"/>
      </w:pPr>
      <w:r>
        <w:t xml:space="preserve">Fuente: Informe Anual al Congreso 2024 - BCRA.</w:t>
      </w:r>
    </w:p>
    <w:p>
      <w:pPr>
        <w:pStyle w:val="Heading3"/>
        <w:spacing w:before="240" w:after="120"/>
      </w:pPr>
      <w:r>
        <w:t xml:space="preserve">2.2.2 Crawling Peg del Tipo de Cambio</w:t>
      </w:r>
    </w:p>
    <w:p>
      <w:pPr>
        <w:spacing w:after="120"/>
        <w:jc w:val="both"/>
      </w:pPr>
      <w:r>
        <w:t xml:space="preserve">Tras la devaluación inicial, el BCRA implementó un </w:t>
      </w:r>
      <w:r>
        <w:rPr>
          <w:b/>
          <w:bCs/>
        </w:rPr>
        <w:t xml:space="preserve">crawling peg</w:t>
      </w:r>
      <w:r>
        <w:t xml:space="preserve"> al </w:t>
      </w:r>
      <w:r>
        <w:rPr>
          <w:b/>
          <w:bCs/>
        </w:rPr>
        <w:t xml:space="preserve">2% mensual</w:t>
      </w:r>
      <w:r>
        <w:t xml:space="preserve">, reducido al </w:t>
      </w:r>
      <w:r>
        <w:rPr>
          <w:b/>
          <w:bCs/>
        </w:rPr>
        <w:t xml:space="preserve">1%</w:t>
      </w:r>
      <w:r>
        <w:t xml:space="preserve"> desde febrero de 2025, en respuesta a la inflación de diciembre 2024 del </w:t>
      </w:r>
      <w:r>
        <w:rPr>
          <w:b/>
          <w:bCs/>
        </w:rPr>
        <w:t xml:space="preserve">2,7%</w:t>
      </w:r>
      <w:r>
        <w:t xml:space="preserve">. Esta desaceleración buscó consolidar la tendencia bajista de precios, como anunció el BCRA en su comunicado del 1 de febrero de 2025. El esquema limitó la passthrough inflacionario del dólar oficial, estabilizando expectativas según el Informe Monetario Mensual de enero 2025.</w:t>
      </w:r>
    </w:p>
    <w:p>
      <w:pPr>
        <w:spacing w:after="120"/>
        <w:jc w:val="both"/>
      </w:pPr>
      <w:r>
        <w:t xml:space="preserve">En noviembre de 2024, la tasa de política monetaria descendió de </w:t>
      </w:r>
      <w:r>
        <w:rPr>
          <w:b/>
          <w:bCs/>
        </w:rPr>
        <w:t xml:space="preserve">40% a 35%</w:t>
      </w:r>
      <w:r>
        <w:t xml:space="preserve">, continuando una serie de siete bajas durante 2024 que la llevaron a </w:t>
      </w:r>
      <w:r>
        <w:rPr>
          <w:b/>
          <w:bCs/>
        </w:rPr>
        <w:t xml:space="preserve">32%</w:t>
      </w:r>
      <w:r>
        <w:t xml:space="preserve"> tn. Este ajuste, combinado con el nuevo régimen de acceso al Mercado Libre de Cambios (MLC), redujo la brecha cambiaria y apoyó la convergencia inflacionaria. Proyecciones del REM estiman el tipo de cambio en </w:t>
      </w:r>
      <w:r>
        <w:rPr>
          <w:b/>
          <w:bCs/>
        </w:rPr>
        <w:t xml:space="preserve">$1.472,9</w:t>
      </w:r>
      <w:r>
        <w:t xml:space="preserve"> para diciembre 2025, alineado con inflación proyectada del </w:t>
      </w:r>
      <w:r>
        <w:rPr>
          <w:b/>
          <w:bCs/>
        </w:rPr>
        <w:t xml:space="preserve">20,5%</w:t>
      </w:r>
      <w:r>
        <w:t xml:space="preserve"> anual.</w:t>
      </w:r>
    </w:p>
    <w:p>
      <w:pPr>
        <w:spacing w:after="120"/>
        <w:jc w:val="both"/>
      </w:pPr>
      <w:r>
        <w:t xml:space="preserve">El crawling peg al 1% implicó un sendero de devaluación de </w:t>
      </w:r>
      <w:r>
        <w:rPr>
          <w:b/>
          <w:bCs/>
        </w:rPr>
        <w:t xml:space="preserve">12% anual</w:t>
      </w:r>
      <w:r>
        <w:t xml:space="preserve">, inferior al IPC esperado, generando un tipo de cambio real multilateral apreciado. Según analistas citados por Infobae, esta política enfrentó presiones estacionales pero sostuvo la pax cambiaria hasta las elecciones legislativas de octubre 2025.</w:t>
      </w:r>
    </w:p>
    <w:p>
      <w:pPr>
        <w:pStyle w:val="Heading3"/>
        <w:spacing w:before="240" w:after="120"/>
      </w:pPr>
      <w:r>
        <w:t xml:space="preserve">2.2.3 Recesión Inducida y Compresión Demanda</w:t>
      </w:r>
    </w:p>
    <w:p>
      <w:pPr>
        <w:spacing w:after="120"/>
        <w:jc w:val="both"/>
      </w:pPr>
      <w:r>
        <w:t xml:space="preserve">La recesión, con caída del PBI proyectada inicialmente en </w:t>
      </w:r>
      <w:r>
        <w:rPr>
          <w:b/>
          <w:bCs/>
        </w:rPr>
        <w:t xml:space="preserve">-5%</w:t>
      </w:r>
      <w:r>
        <w:t xml:space="preserve"> para 2024 y recuperación moderada en 2025 al </w:t>
      </w:r>
      <w:r>
        <w:rPr>
          <w:b/>
          <w:bCs/>
        </w:rPr>
        <w:t xml:space="preserve">1,81%</w:t>
      </w:r>
      <w:r>
        <w:t xml:space="preserve">, comprimió la demanda interna y moderó presiones inflacionarias. Datos del BCRA indican que la base monetaria creció un </w:t>
      </w:r>
      <w:r>
        <w:rPr>
          <w:b/>
          <w:bCs/>
        </w:rPr>
        <w:t xml:space="preserve">1,2% mensual</w:t>
      </w:r>
      <w:r>
        <w:t xml:space="preserve"> a precios constantes en octubre 2024, similar al mes previo, evitando expansiones descontroladas. Esta dinámica se reforzó con la eliminación de LEFI y pases pasivos, endureciendo condiciones financieras.</w:t>
      </w:r>
    </w:p>
    <w:p>
      <w:pPr>
        <w:spacing w:after="120"/>
        <w:jc w:val="both"/>
      </w:pPr>
      <w:r>
        <w:t xml:space="preserve">La inflación mayorista cerró 2025 en </w:t>
      </w:r>
      <w:r>
        <w:rPr>
          <w:b/>
          <w:bCs/>
        </w:rPr>
        <w:t xml:space="preserve">26,2%</w:t>
      </w:r>
      <w:r>
        <w:t xml:space="preserve">, con bienes importados al </w:t>
      </w:r>
      <w:r>
        <w:rPr>
          <w:b/>
          <w:bCs/>
        </w:rPr>
        <w:t xml:space="preserve">1,5%</w:t>
      </w:r>
      <w:r>
        <w:t xml:space="preserve">, reflejando menor indexación. Economistas de FIEL y LCG destacan que la recesión, aunque costosa socialmente, permitió desinflación inercia, con mensualidades descendiendo a </w:t>
      </w:r>
      <w:r>
        <w:rPr>
          <w:b/>
          <w:bCs/>
        </w:rPr>
        <w:t xml:space="preserve">2,3%</w:t>
      </w:r>
      <w:r>
        <w:t xml:space="preserve"> en octubre 2025.</w:t>
      </w:r>
    </w:p>
    <w:p>
      <w:pPr>
        <w:pStyle w:val="Heading3"/>
        <w:spacing w:before="240" w:after="120"/>
      </w:pPr>
      <w:r>
        <w:t xml:space="preserve">2.2.4 Riesgos de Rebote Inflacionario</w:t>
      </w:r>
    </w:p>
    <w:p>
      <w:pPr>
        <w:spacing w:after="120"/>
        <w:jc w:val="both"/>
      </w:pPr>
      <w:r>
        <w:t xml:space="preserve">Las elecciones legislativas de octubre 2025 introdujeron riesgos de rebote, con expectativas de inflación deterioradas tras datos de enero 2026 por encima de lo esperado. El mercado anticipa presiones por demanda preelectoral o relajar disciplina fiscal, según el último REM. Además, la prórroga presupuestaria del 2023 al 2025 vía decreto generó tensiones, con críticas de Lousteau al esquema cambiario.</w:t>
      </w:r>
    </w:p>
    <w:p>
      <w:pPr>
        <w:spacing w:after="120"/>
        <w:jc w:val="both"/>
      </w:pPr>
      <w:r>
        <w:t xml:space="preserve">Otros riesgos incluyen atraso cambiario si el crawling peg no ajusta a shocks externos, y volatilidad postelectoral. El BCRA advierte en su Informe de Estabilidad Financiera junio 2024 sobre vulnerabilidades en reservas netas, pese a mejoras en 2025.</w:t>
      </w:r>
    </w:p>
    <w:p>
      <w:pPr>
        <w:spacing w:after="120"/>
        <w:jc w:val="both"/>
      </w:pPr>
      <w:r>
        <w:t xml:space="preserve">• </w:t>
      </w:r>
      <w:r>
        <w:rPr>
          <w:b/>
          <w:bCs/>
        </w:rPr>
        <w:t xml:space="preserve">Riesgo electoral:</w:t>
      </w:r>
      <w:r>
        <w:t xml:space="preserve"> Populismo fiscal en midterm podría revertir superávit. • </w:t>
      </w:r>
      <w:r>
        <w:rPr>
          <w:b/>
          <w:bCs/>
        </w:rPr>
        <w:t xml:space="preserve">Externo:</w:t>
      </w:r>
      <w:r>
        <w:t xml:space="preserve"> Commodities y tasas globales impactan brecha. • </w:t>
      </w:r>
      <w:r>
        <w:rPr>
          <w:b/>
          <w:bCs/>
        </w:rPr>
        <w:t xml:space="preserve">Inercia:</w:t>
      </w:r>
      <w:r>
        <w:t xml:space="preserve"> Salarios y tarifas reguladas con rezagos.</w:t>
      </w:r>
    </w:p>
    <w:p>
      <w:pPr>
        <w:pStyle w:val="Heading3"/>
        <w:spacing w:before="240" w:after="120"/>
      </w:pPr>
      <w:r>
        <w:t xml:space="preserve">2.2.5 Proyecciones a Corto Plazo (2026)</w:t>
      </w:r>
    </w:p>
    <w:p>
      <w:pPr>
        <w:spacing w:after="120"/>
        <w:jc w:val="both"/>
      </w:pPr>
      <w:r>
        <w:t xml:space="preserve">Si se mantiene la disciplina fiscal y cambiaria, la inflación anual para </w:t>
      </w:r>
      <w:r>
        <w:rPr>
          <w:b/>
          <w:bCs/>
        </w:rPr>
        <w:t xml:space="preserve">2026</w:t>
      </w:r>
      <w:r>
        <w:t xml:space="preserve"> se proyecta entre </w:t>
      </w:r>
      <w:r>
        <w:rPr>
          <w:b/>
          <w:bCs/>
        </w:rPr>
        <w:t xml:space="preserve">25-35%</w:t>
      </w:r>
      <w:r>
        <w:t xml:space="preserve">, según consultoras relevadas por BCRA y LCG. El REM estima </w:t>
      </w:r>
      <w:r>
        <w:rPr>
          <w:b/>
          <w:bCs/>
        </w:rPr>
        <w:t xml:space="preserve">20,5%</w:t>
      </w:r>
      <w:r>
        <w:t xml:space="preserve"> para 2025 completo, descendiendo a </w:t>
      </w:r>
      <w:r>
        <w:rPr>
          <w:b/>
          <w:bCs/>
        </w:rPr>
        <w:t xml:space="preserve">2,1% mensual</w:t>
      </w:r>
      <w:r>
        <w:t xml:space="preserve"> en diciembre, pero analistas dudan de perforar </w:t>
      </w:r>
      <w:r>
        <w:rPr>
          <w:b/>
          <w:bCs/>
        </w:rPr>
        <w:t xml:space="preserve">2%</w:t>
      </w:r>
      <w:r>
        <w:t xml:space="preserve"> sostenido. Outlier considera el oficial </w:t>
      </w:r>
      <w:r>
        <w:rPr>
          <w:b/>
          <w:bCs/>
        </w:rPr>
        <w:t xml:space="preserve">10,1%</w:t>
      </w:r>
      <w:r>
        <w:t xml:space="preserve"> optimista, proyectando </w:t>
      </w:r>
      <w:r>
        <w:rPr>
          <w:b/>
          <w:bCs/>
        </w:rPr>
        <w:t xml:space="preserve">20%</w:t>
      </w:r>
      <w:r>
        <w:t xml:space="preserve"> cierre.</w:t>
      </w:r>
    </w:p>
    <w:p>
      <w:pPr>
        <w:spacing w:after="120"/>
        <w:jc w:val="both"/>
      </w:pPr>
      <w:r>
        <w:t xml:space="preserve">Escenarios: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Escenario</w:t>
            </w:r>
          </w:p>
        </w:tc>
        <w:tc>
          <w:tcPr>
            <w:tcBorders>
              <w:top w:val="single" w:sz="1"/>
              <w:left w:val="single" w:sz="1"/>
              <w:bottom w:val="single" w:sz="1"/>
              <w:right w:val="single" w:sz="1"/>
            </w:tcBorders>
            <w:shd w:fill="E7E6E6"/>
          </w:tcPr>
          <w:p>
            <w:pPr>
              <w:jc w:val="center"/>
            </w:pPr>
            <w:r>
              <w:t xml:space="preserve">Inflación 2026 (%)</w:t>
            </w:r>
          </w:p>
        </w:tc>
        <w:tc>
          <w:tcPr>
            <w:tcBorders>
              <w:top w:val="single" w:sz="1"/>
              <w:left w:val="single" w:sz="1"/>
              <w:bottom w:val="single" w:sz="1"/>
              <w:right w:val="single" w:sz="1"/>
            </w:tcBorders>
            <w:shd w:fill="E7E6E6"/>
          </w:tcPr>
          <w:p>
            <w:pPr>
              <w:jc w:val="center"/>
            </w:pPr>
            <w:r>
              <w:t xml:space="preserve">Condiciones</w:t>
            </w:r>
          </w:p>
        </w:tc>
      </w:tr>
      <w:tr>
        <w:tc>
          <w:tcPr>
            <w:tcBorders>
              <w:top w:val="single" w:sz="1"/>
              <w:left w:val="single" w:sz="1"/>
              <w:bottom w:val="single" w:sz="1"/>
              <w:right w:val="single" w:sz="1"/>
            </w:tcBorders>
          </w:tcPr>
          <w:p>
            <w:pPr>
              <w:jc w:val="center"/>
            </w:pPr>
            <w:r>
              <w:t xml:space="preserve">Base</w:t>
            </w:r>
          </w:p>
        </w:tc>
        <w:tc>
          <w:tcPr>
            <w:tcBorders>
              <w:top w:val="single" w:sz="1"/>
              <w:left w:val="single" w:sz="1"/>
              <w:bottom w:val="single" w:sz="1"/>
              <w:right w:val="single" w:sz="1"/>
            </w:tcBorders>
          </w:tcPr>
          <w:p>
            <w:pPr>
              <w:jc w:val="center"/>
            </w:pPr>
            <w:r>
              <w:t xml:space="preserve">25-30</w:t>
            </w:r>
          </w:p>
        </w:tc>
        <w:tc>
          <w:tcPr>
            <w:tcBorders>
              <w:top w:val="single" w:sz="1"/>
              <w:left w:val="single" w:sz="1"/>
              <w:bottom w:val="single" w:sz="1"/>
              <w:right w:val="single" w:sz="1"/>
            </w:tcBorders>
          </w:tcPr>
          <w:p>
            <w:pPr>
              <w:jc w:val="center"/>
            </w:pPr>
            <w:r>
              <w:t xml:space="preserve">Disciplina fiscal, crawling peg 1-1,5%</w:t>
            </w:r>
          </w:p>
        </w:tc>
      </w:tr>
      <w:tr>
        <w:tc>
          <w:tcPr>
            <w:tcBorders>
              <w:top w:val="single" w:sz="1"/>
              <w:left w:val="single" w:sz="1"/>
              <w:bottom w:val="single" w:sz="1"/>
              <w:right w:val="single" w:sz="1"/>
            </w:tcBorders>
          </w:tcPr>
          <w:p>
            <w:pPr>
              <w:jc w:val="center"/>
            </w:pPr>
            <w:r>
              <w:t xml:space="preserve">Optimista</w:t>
            </w:r>
          </w:p>
        </w:tc>
        <w:tc>
          <w:tcPr>
            <w:tcBorders>
              <w:top w:val="single" w:sz="1"/>
              <w:left w:val="single" w:sz="1"/>
              <w:bottom w:val="single" w:sz="1"/>
              <w:right w:val="single" w:sz="1"/>
            </w:tcBorders>
          </w:tcPr>
          <w:p>
            <w:pPr>
              <w:jc w:val="center"/>
            </w:pPr>
            <w:r>
              <w:t xml:space="preserve">&lt;25</w:t>
            </w:r>
          </w:p>
        </w:tc>
        <w:tc>
          <w:tcPr>
            <w:tcBorders>
              <w:top w:val="single" w:sz="1"/>
              <w:left w:val="single" w:sz="1"/>
              <w:bottom w:val="single" w:sz="1"/>
              <w:right w:val="single" w:sz="1"/>
            </w:tcBorders>
          </w:tcPr>
          <w:p>
            <w:pPr>
              <w:jc w:val="center"/>
            </w:pPr>
            <w:r>
              <w:t xml:space="preserve">Crecimiento PBI 5%, salida cepo</w:t>
            </w:r>
          </w:p>
        </w:tc>
      </w:tr>
      <w:tr>
        <w:tc>
          <w:tcPr>
            <w:tcBorders>
              <w:top w:val="single" w:sz="1"/>
              <w:left w:val="single" w:sz="1"/>
              <w:bottom w:val="single" w:sz="1"/>
              <w:right w:val="single" w:sz="1"/>
            </w:tcBorders>
          </w:tcPr>
          <w:p>
            <w:pPr>
              <w:jc w:val="center"/>
            </w:pPr>
            <w:r>
              <w:t xml:space="preserve">Pesimista</w:t>
            </w:r>
          </w:p>
        </w:tc>
        <w:tc>
          <w:tcPr>
            <w:tcBorders>
              <w:top w:val="single" w:sz="1"/>
              <w:left w:val="single" w:sz="1"/>
              <w:bottom w:val="single" w:sz="1"/>
              <w:right w:val="single" w:sz="1"/>
            </w:tcBorders>
          </w:tcPr>
          <w:p>
            <w:pPr>
              <w:jc w:val="center"/>
            </w:pPr>
            <w:r>
              <w:t xml:space="preserve">&gt;35</w:t>
            </w:r>
          </w:p>
        </w:tc>
        <w:tc>
          <w:tcPr>
            <w:tcBorders>
              <w:top w:val="single" w:sz="1"/>
              <w:left w:val="single" w:sz="1"/>
              <w:bottom w:val="single" w:sz="1"/>
              <w:right w:val="single" w:sz="1"/>
            </w:tcBorders>
          </w:tcPr>
          <w:p>
            <w:pPr>
              <w:jc w:val="center"/>
            </w:pPr>
            <w:r>
              <w:t xml:space="preserve">Rebote postelectoral, shocks externos</w:t>
            </w:r>
          </w:p>
        </w:tc>
      </w:tr>
    </w:tbl>
    <w:p>
      <w:pPr>
        <w:spacing w:after="120"/>
        <w:jc w:val="both"/>
      </w:pPr>
      <w:r>
        <w:t xml:space="preserve">Fuente: REM BCRA y proyecciones privadas (Infobae, Letra P).</w:t>
      </w:r>
    </w:p>
    <w:p>
      <w:pPr>
        <w:spacing w:after="120"/>
        <w:jc w:val="both"/>
      </w:pPr>
      <w:r>
        <w:t xml:space="preserve">La consolidación requiere armonizar recuperación (PBI +5% oficial) con baja inflacionaria, vía RIGI (Decreto 105/2026) y reforma tributaria. El BCRA enfatiza en Jornadas Monetarias 2024 la necesidad de anclas nominales creíbles para evitar ciclos inflacionarios.</w:t>
      </w:r>
    </w:p>
    <w:p>
      <w:pPr>
        <w:pStyle w:val="Heading1"/>
        <w:pageBreakBefore/>
        <w:spacing w:before="400" w:after="200"/>
      </w:pPr>
      <w:r>
        <w:t xml:space="preserve">Fuentes</w:t>
      </w:r>
    </w:p>
    <w:p>
      <w:pPr>
        <w:spacing w:after="100"/>
      </w:pPr>
      <w:r>
        <w:t xml:space="preserve">1. https://www.bcra.gob.ar/Pdfs/PublicacionesEstadisticas/REM230630%20Resultados%20web.pdf</w:t>
      </w:r>
      <w:r>
        <w:rPr>
          <w:b/>
          <w:bCs/>
        </w:rPr>
        <w:t xml:space="preserve">1. </w:t>
      </w:r>
      <w:r>
        <w:rPr>
          <w:color w:val="0563C1"/>
          <w:u w:val="single"/>
        </w:rPr>
        <w:t xml:space="preserve">https://www.bcra.gob.ar/Pdfs/PublicacionesEstadisticas/REM230630%20Resultados%20web.pdf</w:t>
      </w:r>
    </w:p>
    <w:p>
      <w:pPr>
        <w:spacing w:after="100"/>
      </w:pPr>
      <w:r>
        <w:t xml:space="preserve">2. https://www.bcra.gob.ar/archivos/Pdfs/PublicacionesEstadisticas/Informecongreso2024.pdf</w:t>
      </w:r>
      <w:r>
        <w:rPr>
          <w:b/>
          <w:bCs/>
        </w:rPr>
        <w:t xml:space="preserve">2. </w:t>
      </w:r>
      <w:r>
        <w:rPr>
          <w:color w:val="0563C1"/>
          <w:u w:val="single"/>
        </w:rPr>
        <w:t xml:space="preserve">https://www.bcra.gob.ar/archivos/Pdfs/PublicacionesEstadisticas/Informecongreso2024.pdf</w:t>
      </w:r>
    </w:p>
    <w:p>
      <w:pPr>
        <w:spacing w:after="100"/>
      </w:pPr>
      <w:r>
        <w:t xml:space="preserve">3. https://www.bcra.gob.ar/archivos/Pdfs/Noticias/Nota-de-Prensa-23-07-24.pdf</w:t>
      </w:r>
      <w:r>
        <w:rPr>
          <w:b/>
          <w:bCs/>
        </w:rPr>
        <w:t xml:space="preserve">3. </w:t>
      </w:r>
      <w:r>
        <w:rPr>
          <w:color w:val="0563C1"/>
          <w:u w:val="single"/>
        </w:rPr>
        <w:t xml:space="preserve">https://www.bcra.gob.ar/archivos/Pdfs/Noticias/Nota-de-Prensa-23-07-24.pdf</w:t>
      </w:r>
    </w:p>
    <w:p>
      <w:pPr>
        <w:spacing w:after="100"/>
      </w:pPr>
      <w:r>
        <w:t xml:space="preserve">4. https://www.bcra.gob.ar/archivos/Pdfs/PublicacionesEstadisticas/REM220131%20Resultados%20web.pdf</w:t>
      </w:r>
      <w:r>
        <w:rPr>
          <w:b/>
          <w:bCs/>
        </w:rPr>
        <w:t xml:space="preserve">4. </w:t>
      </w:r>
      <w:r>
        <w:rPr>
          <w:color w:val="0563C1"/>
          <w:u w:val="single"/>
        </w:rPr>
        <w:t xml:space="preserve">https://www.bcra.gob.ar/archivos/Pdfs/PublicacionesEstadisticas/REM220131%20Resultados%20web.pdf</w:t>
      </w:r>
    </w:p>
    <w:p>
      <w:pPr>
        <w:spacing w:after="100"/>
      </w:pPr>
      <w:r>
        <w:t xml:space="preserve">5. https://www.estadisticaciudad.gob.ar/eyc/wp-content/uploads/2025/10/ir_2025_1983.pdf</w:t>
      </w:r>
      <w:r>
        <w:rPr>
          <w:b/>
          <w:bCs/>
        </w:rPr>
        <w:t xml:space="preserve">5. </w:t>
      </w:r>
      <w:r>
        <w:rPr>
          <w:color w:val="0563C1"/>
          <w:u w:val="single"/>
        </w:rPr>
        <w:t xml:space="preserve">https://www.estadisticaciudad.gob.ar/eyc/wp-content/uploads/2025/10/ir_2025_1983.pdf</w:t>
      </w:r>
    </w:p>
    <w:p>
      <w:pPr>
        <w:spacing w:after="100"/>
      </w:pPr>
      <w:r>
        <w:t xml:space="preserve">6. https://www.bcra.gob.ar/archivos/Pdfs/PublicacionesEstadisticas/REM211230%20Resultados%20web.pdf</w:t>
      </w:r>
      <w:r>
        <w:rPr>
          <w:b/>
          <w:bCs/>
        </w:rPr>
        <w:t xml:space="preserve">6. </w:t>
      </w:r>
      <w:r>
        <w:rPr>
          <w:color w:val="0563C1"/>
          <w:u w:val="single"/>
        </w:rPr>
        <w:t xml:space="preserve">https://www.bcra.gob.ar/archivos/Pdfs/PublicacionesEstadisticas/REM211230%20Resultados%20web.pdf</w:t>
      </w:r>
    </w:p>
    <w:p>
      <w:pPr>
        <w:spacing w:after="100"/>
      </w:pPr>
      <w:r>
        <w:t xml:space="preserve">7. https://legislaturacba.gob.ar/wp-content/uploads/2025/08/Informe-de-Recaudaci%C3%B3n-Anual-2024.-Comparaci%C3%B3n-entre-provincias.pdf</w:t>
      </w:r>
      <w:r>
        <w:rPr>
          <w:b/>
          <w:bCs/>
        </w:rPr>
        <w:t xml:space="preserve">7. </w:t>
      </w:r>
      <w:r>
        <w:rPr>
          <w:color w:val="0563C1"/>
          <w:u w:val="single"/>
        </w:rPr>
        <w:t xml:space="preserve">https://legislaturacba.gob.ar/wp-content/uploads/2025/08/Informe-de-Recaudaci%C3%B3n-Anual-2024.-Comparaci%C3%B3n-entre-provincias.pdf</w:t>
      </w:r>
    </w:p>
    <w:p>
      <w:pPr>
        <w:spacing w:after="100"/>
      </w:pPr>
      <w:r>
        <w:t xml:space="preserve">8. https://www.economia.gob.ar/onp/documentos/info_avance/InfoAvance2025.pdf</w:t>
      </w:r>
      <w:r>
        <w:rPr>
          <w:b/>
          <w:bCs/>
        </w:rPr>
        <w:t xml:space="preserve">8. </w:t>
      </w:r>
      <w:r>
        <w:rPr>
          <w:color w:val="0563C1"/>
          <w:u w:val="single"/>
        </w:rPr>
        <w:t xml:space="preserve">https://www.economia.gob.ar/onp/documentos/info_avance/InfoAvance2025.pdf</w:t>
      </w:r>
    </w:p>
    <w:p>
      <w:pPr>
        <w:spacing w:after="100"/>
      </w:pPr>
      <w:r>
        <w:t xml:space="preserve">9. https://www.bcra.gob.ar/publicaciones/informe-politica-monetaria-tercer-trimestre-2023/</w:t>
      </w:r>
      <w:r>
        <w:rPr>
          <w:b/>
          <w:bCs/>
        </w:rPr>
        <w:t xml:space="preserve">9. </w:t>
      </w:r>
      <w:r>
        <w:rPr>
          <w:color w:val="0563C1"/>
          <w:u w:val="single"/>
        </w:rPr>
        <w:t xml:space="preserve">https://www.bcra.gob.ar/publicaciones/informe-politica-monetaria-tercer-trimestre-2023/</w:t>
      </w:r>
    </w:p>
    <w:p>
      <w:pPr>
        <w:spacing w:after="100"/>
      </w:pPr>
      <w:r>
        <w:t xml:space="preserve">10. https://www.estadisticaciudad.gob.ar/eyc/wp-content/uploads/2025/01/ir_2025_1916.pdf</w:t>
      </w:r>
      <w:r>
        <w:rPr>
          <w:b/>
          <w:bCs/>
        </w:rPr>
        <w:t xml:space="preserve">10. </w:t>
      </w:r>
      <w:r>
        <w:rPr>
          <w:color w:val="0563C1"/>
          <w:u w:val="single"/>
        </w:rPr>
        <w:t xml:space="preserve">https://www.estadisticaciudad.gob.ar/eyc/wp-content/uploads/2025/01/ir_2025_1916.pdf</w:t>
      </w:r>
    </w:p>
    <w:p>
      <w:pPr>
        <w:spacing w:after="100"/>
      </w:pPr>
      <w:r>
        <w:t xml:space="preserve">11. https://www.facebook.com/Chequeado/posts/la-inflaci%C3%B3n-de-septiembre-de-2024-fue-del-35-y-acumula-un-alza-de-1016-en-los-p/1256489782422918/</w:t>
      </w:r>
      <w:r>
        <w:rPr>
          <w:b/>
          <w:bCs/>
        </w:rPr>
        <w:t xml:space="preserve">11. </w:t>
      </w:r>
      <w:r>
        <w:rPr>
          <w:color w:val="0563C1"/>
          <w:u w:val="single"/>
        </w:rPr>
        <w:t xml:space="preserve">https://www.facebook.com/Chequeado/posts/la-inflaci%C3%B3n-de-septiembre-de-2024-fue-del-35-y-acumula-un-alza-de-1016-en-los-p/1256489782422918/</w:t>
      </w:r>
    </w:p>
    <w:p>
      <w:pPr>
        <w:spacing w:after="100"/>
      </w:pPr>
      <w:r>
        <w:t xml:space="preserve">12. https://universidadeshoy.com.ar/nota/77571/un-informe-de-la-di-tella-afirma-que-la-inflacion-es-el-doble-que-la-publicada-por-el-indec/</w:t>
      </w:r>
      <w:r>
        <w:rPr>
          <w:b/>
          <w:bCs/>
        </w:rPr>
        <w:t xml:space="preserve">12. </w:t>
      </w:r>
      <w:r>
        <w:rPr>
          <w:color w:val="0563C1"/>
          <w:u w:val="single"/>
        </w:rPr>
        <w:t xml:space="preserve">https://universidadeshoy.com.ar/nota/77571/un-informe-de-la-di-tella-afirma-que-la-inflacion-es-el-doble-que-la-publicada-por-el-indec/</w:t>
      </w:r>
    </w:p>
    <w:p>
      <w:pPr>
        <w:spacing w:after="100"/>
      </w:pPr>
      <w:r>
        <w:t xml:space="preserve">13. https://laestravels.com.ar/ver2.0/noticia_1.php?id=34870</w:t>
      </w:r>
      <w:r>
        <w:rPr>
          <w:b/>
          <w:bCs/>
        </w:rPr>
        <w:t xml:space="preserve">13. </w:t>
      </w:r>
      <w:r>
        <w:rPr>
          <w:color w:val="0563C1"/>
          <w:u w:val="single"/>
        </w:rPr>
        <w:t xml:space="preserve">https://laestravels.com.ar/ver2.0/noticia_1.php?id=34870</w:t>
      </w:r>
    </w:p>
    <w:p>
      <w:pPr>
        <w:spacing w:after="100"/>
      </w:pPr>
      <w:r>
        <w:t xml:space="preserve">14. https://www.pagina12.com.ar/2026/01/18/se-escapa-la-tortuga-inflacionaria-2/</w:t>
      </w:r>
      <w:r>
        <w:rPr>
          <w:b/>
          <w:bCs/>
        </w:rPr>
        <w:t xml:space="preserve">14. </w:t>
      </w:r>
      <w:r>
        <w:rPr>
          <w:color w:val="0563C1"/>
          <w:u w:val="single"/>
        </w:rPr>
        <w:t xml:space="preserve">https://www.pagina12.com.ar/2026/01/18/se-escapa-la-tortuga-inflacionaria-2/</w:t>
      </w:r>
    </w:p>
    <w:p>
      <w:pPr>
        <w:spacing w:after="100"/>
      </w:pPr>
      <w:r>
        <w:t xml:space="preserve">15. https://www.instagram.com/p/DUyF_EYEe3k/</w:t>
      </w:r>
      <w:r>
        <w:rPr>
          <w:b/>
          <w:bCs/>
        </w:rPr>
        <w:t xml:space="preserve">15. </w:t>
      </w:r>
      <w:r>
        <w:rPr>
          <w:color w:val="0563C1"/>
          <w:u w:val="single"/>
        </w:rPr>
        <w:t xml:space="preserve">https://www.instagram.com/p/DUyF_EYEe3k/</w:t>
      </w:r>
    </w:p>
    <w:p>
      <w:pPr>
        <w:spacing w:after="100"/>
      </w:pPr>
      <w:r>
        <w:t xml:space="preserve">16. https://www.perfil.com/noticias/economia/la-inflacion-de-la-ciudad-de-buenos-aires-retrocedio-en-agosto-y-marco-16.phtml</w:t>
      </w:r>
      <w:r>
        <w:rPr>
          <w:b/>
          <w:bCs/>
        </w:rPr>
        <w:t xml:space="preserve">16. </w:t>
      </w:r>
      <w:r>
        <w:rPr>
          <w:color w:val="0563C1"/>
          <w:u w:val="single"/>
        </w:rPr>
        <w:t xml:space="preserve">https://www.perfil.com/noticias/economia/la-inflacion-de-la-ciudad-de-buenos-aires-retrocedio-en-agosto-y-marco-16.phtml</w:t>
      </w:r>
    </w:p>
    <w:p>
      <w:pPr>
        <w:spacing w:after="100"/>
      </w:pPr>
      <w:r>
        <w:t xml:space="preserve">17. https://lmdiario.com.ar/amp/13805/la-inflacion-trepo-al-21-en-abril-segun-el-ipc-congreso</w:t>
      </w:r>
      <w:r>
        <w:rPr>
          <w:b/>
          <w:bCs/>
        </w:rPr>
        <w:t xml:space="preserve">17. </w:t>
      </w:r>
      <w:r>
        <w:rPr>
          <w:color w:val="0563C1"/>
          <w:u w:val="single"/>
        </w:rPr>
        <w:t xml:space="preserve">https://lmdiario.com.ar/amp/13805/la-inflacion-trepo-al-21-en-abril-segun-el-ipc-congreso</w:t>
      </w:r>
    </w:p>
    <w:p>
      <w:pPr>
        <w:spacing w:after="100"/>
      </w:pPr>
      <w:r>
        <w:t xml:space="preserve">18. https://www.parlamentario.com/tag/inflacion/</w:t>
      </w:r>
      <w:r>
        <w:rPr>
          <w:b/>
          <w:bCs/>
        </w:rPr>
        <w:t xml:space="preserve">18. </w:t>
      </w:r>
      <w:r>
        <w:rPr>
          <w:color w:val="0563C1"/>
          <w:u w:val="single"/>
        </w:rPr>
        <w:t xml:space="preserve">https://www.parlamentario.com/tag/inflacion/</w:t>
      </w:r>
    </w:p>
    <w:p>
      <w:pPr>
        <w:spacing w:after="100"/>
      </w:pPr>
      <w:r>
        <w:t xml:space="preserve">19. https://www.faecys.org.ar/faecys-32o-boletin-digital/</w:t>
      </w:r>
      <w:r>
        <w:rPr>
          <w:b/>
          <w:bCs/>
        </w:rPr>
        <w:t xml:space="preserve">19. </w:t>
      </w:r>
      <w:r>
        <w:rPr>
          <w:color w:val="0563C1"/>
          <w:u w:val="single"/>
        </w:rPr>
        <w:t xml:space="preserve">https://www.faecys.org.ar/faecys-32o-boletin-digital/</w:t>
      </w:r>
    </w:p>
    <w:p>
      <w:pPr>
        <w:spacing w:after="100"/>
      </w:pPr>
      <w:r>
        <w:t xml:space="preserve">20. https://www.biobiochile.cl/noticias/economia/actualidad-economica/2025/12/06/los-ciclos-de-inflacion-que-milei-domo-el-desplome-historico-de-la-subida-de-precios-en-argentina.shtml</w:t>
      </w:r>
      <w:r>
        <w:rPr>
          <w:b/>
          <w:bCs/>
        </w:rPr>
        <w:t xml:space="preserve">20. </w:t>
      </w:r>
      <w:r>
        <w:rPr>
          <w:color w:val="0563C1"/>
          <w:u w:val="single"/>
        </w:rPr>
        <w:t xml:space="preserve">https://www.biobiochile.cl/noticias/economia/actualidad-economica/2025/12/06/los-ciclos-de-inflacion-que-milei-domo-el-desplome-historico-de-la-subida-de-precios-en-argentina.shtml</w:t>
      </w:r>
    </w:p>
    <w:p>
      <w:pPr>
        <w:spacing w:after="100"/>
      </w:pPr>
      <w:r>
        <w:t xml:space="preserve">21. https://www.instagram.com/p/DUHPQOjASMM/</w:t>
      </w:r>
      <w:r>
        <w:rPr>
          <w:b/>
          <w:bCs/>
        </w:rPr>
        <w:t xml:space="preserve">21. </w:t>
      </w:r>
      <w:r>
        <w:rPr>
          <w:color w:val="0563C1"/>
          <w:u w:val="single"/>
        </w:rPr>
        <w:t xml:space="preserve">https://www.instagram.com/p/DUHPQOjASMM/</w:t>
      </w:r>
    </w:p>
    <w:p>
      <w:pPr>
        <w:spacing w:after="100"/>
      </w:pPr>
      <w:r>
        <w:t xml:space="preserve">22. https://www.lanacion.com.py/mundo/2024/01/12/inflacion-en-argentina-supero-211-en-el-2023/</w:t>
      </w:r>
      <w:r>
        <w:rPr>
          <w:b/>
          <w:bCs/>
        </w:rPr>
        <w:t xml:space="preserve">22. </w:t>
      </w:r>
      <w:r>
        <w:rPr>
          <w:color w:val="0563C1"/>
          <w:u w:val="single"/>
        </w:rPr>
        <w:t xml:space="preserve">https://www.lanacion.com.py/mundo/2024/01/12/inflacion-en-argentina-supero-211-en-el-2023/</w:t>
      </w:r>
    </w:p>
    <w:p>
      <w:pPr>
        <w:spacing w:after="100"/>
      </w:pPr>
      <w:r>
        <w:t xml:space="preserve">23. https://www.indec.gob.ar/uploads/informesdeprensa/ipc_01_2517A7124C09.pdf</w:t>
      </w:r>
      <w:r>
        <w:rPr>
          <w:b/>
          <w:bCs/>
        </w:rPr>
        <w:t xml:space="preserve">23. </w:t>
      </w:r>
      <w:r>
        <w:rPr>
          <w:color w:val="0563C1"/>
          <w:u w:val="single"/>
        </w:rPr>
        <w:t xml:space="preserve">https://www.indec.gob.ar/uploads/informesdeprensa/ipc_01_2517A7124C09.pdf</w:t>
      </w:r>
    </w:p>
    <w:p>
      <w:pPr>
        <w:spacing w:after="100"/>
      </w:pPr>
      <w:r>
        <w:t xml:space="preserve">24. https://www.apdh-argentina.org.ar/sites/default/files/2024-07/Informe-FORUS-.pdf</w:t>
      </w:r>
      <w:r>
        <w:rPr>
          <w:b/>
          <w:bCs/>
        </w:rPr>
        <w:t xml:space="preserve">24. </w:t>
      </w:r>
      <w:r>
        <w:rPr>
          <w:color w:val="0563C1"/>
          <w:u w:val="single"/>
        </w:rPr>
        <w:t xml:space="preserve">https://www.apdh-argentina.org.ar/sites/default/files/2024-07/Informe-FORUS-.pdf</w:t>
      </w:r>
    </w:p>
    <w:p>
      <w:pPr>
        <w:spacing w:after="100"/>
      </w:pPr>
      <w:r>
        <w:t xml:space="preserve">25. https://aprobienestar.cl/wp-content/uploads/2025/01/202501-Boletin-de-Precios-y-Coyuntura-ENERO-2025.pdf</w:t>
      </w:r>
      <w:r>
        <w:rPr>
          <w:b/>
          <w:bCs/>
        </w:rPr>
        <w:t xml:space="preserve">25. </w:t>
      </w:r>
      <w:r>
        <w:rPr>
          <w:color w:val="0563C1"/>
          <w:u w:val="single"/>
        </w:rPr>
        <w:t xml:space="preserve">https://aprobienestar.cl/wp-content/uploads/2025/01/202501-Boletin-de-Precios-y-Coyuntura-ENERO-2025.pdf</w:t>
      </w:r>
    </w:p>
    <w:p>
      <w:pPr>
        <w:spacing w:after="100"/>
      </w:pPr>
      <w:r>
        <w:t xml:space="preserve">26. https://chequeado.com/el-explicador/la-inflacion-acumulada-fue-del-798-en-los-primeros-6-meses-completos-del-gobierno-de-javier-milei/</w:t>
      </w:r>
      <w:r>
        <w:rPr>
          <w:b/>
          <w:bCs/>
        </w:rPr>
        <w:t xml:space="preserve">26. </w:t>
      </w:r>
      <w:r>
        <w:rPr>
          <w:color w:val="0563C1"/>
          <w:u w:val="single"/>
        </w:rPr>
        <w:t xml:space="preserve">https://chequeado.com/el-explicador/la-inflacion-acumulada-fue-del-798-en-los-primeros-6-meses-completos-del-gobierno-de-javier-milei/</w:t>
      </w:r>
    </w:p>
    <w:p>
      <w:pPr>
        <w:spacing w:after="100"/>
      </w:pPr>
      <w:r>
        <w:t xml:space="preserve">27. https://www.cippec.org/wp-content/uploads/2019/07/El-desafio-de-la-pobreza-en-Argentina.pdf</w:t>
      </w:r>
      <w:r>
        <w:rPr>
          <w:b/>
          <w:bCs/>
        </w:rPr>
        <w:t xml:space="preserve">27. </w:t>
      </w:r>
      <w:r>
        <w:rPr>
          <w:color w:val="0563C1"/>
          <w:u w:val="single"/>
        </w:rPr>
        <w:t xml:space="preserve">https://www.cippec.org/wp-content/uploads/2019/07/El-desafio-de-la-pobreza-en-Argentina.pdf</w:t>
      </w:r>
    </w:p>
    <w:p>
      <w:pPr>
        <w:spacing w:after="100"/>
      </w:pPr>
      <w:r>
        <w:t xml:space="preserve">28. https://revistas.untref.edu.ar/index.php/ciudadanias/article/download/2415/2114/</w:t>
      </w:r>
      <w:r>
        <w:rPr>
          <w:b/>
          <w:bCs/>
        </w:rPr>
        <w:t xml:space="preserve">28. </w:t>
      </w:r>
      <w:r>
        <w:rPr>
          <w:color w:val="0563C1"/>
          <w:u w:val="single"/>
        </w:rPr>
        <w:t xml:space="preserve">https://revistas.untref.edu.ar/index.php/ciudadanias/article/download/2415/2114/</w:t>
      </w:r>
    </w:p>
    <w:p>
      <w:pPr>
        <w:spacing w:after="100"/>
      </w:pPr>
      <w:r>
        <w:t xml:space="preserve">29. https://www.bcra.gob.ar/archivos/Pdfs/PublicacionesEstadisticas/informes/informe-politica-monetaria-2025-T4.pdf</w:t>
      </w:r>
      <w:r>
        <w:rPr>
          <w:b/>
          <w:bCs/>
        </w:rPr>
        <w:t xml:space="preserve">29. </w:t>
      </w:r>
      <w:r>
        <w:rPr>
          <w:color w:val="0563C1"/>
          <w:u w:val="single"/>
        </w:rPr>
        <w:t xml:space="preserve">https://www.bcra.gob.ar/archivos/Pdfs/PublicacionesEstadisticas/informes/informe-politica-monetaria-2025-T4.pdf</w:t>
      </w:r>
    </w:p>
    <w:p>
      <w:pPr>
        <w:spacing w:after="100"/>
      </w:pPr>
      <w:r>
        <w:t xml:space="preserve">30. https://webapps.ifad.org/members/eb/143/docs/spanish/EB-2024-OR-18.pdf</w:t>
      </w:r>
      <w:r>
        <w:rPr>
          <w:b/>
          <w:bCs/>
        </w:rPr>
        <w:t xml:space="preserve">30. </w:t>
      </w:r>
      <w:r>
        <w:rPr>
          <w:color w:val="0563C1"/>
          <w:u w:val="single"/>
        </w:rPr>
        <w:t xml:space="preserve">https://webapps.ifad.org/members/eb/143/docs/spanish/EB-2024-OR-18.pdf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2026-02-20T13:35:24.152Z</dcterms:created>
  <dcterms:modified xsi:type="dcterms:W3CDTF">2026-02-20T13:35:24.152Z</dcterms:modified>
</cp:coreProperties>
</file>

<file path=docProps/custom.xml><?xml version="1.0" encoding="utf-8"?>
<Properties xmlns="http://schemas.openxmlformats.org/officeDocument/2006/custom-properties" xmlns:vt="http://schemas.openxmlformats.org/officeDocument/2006/docPropsVTypes"/>
</file>