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Poppins" w:cs="Poppins" w:eastAsia="Poppins" w:hAnsi="Poppins"/>
          <w:b/>
          <w:bCs/>
          <w:color w:val="FF8017"/>
          <w:sz w:val="24"/>
          <w:szCs w:val="24"/>
        </w:rPr>
        <w:t xml:space="preserve">VendéPro</w:t>
      </w:r>
    </w:p>
    <w:p>
      <w:pPr>
        <w:pBdr>
          <w:bottom w:val="single" w:color="FF007C" w:sz="20" w:space="8"/>
        </w:pBdr>
        <w:spacing w:after="260"/>
      </w:pPr>
      <w:r>
        <w:rPr>
          <w:rFonts w:ascii="Poppins" w:cs="Poppins" w:eastAsia="Poppins" w:hAnsi="Poppins"/>
          <w:b/>
          <w:bCs/>
          <w:color w:val="FF007C"/>
          <w:sz w:val="40"/>
          <w:szCs w:val="40"/>
        </w:rPr>
        <w:t xml:space="preserve">Guión de venta — Segmento 1: Inmobiliarias sin CRM (Excel / WhatsApp)</w:t>
      </w:r>
    </w:p>
    <w:p>
      <w:pPr>
        <w:spacing w:after="160" w:line="276" w:lineRule="auto"/>
      </w:pPr>
      <w:r>
        <w:rPr>
          <w:rFonts w:ascii="Poppins" w:cs="Poppins" w:eastAsia="Poppins" w:hAnsi="Poppins"/>
          <w:i/>
          <w:iCs/>
          <w:color w:val="6B7280"/>
          <w:sz w:val="20"/>
          <w:szCs w:val="20"/>
        </w:rPr>
        <w:t xml:space="preserve">Uso: llamada o reunión inicial con dueño/a de inmobiliaria chica-mediana que hoy no usa ningún sistema formal.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1. Apertura (10-15 segundos, generar permiso para seguir)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“Hola [nombre], soy [tu nombre] de VendéPro. Te escribo/llamo porque trabajamos con inmobiliarias que hoy llevan todo por WhatsApp y Excel, y en general se les pierden leads sin darse cuenta. ¿Te pasa eso o ya tenés un sistema armado?”</w:t>
      </w:r>
    </w:p>
    <w:p>
      <w:pPr>
        <w:spacing w:after="160" w:line="276" w:lineRule="auto"/>
      </w:pPr>
      <w:r>
        <w:rPr>
          <w:rFonts w:ascii="Poppins" w:cs="Poppins" w:eastAsia="Poppins" w:hAnsi="Poppins"/>
          <w:i/>
          <w:iCs/>
          <w:color w:val="6B7280"/>
          <w:sz w:val="20"/>
          <w:szCs w:val="20"/>
        </w:rPr>
        <w:t xml:space="preserve">(Si dice que ya tiene CRM → pasar al guión de Segmento 2. Si dice que no tiene sistema → seguir acá.)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2. Preguntas de descubrimiento (dejar hablar al prospecto, no vender todavía)</w:t>
      </w:r>
    </w:p>
    <w:p>
      <w:pPr>
        <w:pStyle w:val="ListParagraph"/>
        <w:numPr>
          <w:ilvl w:val="0"/>
          <w:numId w:val="2"/>
        </w:numPr>
        <w:spacing w:after="110" w:line="288" w:lineRule="auto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“¿Hoy dónde anotás los leads que te llegan por Instagram o portales?”</w:t>
      </w:r>
    </w:p>
    <w:p>
      <w:pPr>
        <w:pStyle w:val="ListParagraph"/>
        <w:numPr>
          <w:ilvl w:val="0"/>
          <w:numId w:val="2"/>
        </w:numPr>
        <w:spacing w:after="110" w:line="288" w:lineRule="auto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“Cuando armás una tasación, ¿cuánto tiempo te lleva armarla en PowerPoint o Canva?”</w:t>
      </w:r>
    </w:p>
    <w:p>
      <w:pPr>
        <w:pStyle w:val="ListParagraph"/>
        <w:numPr>
          <w:ilvl w:val="0"/>
          <w:numId w:val="2"/>
        </w:numPr>
        <w:spacing w:after="110" w:line="288" w:lineRule="auto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“¿Sabés cuántos leads del último mes nunca volviste a contactar?”</w:t>
      </w:r>
    </w:p>
    <w:p>
      <w:pPr>
        <w:pStyle w:val="ListParagraph"/>
        <w:numPr>
          <w:ilvl w:val="0"/>
          <w:numId w:val="2"/>
        </w:numPr>
        <w:spacing w:after="110" w:line="288" w:lineRule="auto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“¿Tenés forma de saber si tu campaña de Instagram/Facebook realmente terminó en una venta, o solo ves los likes y comentarios?”</w:t>
      </w:r>
    </w:p>
    <w:p>
      <w:pPr>
        <w:spacing w:after="160" w:line="276" w:lineRule="auto"/>
      </w:pPr>
      <w:r>
        <w:rPr>
          <w:rFonts w:ascii="Poppins" w:cs="Poppins" w:eastAsia="Poppins" w:hAnsi="Poppins"/>
          <w:i/>
          <w:iCs/>
          <w:color w:val="6B7280"/>
          <w:sz w:val="20"/>
          <w:szCs w:val="20"/>
        </w:rPr>
        <w:t xml:space="preserve">(Las respuestas a estas preguntas son el material que vas a usar en el pitch — repetile sus propias palabras.)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3. Pitch (conectar cada dolor mencionado con una función concreta)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“Mirá, lo que noto en lo que me contás es que hoy no tenés forma de saber si se te está enfriando un lead — eso es exactamente lo primero que resuelve VendéPro: apenas un lead pasa 24 horas sin que lo contactes, se marca solo como urgente. No dependés de acordarte.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Segundo, lo de la tasación: en vez de armarla de cero cada vez en Canva, la armás con un template que ya tiene tu información de inmobiliaria cargada, comparables de la zona y análisis FODA — y te genera el PDF automáticamente. Lo que hoy te lleva una tarde, pasa a ser minutos.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Y tercero, si estás invirtiendo en Instagram o Facebook, el sistema te muestra qué campaña realmente generó una reserva o una venta, no solo un clic — así sabés dónde poner la próxima plata.”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4. Manejo de objeciones (usar la tabla, adaptar el tono)</w:t>
      </w:r>
    </w:p>
    <w:tbl>
      <w:tblPr>
        <w:tblW w:type="dxa" w:w="9026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single" w:color="D4D4D8" w:sz="4"/>
          <w:insideV w:val="single" w:color="D4D4D8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FDE6F0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C2005F"/>
                <w:sz w:val="21"/>
                <w:szCs w:val="21"/>
              </w:rPr>
              <w:t xml:space="preserve">Objeción</w:t>
            </w:r>
          </w:p>
        </w:tc>
        <w:tc>
          <w:tcPr>
            <w:tcW w:type="dxa" w:w="6138"/>
            <w:shd w:fill="FDE6F0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C2005F"/>
                <w:sz w:val="21"/>
                <w:szCs w:val="21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2888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“No tengo tiempo para aprender algo nuevo”</w:t>
            </w:r>
          </w:p>
        </w:tc>
        <w:tc>
          <w:tcPr>
            <w:tcW w:type="dxa" w:w="6138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“El setup es de 2 minutos, no hay nada que instalar. Y honestamente, te va a llevar menos tiempo aprenderlo que seguir perdiendo horas armando tasaciones a mano.”</w:t>
            </w:r>
          </w:p>
        </w:tc>
      </w:tr>
      <w:tr>
        <w:trPr>
          <w:cantSplit/>
        </w:trPr>
        <w:tc>
          <w:tcPr>
            <w:tcW w:type="dxa" w:w="2888"/>
            <w:shd w:fill="FAFA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“Ya me las arreglo como estoy”</w:t>
            </w:r>
          </w:p>
        </w:tc>
        <w:tc>
          <w:tcPr>
            <w:tcW w:type="dxa" w:w="6138"/>
            <w:shd w:fill="FAFA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“Totalmente válido. Solo te pregunto: ¿tenés una idea de cuántos leads de los últimos 3 meses se te enfriaron sin que te dieras cuenta? Eso es plata que ya invertiste en captarlos.”</w:t>
            </w:r>
          </w:p>
        </w:tc>
      </w:tr>
      <w:tr>
        <w:trPr>
          <w:cantSplit/>
        </w:trPr>
        <w:tc>
          <w:tcPr>
            <w:tcW w:type="dxa" w:w="2888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“¿Y si no me sirve?”</w:t>
            </w:r>
          </w:p>
        </w:tc>
        <w:tc>
          <w:tcPr>
            <w:tcW w:type="dxa" w:w="6138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“Por eso el plan de entrada es gratis, sin tarjeta, sin límite de tiempo. Lo probás con tu operación real y decidís vos si suma.”</w:t>
            </w:r>
          </w:p>
        </w:tc>
      </w:tr>
      <w:tr>
        <w:trPr>
          <w:cantSplit/>
        </w:trPr>
        <w:tc>
          <w:tcPr>
            <w:tcW w:type="dxa" w:w="2888"/>
            <w:shd w:fill="FAFA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“Mis agentes no lo van a usar”</w:t>
            </w:r>
          </w:p>
        </w:tc>
        <w:tc>
          <w:tcPr>
            <w:tcW w:type="dxa" w:w="6138"/>
            <w:shd w:fill="FAFAFA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line="276" w:lineRule="auto"/>
            </w:pPr>
            <w:r>
              <w:rPr>
                <w:rFonts w:ascii="Poppins" w:cs="Poppins" w:eastAsia="Poppins" w:hAnsi="Poppins"/>
                <w:color w:val="27272A"/>
                <w:sz w:val="21"/>
                <w:szCs w:val="21"/>
              </w:rPr>
              <w:t xml:space="preserve">“Es un sistema que se armó con agentes reales de una inmobiliaria real trabajando todos los días, no es un software genérico de oficina. Si querés, arrancamos con vos o con un solo agente primero.”</w:t>
            </w:r>
          </w:p>
        </w:tc>
      </w:tr>
    </w:tbl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4.5 Vendiendo la visión (y midiendo si les importa de verdad)</w:t>
      </w:r>
    </w:p>
    <w:p>
      <w:pPr>
        <w:spacing w:after="180" w:line="300" w:lineRule="auto"/>
        <w:jc w:val="both"/>
      </w:pPr>
      <w:r>
        <w:rPr>
          <w:rFonts w:ascii="Poppins" w:cs="Poppins" w:eastAsia="Poppins" w:hAnsi="Poppins"/>
          <w:color w:val="27272A"/>
          <w:sz w:val="22"/>
          <w:szCs w:val="22"/>
        </w:rPr>
        <w:t xml:space="preserve">Después del pitch de lo que ya existe, sumá esto — contalo como lo que se viene, no como algo que ya tienen hoy, y usalo para tomarle el pulso al prospecto: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“Y te cuento algo que estamos construyendo ahora mismo: un asistente de WhatsApp con inteligencia artificial que responde consultas de compradores las 24 horas, agenda visitas solo, y te avisa por mail cuando hay que meterse vos. Todavía no está listo, pero quiero tu opinión honesta: ¿eso te serviría? ¿Cuántos mensajes repetidos calculás que te ahorraría por semana? ¿lo pagarías?”</w:t>
      </w:r>
    </w:p>
    <w:p>
      <w:pPr>
        <w:spacing w:after="180" w:line="300" w:lineRule="auto"/>
        <w:jc w:val="both"/>
      </w:pPr>
      <w:r>
        <w:rPr>
          <w:rFonts w:ascii="Poppins" w:cs="Poppins" w:eastAsia="Poppins" w:hAnsi="Poppins"/>
          <w:color w:val="27272A"/>
          <w:sz w:val="22"/>
          <w:szCs w:val="22"/>
        </w:rPr>
        <w:t xml:space="preserve">También podés mencionar, si surge naturalmente: </w:t>
      </w:r>
      <w:r>
        <w:rPr>
          <w:rFonts w:ascii="Poppins" w:cs="Poppins" w:eastAsia="Poppins" w:hAnsi="Poppins"/>
          <w:i/>
          <w:iCs/>
          <w:color w:val="27272A"/>
          <w:sz w:val="22"/>
          <w:szCs w:val="22"/>
        </w:rPr>
        <w:t xml:space="preserve">“Otra cosa que viene es un reporte mensual automático que le llega solo al propietario por mail, con el rendimiento de su propiedad. ¿Hoy le mandás algo parecido a mano?”</w:t>
      </w:r>
    </w:p>
    <w:p>
      <w:pPr>
        <w:pBdr>
          <w:left w:val="single" w:color="FF007C" w:sz="18" w:space="8"/>
        </w:pBdr>
        <w:shd w:fill="FDE9F3" w:color="auto" w:val="clear"/>
        <w:spacing w:after="160" w:before="120" w:line="288" w:lineRule="auto"/>
        <w:ind w:left="200"/>
        <w:jc w:val="both"/>
      </w:pPr>
      <w:r>
        <w:rPr>
          <w:rFonts w:ascii="Poppins" w:cs="Poppins" w:eastAsia="Poppins" w:hAnsi="Poppins"/>
          <w:b/>
          <w:bCs/>
          <w:color w:val="27272A"/>
          <w:sz w:val="22"/>
          <w:szCs w:val="22"/>
        </w:rPr>
        <w:t xml:space="preserve">Anotá la respuesta después de la llamada</w:t>
      </w:r>
      <w:r>
        <w:rPr>
          <w:rFonts w:ascii="Poppins" w:cs="Poppins" w:eastAsia="Poppins" w:hAnsi="Poppins"/>
          <w:color w:val="27272A"/>
          <w:sz w:val="22"/>
          <w:szCs w:val="22"/>
        </w:rPr>
        <w:t xml:space="preserve"> (aunque sea una línea: qué le interesó, si lo pagaría, con qué urgencia) — esa señal es la que decide qué construimos primero.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5. Cierre</w:t>
      </w:r>
    </w:p>
    <w:p>
      <w:pPr>
        <w:pBdr>
          <w:left w:val="single" w:color="FF007C" w:sz="18" w:space="10"/>
        </w:pBdr>
        <w:shd w:fill="F7F7F8" w:color="auto" w:val="clear"/>
        <w:spacing w:after="220" w:before="120" w:line="300" w:lineRule="auto"/>
        <w:ind w:left="200"/>
        <w:jc w:val="both"/>
      </w:pPr>
      <w:r>
        <w:rPr>
          <w:rFonts w:ascii="Poppins" w:cs="Poppins" w:eastAsia="Poppins" w:hAnsi="Poppins"/>
          <w:i/>
          <w:iCs/>
          <w:color w:val="3F3F46"/>
          <w:sz w:val="22"/>
          <w:szCs w:val="22"/>
        </w:rPr>
        <w:t xml:space="preserve">“Te propongo esto: te armo el acceso gratuito ahora mismo, sin compromiso, y probás con los próximos leads que te entren esta semana. En 15 días hablamos de nuevo y me contás qué tal. ¿Te sirve?”</w:t>
      </w:r>
    </w:p>
    <w:p>
      <w:pPr>
        <w:spacing w:after="160" w:line="276" w:lineRule="auto"/>
      </w:pPr>
      <w:r>
        <w:rPr>
          <w:rFonts w:ascii="Poppins" w:cs="Poppins" w:eastAsia="Poppins" w:hAnsi="Poppins"/>
          <w:i/>
          <w:iCs/>
          <w:color w:val="6B7280"/>
          <w:sz w:val="20"/>
          <w:szCs w:val="20"/>
        </w:rPr>
        <w:t xml:space="preserve">(Objetivo del cierre: conseguir el sí al plan gratuito, no una venta paga — todavía no existe pricing pago definido, no forzar esa conversación.)</w:t>
      </w:r>
    </w:p>
    <w:p>
      <w:pPr>
        <w:pStyle w:val="Heading1"/>
        <w:spacing w:after="220" w:before="420"/>
      </w:pPr>
      <w:r>
        <w:rPr>
          <w:rFonts w:ascii="Poppins" w:cs="Poppins" w:eastAsia="Poppins" w:hAnsi="Poppins"/>
          <w:b/>
          <w:bCs/>
          <w:color w:val="FF007C"/>
          <w:sz w:val="30"/>
          <w:szCs w:val="30"/>
        </w:rPr>
        <w:t xml:space="preserve">Reglas de la casa para esta conversación</w:t>
      </w:r>
    </w:p>
    <w:p>
      <w:pPr>
        <w:pBdr>
          <w:left w:val="single" w:color="E11D48" w:sz="18" w:space="8"/>
        </w:pBdr>
        <w:shd w:fill="FDE8EE" w:color="auto" w:val="clear"/>
        <w:spacing w:after="60" w:before="120" w:line="288" w:lineRule="auto"/>
        <w:ind w:left="200"/>
        <w:jc w:val="both"/>
      </w:pPr>
      <w:r>
        <w:rPr>
          <w:rFonts w:ascii="Poppins" w:cs="Poppins" w:eastAsia="Poppins" w:hAnsi="Poppins"/>
          <w:color w:val="27272A"/>
          <w:sz w:val="22"/>
          <w:szCs w:val="22"/>
        </w:rPr>
        <w:t xml:space="preserve">El asistente de WhatsApp con IA y la red de cierres compartidos </w:t>
      </w:r>
      <w:r>
        <w:rPr>
          <w:rFonts w:ascii="Poppins" w:cs="Poppins" w:eastAsia="Poppins" w:hAnsi="Poppins"/>
          <w:b/>
          <w:bCs/>
          <w:color w:val="27272A"/>
          <w:sz w:val="22"/>
          <w:szCs w:val="22"/>
        </w:rPr>
        <w:t xml:space="preserve">no existen todavía</w:t>
      </w:r>
      <w:r>
        <w:rPr>
          <w:rFonts w:ascii="Poppins" w:cs="Poppins" w:eastAsia="Poppins" w:hAnsi="Poppins"/>
          <w:color w:val="27272A"/>
          <w:sz w:val="22"/>
          <w:szCs w:val="22"/>
        </w:rPr>
        <w:t xml:space="preserve"> — contalos siempre como visión en construcción (“estamos armando...”, nunca “tenemos...”). No los escondas: son gancho de venta, pero nunca los ofrezcas como si ya se pudieran usar hoy.</w:t>
      </w:r>
    </w:p>
    <w:p>
      <w:pPr>
        <w:pBdr>
          <w:left w:val="single" w:color="E11D48" w:sz="18" w:space="8"/>
        </w:pBdr>
        <w:shd w:fill="FDE8EE" w:color="auto" w:val="clear"/>
        <w:spacing w:after="160" w:before="0" w:line="288" w:lineRule="auto"/>
        <w:ind w:left="200"/>
        <w:jc w:val="both"/>
      </w:pPr>
      <w:r>
        <w:rPr>
          <w:rFonts w:ascii="Poppins" w:cs="Poppins" w:eastAsia="Poppins" w:hAnsi="Poppins"/>
          <w:color w:val="27272A"/>
          <w:sz w:val="22"/>
          <w:szCs w:val="22"/>
        </w:rPr>
        <w:t xml:space="preserve">Si preguntan por plan pago y precio: “Todavía no tenemos una tabla de precios pública, arrancamos con el plan gratuito y cuando definamos planes pagos te aviso antes que a nadie.”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rFonts w:ascii="Poppins" w:cs="Poppins" w:eastAsia="Poppins" w:hAnsi="Poppins"/>
        <w:color w:val="FF00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  <w:rPr>
        <w:rFonts w:ascii="Poppins" w:cs="Poppins" w:eastAsia="Poppins" w:hAnsi="Poppins"/>
        <w:b/>
        <w:bCs/>
        <w:color w:val="FF007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7272A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pPr>
      <w:spacing w:after="120"/>
    </w:pPr>
    <w:rPr>
      <w:rFonts w:ascii="Poppins" w:cs="Poppins" w:eastAsia="Poppins" w:hAnsi="Poppins"/>
      <w:b/>
      <w:bCs/>
      <w:color w:val="FF007C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20" w:before="420"/>
      <w:outlineLvl w:val="0"/>
    </w:pPr>
    <w:rPr>
      <w:rFonts w:ascii="Poppins" w:cs="Poppins" w:eastAsia="Poppins" w:hAnsi="Poppins"/>
      <w:b/>
      <w:bCs/>
      <w:color w:val="FF007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Poppins" w:cs="Poppins" w:eastAsia="Poppins" w:hAnsi="Poppins"/>
      <w:b/>
      <w:bCs/>
      <w:color w:val="FF801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Poppins" w:cs="Poppins" w:eastAsia="Poppins" w:hAnsi="Poppins"/>
      <w:b/>
      <w:bCs/>
      <w:color w:val="3F3F4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Guión de venta — Segmento 1 — VendéPro</dc:title>
  <dc:creator>VendéPro</dc:creator>
  <cp:lastModifiedBy>Un-named</cp:lastModifiedBy>
  <cp:revision>1</cp:revision>
  <dcterms:created xsi:type="dcterms:W3CDTF">2026-09-01T15:07:49.237Z</dcterms:created>
  <dcterms:modified xsi:type="dcterms:W3CDTF">2026-09-01T15:07:49.237Z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