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Poppins" w:cs="Poppins" w:eastAsia="Poppins" w:hAnsi="Poppins"/>
          <w:b/>
          <w:bCs/>
          <w:color w:val="FF8017"/>
          <w:sz w:val="24"/>
          <w:szCs w:val="24"/>
        </w:rPr>
        <w:t xml:space="preserve">VendéPro</w:t>
      </w:r>
    </w:p>
    <w:p>
      <w:pPr>
        <w:pBdr>
          <w:bottom w:val="single" w:color="FF007C" w:sz="20" w:space="8"/>
        </w:pBdr>
        <w:spacing w:after="260"/>
      </w:pPr>
      <w:r>
        <w:rPr>
          <w:rFonts w:ascii="Poppins" w:cs="Poppins" w:eastAsia="Poppins" w:hAnsi="Poppins"/>
          <w:b/>
          <w:bCs/>
          <w:color w:val="FF007C"/>
          <w:sz w:val="40"/>
          <w:szCs w:val="40"/>
        </w:rPr>
        <w:t xml:space="preserve">Guión de venta — Segmento 2: Inmobiliarias que ya usan otro CRM (Tokko Broker u otro)</w:t>
      </w:r>
    </w:p>
    <w:p>
      <w:pPr>
        <w:spacing w:after="160" w:line="276" w:lineRule="auto"/>
      </w:pPr>
      <w:r>
        <w:rPr>
          <w:rFonts w:ascii="Poppins" w:cs="Poppins" w:eastAsia="Poppins" w:hAnsi="Poppins"/>
          <w:i/>
          <w:iCs/>
          <w:color w:val="6B7280"/>
          <w:sz w:val="20"/>
          <w:szCs w:val="20"/>
        </w:rPr>
        <w:t xml:space="preserve">Uso: llamada o reunión con inmobiliaria que ya paga un sistema. Objetivo: no atacar el sistema actual, sino encontrar el hueco que no cubre.</w:t>
      </w:r>
    </w:p>
    <w:p>
      <w:pPr>
        <w:pStyle w:val="Heading1"/>
        <w:spacing w:after="220" w:before="420"/>
      </w:pPr>
      <w:r>
        <w:rPr>
          <w:rFonts w:ascii="Poppins" w:cs="Poppins" w:eastAsia="Poppins" w:hAnsi="Poppins"/>
          <w:b/>
          <w:bCs/>
          <w:color w:val="FF007C"/>
          <w:sz w:val="30"/>
          <w:szCs w:val="30"/>
        </w:rPr>
        <w:t xml:space="preserve">1. Apertura</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“Hola [nombre], soy [tu nombre] de VendéPro. Sé que ya usás [Tokko Broker / su sistema actual] — no te llamo para que lo dejes, sino para mostrarte algo que probablemente hoy no tenés: cómo armar una tasación profesional en minutos con comparables reales, y cómo saber qué campaña de marketing realmente te generó una venta. ¿Te interesa ver 10 minutos cómo funciona?”</w:t>
      </w:r>
    </w:p>
    <w:p>
      <w:pPr>
        <w:pStyle w:val="Heading1"/>
        <w:spacing w:after="220" w:before="420"/>
      </w:pPr>
      <w:r>
        <w:rPr>
          <w:rFonts w:ascii="Poppins" w:cs="Poppins" w:eastAsia="Poppins" w:hAnsi="Poppins"/>
          <w:b/>
          <w:bCs/>
          <w:color w:val="FF007C"/>
          <w:sz w:val="30"/>
          <w:szCs w:val="30"/>
        </w:rPr>
        <w:t xml:space="preserve">2. Preguntas de descubrimiento (clave: no asumir nada del sistema actual, preguntar)</w:t>
      </w:r>
    </w:p>
    <w:p>
      <w:pPr>
        <w:pStyle w:val="ListParagraph"/>
        <w:numPr>
          <w:ilvl w:val="0"/>
          <w:numId w:val="2"/>
        </w:numPr>
        <w:spacing w:after="110" w:line="288" w:lineRule="auto"/>
      </w:pPr>
      <w:r>
        <w:rPr>
          <w:rFonts w:ascii="Poppins" w:cs="Poppins" w:eastAsia="Poppins" w:hAnsi="Poppins"/>
          <w:i/>
          <w:iCs/>
          <w:color w:val="3F3F46"/>
          <w:sz w:val="22"/>
          <w:szCs w:val="22"/>
        </w:rPr>
        <w:t xml:space="preserve">“¿Tu sistema actual arma la tasación con comparables de la zona y te genera el PDF, o la seguís armando aparte en Canva o PowerPoint?”</w:t>
      </w:r>
    </w:p>
    <w:p>
      <w:pPr>
        <w:pStyle w:val="ListParagraph"/>
        <w:numPr>
          <w:ilvl w:val="0"/>
          <w:numId w:val="2"/>
        </w:numPr>
        <w:spacing w:after="110" w:line="288" w:lineRule="auto"/>
      </w:pPr>
      <w:r>
        <w:rPr>
          <w:rFonts w:ascii="Poppins" w:cs="Poppins" w:eastAsia="Poppins" w:hAnsi="Poppins"/>
          <w:i/>
          <w:iCs/>
          <w:color w:val="3F3F46"/>
          <w:sz w:val="22"/>
          <w:szCs w:val="22"/>
        </w:rPr>
        <w:t xml:space="preserve">“Cuando invertís en una campaña de Instagram o Facebook, ¿podés ver qué porcentaje de esos leads terminó realmente en una venta, o solo ves clics y mensajes?”</w:t>
      </w:r>
    </w:p>
    <w:p>
      <w:pPr>
        <w:pStyle w:val="ListParagraph"/>
        <w:numPr>
          <w:ilvl w:val="0"/>
          <w:numId w:val="2"/>
        </w:numPr>
        <w:spacing w:after="110" w:line="288" w:lineRule="auto"/>
      </w:pPr>
      <w:r>
        <w:rPr>
          <w:rFonts w:ascii="Poppins" w:cs="Poppins" w:eastAsia="Poppins" w:hAnsi="Poppins"/>
          <w:i/>
          <w:iCs/>
          <w:color w:val="3F3F46"/>
          <w:sz w:val="22"/>
          <w:szCs w:val="22"/>
        </w:rPr>
        <w:t xml:space="preserve">“¿Tu equipo carga los datos de un lead a mano cuando llega por WhatsApp, o hay algo que lo haga automático?”</w:t>
      </w:r>
    </w:p>
    <w:p>
      <w:pPr>
        <w:pStyle w:val="ListParagraph"/>
        <w:numPr>
          <w:ilvl w:val="0"/>
          <w:numId w:val="2"/>
        </w:numPr>
        <w:spacing w:after="110" w:line="288" w:lineRule="auto"/>
      </w:pPr>
      <w:r>
        <w:rPr>
          <w:rFonts w:ascii="Poppins" w:cs="Poppins" w:eastAsia="Poppins" w:hAnsi="Poppins"/>
          <w:i/>
          <w:iCs/>
          <w:color w:val="3F3F46"/>
          <w:sz w:val="22"/>
          <w:szCs w:val="22"/>
        </w:rPr>
        <w:t xml:space="preserve">“¿Qué es lo que más te frustra hoy de tu sistema actual?” </w:t>
      </w:r>
      <w:r>
        <w:rPr>
          <w:rFonts w:ascii="Poppins" w:cs="Poppins" w:eastAsia="Poppins" w:hAnsi="Poppins"/>
          <w:i/>
          <w:iCs/>
          <w:color w:val="3F3F46"/>
          <w:sz w:val="22"/>
          <w:szCs w:val="22"/>
        </w:rPr>
        <w:t xml:space="preserve">(esta pregunta es oro — dejala hablar, ahí está el gancho real)</w:t>
      </w:r>
    </w:p>
    <w:p>
      <w:pPr>
        <w:pStyle w:val="Heading1"/>
        <w:spacing w:after="220" w:before="420"/>
      </w:pPr>
      <w:r>
        <w:rPr>
          <w:rFonts w:ascii="Poppins" w:cs="Poppins" w:eastAsia="Poppins" w:hAnsi="Poppins"/>
          <w:b/>
          <w:bCs/>
          <w:color w:val="FF007C"/>
          <w:sz w:val="30"/>
          <w:szCs w:val="30"/>
        </w:rPr>
        <w:t xml:space="preserve">3. Pitch (sin atacar al competidor — construir sobre lo que falta)</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“No te estoy pidiendo que abandones lo que ya tenés armado — sería un montón de trabajo tirado. Te propongo algo más simple: probá VendéPro gratis, en paralelo, específicamente para lo que me contaste que hoy te falta.</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Para las tasaciones: armás el documento con comparables, análisis FODA y PDF automático en minutos, no en una tarde aparte.</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Para el marketing: el sistema manda la información de conversión directo al servidor de Meta y Google, así que podés ver qué campaña llegó realmente hasta una reserva o una venta — no solo hasta el clic.</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Y hay inteligencia artificial metida en el uso diario: si te llega un lead por WhatsApp con los datos de la propiedad que busca, el sistema puede extraer esa información sola, sin que la cargues a mano.”</w:t>
      </w:r>
    </w:p>
    <w:p>
      <w:pPr>
        <w:pStyle w:val="Heading1"/>
        <w:spacing w:after="220" w:before="420"/>
      </w:pPr>
      <w:r>
        <w:rPr>
          <w:rFonts w:ascii="Poppins" w:cs="Poppins" w:eastAsia="Poppins" w:hAnsi="Poppins"/>
          <w:b/>
          <w:bCs/>
          <w:color w:val="FF007C"/>
          <w:sz w:val="30"/>
          <w:szCs w:val="30"/>
        </w:rPr>
        <w:t xml:space="preserve">3.5 Vendiendo la visión: la red de cierres reales (el gancho más fuerte)</w:t>
      </w:r>
    </w:p>
    <w:p>
      <w:pPr>
        <w:spacing w:after="180" w:line="300" w:lineRule="auto"/>
        <w:jc w:val="both"/>
      </w:pPr>
      <w:r>
        <w:rPr>
          <w:rFonts w:ascii="Poppins" w:cs="Poppins" w:eastAsia="Poppins" w:hAnsi="Poppins"/>
          <w:color w:val="27272A"/>
          <w:sz w:val="22"/>
          <w:szCs w:val="22"/>
        </w:rPr>
        <w:t xml:space="preserve">No esperes a que pregunte — traelo vos activamente, después del pitch:</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“Te cuento hacia dónde vamos, porque me interesa tu opinión honesta: estamos armando una red entre inmobiliarias que comparten sus cierres reales — de forma anónima, sin fotos — para que al tasar tengas los precios de venta reales de la zona, no solo lo que está publicado. Hoy todavía la estamos construyendo. ¿Te sumarías aportando tus cierres? ¿cuántos cierres por mes aportaría tu operación? ¿eso te haría decidirte a probar VendéPro?”</w:t>
      </w:r>
    </w:p>
    <w:p>
      <w:pPr>
        <w:spacing w:after="180" w:line="300" w:lineRule="auto"/>
        <w:jc w:val="both"/>
      </w:pPr>
      <w:r>
        <w:rPr>
          <w:rFonts w:ascii="Poppins" w:cs="Poppins" w:eastAsia="Poppins" w:hAnsi="Poppins"/>
          <w:color w:val="27272A"/>
          <w:sz w:val="22"/>
          <w:szCs w:val="22"/>
        </w:rPr>
        <w:t xml:space="preserve">Esta es, según la propia visión de producto de VendéPro, la pieza de mayor impacto competitivo — y la pregunta más importante de toda la conversación: la respuesta te dice si esta inmobiliaria es candidata a sumarse ahora como early adopter, o si hoy no es prioridad para ella. Cualquiera de las dos respuestas es información valiosa — anotala.</w:t>
      </w:r>
    </w:p>
    <w:p>
      <w:pPr>
        <w:spacing w:after="180" w:line="300" w:lineRule="auto"/>
        <w:jc w:val="both"/>
      </w:pPr>
      <w:r>
        <w:rPr>
          <w:rFonts w:ascii="Poppins" w:cs="Poppins" w:eastAsia="Poppins" w:hAnsi="Poppins"/>
          <w:color w:val="27272A"/>
          <w:sz w:val="22"/>
          <w:szCs w:val="22"/>
        </w:rPr>
        <w:t xml:space="preserve">También podés mencionar brevemente el asistente de WhatsApp con IA (responde consultas 24hs, agenda visitas, escala a un humano) como otro punto de visión, y preguntar si le serviría.</w:t>
      </w:r>
    </w:p>
    <w:p>
      <w:pPr>
        <w:pBdr>
          <w:left w:val="single" w:color="FF007C" w:sz="18" w:space="8"/>
        </w:pBdr>
        <w:shd w:fill="FDE9F3" w:color="auto" w:val="clear"/>
        <w:spacing w:after="160" w:before="120" w:line="288" w:lineRule="auto"/>
        <w:ind w:left="200"/>
        <w:jc w:val="both"/>
      </w:pPr>
      <w:r>
        <w:rPr>
          <w:rFonts w:ascii="Poppins" w:cs="Poppins" w:eastAsia="Poppins" w:hAnsi="Poppins"/>
          <w:b/>
          <w:bCs/>
          <w:color w:val="27272A"/>
          <w:sz w:val="22"/>
          <w:szCs w:val="22"/>
        </w:rPr>
        <w:t xml:space="preserve">Importante</w:t>
      </w:r>
      <w:r>
        <w:rPr>
          <w:rFonts w:ascii="Poppins" w:cs="Poppins" w:eastAsia="Poppins" w:hAnsi="Poppins"/>
          <w:color w:val="27272A"/>
          <w:sz w:val="22"/>
          <w:szCs w:val="22"/>
        </w:rPr>
        <w:t xml:space="preserve">: contá siempre esto como “estamos construyendo”, nunca como “ya tenemos” — la venta de la visión funciona si es honesta sobre que está en construcción, no si genera una expectativa de algo que hoy no se puede usar.</w:t>
      </w:r>
    </w:p>
    <w:p>
      <w:pPr>
        <w:pStyle w:val="Heading1"/>
        <w:spacing w:after="220" w:before="420"/>
      </w:pPr>
      <w:r>
        <w:rPr>
          <w:rFonts w:ascii="Poppins" w:cs="Poppins" w:eastAsia="Poppins" w:hAnsi="Poppins"/>
          <w:b/>
          <w:bCs/>
          <w:color w:val="FF007C"/>
          <w:sz w:val="30"/>
          <w:szCs w:val="30"/>
        </w:rPr>
        <w:t xml:space="preserve">4. Manejo de objeciones</w:t>
      </w:r>
    </w:p>
    <w:tbl>
      <w:tblPr>
        <w:tblW w:type="dxa" w:w="9026"/>
        <w:tblBorders>
          <w:top w:val="single" w:color="D4D4D8" w:sz="4"/>
          <w:left w:val="single" w:color="D4D4D8" w:sz="4"/>
          <w:bottom w:val="single" w:color="D4D4D8" w:sz="4"/>
          <w:right w:val="single" w:color="D4D4D8" w:sz="4"/>
          <w:insideH w:val="single" w:color="D4D4D8" w:sz="4"/>
          <w:insideV w:val="single" w:color="D4D4D8" w:sz="4"/>
        </w:tblBorders>
      </w:tblPr>
      <w:tblGrid>
        <w:gridCol w:w="2888"/>
        <w:gridCol w:w="6138"/>
      </w:tblGrid>
      <w:tr>
        <w:trPr>
          <w:cantSplit/>
          <w:tblHeader/>
        </w:trPr>
        <w:tc>
          <w:tcPr>
            <w:tcW w:type="dxa" w:w="2888"/>
            <w:shd w:fill="FDE6F0" w:color="auto" w:val="clear"/>
            <w:tcMar>
              <w:top w:type="dxa" w:w="110"/>
              <w:left w:type="dxa" w:w="130"/>
              <w:bottom w:type="dxa" w:w="110"/>
              <w:right w:type="dxa" w:w="130"/>
            </w:tcMar>
            <w:vAlign w:val="center"/>
          </w:tcPr>
          <w:p>
            <w:r>
              <w:rPr>
                <w:rFonts w:ascii="Poppins" w:cs="Poppins" w:eastAsia="Poppins" w:hAnsi="Poppins"/>
                <w:b/>
                <w:bCs/>
                <w:color w:val="C2005F"/>
                <w:sz w:val="21"/>
                <w:szCs w:val="21"/>
              </w:rPr>
              <w:t xml:space="preserve">Objeción</w:t>
            </w:r>
          </w:p>
        </w:tc>
        <w:tc>
          <w:tcPr>
            <w:tcW w:type="dxa" w:w="6138"/>
            <w:shd w:fill="FDE6F0" w:color="auto" w:val="clear"/>
            <w:tcMar>
              <w:top w:type="dxa" w:w="110"/>
              <w:left w:type="dxa" w:w="130"/>
              <w:bottom w:type="dxa" w:w="110"/>
              <w:right w:type="dxa" w:w="130"/>
            </w:tcMar>
            <w:vAlign w:val="center"/>
          </w:tcPr>
          <w:p>
            <w:r>
              <w:rPr>
                <w:rFonts w:ascii="Poppins" w:cs="Poppins" w:eastAsia="Poppins" w:hAnsi="Poppins"/>
                <w:b/>
                <w:bCs/>
                <w:color w:val="C2005F"/>
                <w:sz w:val="21"/>
                <w:szCs w:val="21"/>
              </w:rPr>
              <w:t xml:space="preserve">Respuesta</w:t>
            </w:r>
          </w:p>
        </w:tc>
      </w:tr>
      <w:tr>
        <w:trPr>
          <w:cantSplit/>
        </w:trPr>
        <w:tc>
          <w:tcPr>
            <w:tcW w:type="dxa" w:w="2888"/>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“Cambiar de sistema es un dolor de cabeza”</w:t>
            </w:r>
          </w:p>
        </w:tc>
        <w:tc>
          <w:tcPr>
            <w:tcW w:type="dxa" w:w="6138"/>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“No te estoy pidiendo que cambies — te propongo correr los dos en paralelo un tiempo, sin costo, y ver si suma antes de tomar cualquier decisión de fondo.”</w:t>
            </w:r>
          </w:p>
        </w:tc>
      </w:tr>
      <w:tr>
        <w:trPr>
          <w:cantSplit/>
        </w:trPr>
        <w:tc>
          <w:tcPr>
            <w:tcW w:type="dxa" w:w="2888"/>
            <w:shd w:fill="FAFAFA" w:color="auto" w:val="clear"/>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“Ya pago un CRM, no voy a pagar dos”</w:t>
            </w:r>
          </w:p>
        </w:tc>
        <w:tc>
          <w:tcPr>
            <w:tcW w:type="dxa" w:w="6138"/>
            <w:shd w:fill="FAFAFA" w:color="auto" w:val="clear"/>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“El plan gratuito de VendéPro no te cuesta nada mientras lo probás. Si en el día a día ves que reemplaza algo de lo que pagás, ahí se conversa. Si solo lo usás para tasaciones o para medir campañas, también sirve así.”</w:t>
            </w:r>
          </w:p>
        </w:tc>
      </w:tr>
      <w:tr>
        <w:trPr>
          <w:cantSplit/>
        </w:trPr>
        <w:tc>
          <w:tcPr>
            <w:tcW w:type="dxa" w:w="2888"/>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“¿Se integra con [Tokko Broker / mi sistema actual]?”</w:t>
            </w:r>
          </w:p>
        </w:tc>
        <w:tc>
          <w:tcPr>
            <w:tcW w:type="dxa" w:w="6138"/>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Ser honesto: “Hoy no tenemos integración automática con Tokko Broker — sí con KiteProp. Si tu operación depende 100% de la sincronización con tu sistema actual, hay que planificar bien cómo conviven los dos, y te lo digo de entrada para que no haya sorpresas.”</w:t>
            </w:r>
          </w:p>
        </w:tc>
      </w:tr>
      <w:tr>
        <w:trPr>
          <w:cantSplit/>
        </w:trPr>
        <w:tc>
          <w:tcPr>
            <w:tcW w:type="dxa" w:w="2888"/>
            <w:shd w:fill="FAFAFA" w:color="auto" w:val="clear"/>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“[Su sistema] ya tiene una red entre inmobiliarias, ¿ustedes qué tienen?”</w:t>
            </w:r>
          </w:p>
        </w:tc>
        <w:tc>
          <w:tcPr>
            <w:tcW w:type="dxa" w:w="6138"/>
            <w:shd w:fill="FAFAFA" w:color="auto" w:val="clear"/>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No es un punto para competir de igual a igual todavía, pero tampoco para esquivar: “Es cierto, y hoy esa red la tienen ellos funcionando. Lo que nosotros estamos construyendo es distinto: no publicaciones activas, sino cierres reales confirmados entre inmobiliarias, para tasar con lo que efectivamente se vendió. Todavía no está lista — ¿te interesaría ser de las primeras en sumarte cuando esté?”</w:t>
            </w:r>
          </w:p>
        </w:tc>
      </w:tr>
      <w:tr>
        <w:trPr>
          <w:cantSplit/>
        </w:trPr>
        <w:tc>
          <w:tcPr>
            <w:tcW w:type="dxa" w:w="2888"/>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“¿Cuánto sale el plan pago?”</w:t>
            </w:r>
          </w:p>
        </w:tc>
        <w:tc>
          <w:tcPr>
            <w:tcW w:type="dxa" w:w="6138"/>
            <w:tcMar>
              <w:top w:type="dxa" w:w="110"/>
              <w:left w:type="dxa" w:w="130"/>
              <w:bottom w:type="dxa" w:w="110"/>
              <w:right w:type="dxa" w:w="130"/>
            </w:tcMar>
            <w:vAlign w:val="center"/>
          </w:tcPr>
          <w:p>
            <w:pPr>
              <w:spacing w:line="276" w:lineRule="auto"/>
            </w:pPr>
            <w:r>
              <w:rPr>
                <w:rFonts w:ascii="Poppins" w:cs="Poppins" w:eastAsia="Poppins" w:hAnsi="Poppins"/>
                <w:color w:val="27272A"/>
                <w:sz w:val="21"/>
                <w:szCs w:val="21"/>
              </w:rPr>
              <w:t xml:space="preserve">“Todavía no tenemos una tabla de precios pública — arrancamos con el plan gratuito para que lo pruebes vos mismo, y cuando definamos planes pagos te aviso antes que a nadie. No te voy a tirar un número que después cambie.”</w:t>
            </w:r>
          </w:p>
        </w:tc>
      </w:tr>
    </w:tbl>
    <w:p>
      <w:pPr>
        <w:pStyle w:val="Heading1"/>
        <w:spacing w:after="220" w:before="420"/>
      </w:pPr>
      <w:r>
        <w:rPr>
          <w:rFonts w:ascii="Poppins" w:cs="Poppins" w:eastAsia="Poppins" w:hAnsi="Poppins"/>
          <w:b/>
          <w:bCs/>
          <w:color w:val="FF007C"/>
          <w:sz w:val="30"/>
          <w:szCs w:val="30"/>
        </w:rPr>
        <w:t xml:space="preserve">5. Cierre</w:t>
      </w:r>
    </w:p>
    <w:p>
      <w:pPr>
        <w:pBdr>
          <w:left w:val="single" w:color="FF007C" w:sz="18" w:space="10"/>
        </w:pBdr>
        <w:shd w:fill="F7F7F8" w:color="auto" w:val="clear"/>
        <w:spacing w:after="220" w:before="120" w:line="300" w:lineRule="auto"/>
        <w:ind w:left="200"/>
        <w:jc w:val="both"/>
      </w:pPr>
      <w:r>
        <w:rPr>
          <w:rFonts w:ascii="Poppins" w:cs="Poppins" w:eastAsia="Poppins" w:hAnsi="Poppins"/>
          <w:i/>
          <w:iCs/>
          <w:color w:val="3F3F46"/>
          <w:sz w:val="22"/>
          <w:szCs w:val="22"/>
        </w:rPr>
        <w:t xml:space="preserve">“Te propongo arrancar gratis con el módulo de tasaciones (o el de marketing, según lo que más le haya interesado) en paralelo a lo que ya usás, sin tocar nada de tu sistema actual. En dos o tres semanas volvemos a hablar y me contás si sumó. ¿Vamos?”</w:t>
      </w:r>
    </w:p>
    <w:p>
      <w:pPr>
        <w:pStyle w:val="Heading1"/>
        <w:spacing w:after="220" w:before="420"/>
      </w:pPr>
      <w:r>
        <w:rPr>
          <w:rFonts w:ascii="Poppins" w:cs="Poppins" w:eastAsia="Poppins" w:hAnsi="Poppins"/>
          <w:b/>
          <w:bCs/>
          <w:color w:val="FF007C"/>
          <w:sz w:val="30"/>
          <w:szCs w:val="30"/>
        </w:rPr>
        <w:t xml:space="preserve">Reglas de la casa para esta conversación</w:t>
      </w:r>
    </w:p>
    <w:p>
      <w:pPr>
        <w:pBdr>
          <w:left w:val="single" w:color="E11D48" w:sz="18" w:space="8"/>
        </w:pBdr>
        <w:shd w:fill="FDE8EE" w:color="auto" w:val="clear"/>
        <w:spacing w:after="60" w:before="120" w:line="288" w:lineRule="auto"/>
        <w:ind w:left="200"/>
        <w:jc w:val="both"/>
      </w:pPr>
      <w:r>
        <w:rPr>
          <w:rFonts w:ascii="Poppins" w:cs="Poppins" w:eastAsia="Poppins" w:hAnsi="Poppins"/>
          <w:color w:val="27272A"/>
          <w:sz w:val="22"/>
          <w:szCs w:val="22"/>
        </w:rPr>
        <w:t xml:space="preserve">Nunca afirmar como hecho una debilidad específica de Tokko Broker u otro competidor sin haberla confirmado con el propio prospecto — usar preguntas, no afirmaciones (“¿tu sistema hace X?” en vez de “tu sistema no hace X”).</w:t>
      </w:r>
    </w:p>
    <w:p>
      <w:pPr>
        <w:pBdr>
          <w:left w:val="single" w:color="E11D48" w:sz="18" w:space="8"/>
        </w:pBdr>
        <w:shd w:fill="FDE8EE" w:color="auto" w:val="clear"/>
        <w:spacing w:after="60" w:before="0" w:line="288" w:lineRule="auto"/>
        <w:ind w:left="200"/>
        <w:jc w:val="both"/>
      </w:pPr>
      <w:r>
        <w:rPr>
          <w:rFonts w:ascii="Poppins" w:cs="Poppins" w:eastAsia="Poppins" w:hAnsi="Poppins"/>
          <w:color w:val="27272A"/>
          <w:sz w:val="22"/>
          <w:szCs w:val="22"/>
        </w:rPr>
        <w:t xml:space="preserve">No prometer integración directa con Tokko Broker — no existe hoy.</w:t>
      </w:r>
    </w:p>
    <w:p>
      <w:pPr>
        <w:pBdr>
          <w:left w:val="single" w:color="E11D48" w:sz="18" w:space="8"/>
        </w:pBdr>
        <w:shd w:fill="FDE8EE" w:color="auto" w:val="clear"/>
        <w:spacing w:after="60" w:before="0" w:line="288" w:lineRule="auto"/>
        <w:ind w:left="200"/>
        <w:jc w:val="both"/>
      </w:pPr>
      <w:r>
        <w:rPr>
          <w:rFonts w:ascii="Poppins" w:cs="Poppins" w:eastAsia="Poppins" w:hAnsi="Poppins"/>
          <w:color w:val="27272A"/>
          <w:sz w:val="22"/>
          <w:szCs w:val="22"/>
        </w:rPr>
        <w:t xml:space="preserve">La red de cierres compartidos es el gancho más fuerte de esta conversación — traela activamente (sección 3.5), pero siempre contada como “estamos construyendo”, nunca como si ya se pudiera usar. Anotá la respuesta del prospecto, es la señal más valiosa de la llamada.</w:t>
      </w:r>
    </w:p>
    <w:p>
      <w:pPr>
        <w:pBdr>
          <w:left w:val="single" w:color="E11D48" w:sz="18" w:space="8"/>
        </w:pBdr>
        <w:shd w:fill="FDE8EE" w:color="auto" w:val="clear"/>
        <w:spacing w:after="160" w:before="0" w:line="288" w:lineRule="auto"/>
        <w:ind w:left="200"/>
        <w:jc w:val="both"/>
      </w:pPr>
      <w:r>
        <w:rPr>
          <w:rFonts w:ascii="Poppins" w:cs="Poppins" w:eastAsia="Poppins" w:hAnsi="Poppins"/>
          <w:color w:val="27272A"/>
          <w:sz w:val="22"/>
          <w:szCs w:val="22"/>
        </w:rPr>
        <w:t xml:space="preserve">No cerrar un precio de plan pago en la conversación — no está definido.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Poppins" w:cs="Poppins" w:eastAsia="Poppins" w:hAnsi="Poppins"/>
        <w:color w:val="FF007C"/>
      </w:rPr>
    </w:lvl>
  </w:abstractNum>
  <w:abstractNum w:abstractNumId="3" w15:restartNumberingAfterBreak="0">
    <w:multiLevelType w:val="hybridMultilevel"/>
    <w:lvl w:ilvl="0" w15:tentative="1">
      <w:start w:val="1"/>
      <w:numFmt w:val="decimal"/>
      <w:lvlText w:val="%1."/>
      <w:lvlJc w:val="left"/>
      <w:pPr>
        <w:ind w:left="460" w:hanging="260"/>
      </w:pPr>
      <w:rPr>
        <w:rFonts w:ascii="Poppins" w:cs="Poppins" w:eastAsia="Poppins" w:hAnsi="Poppins"/>
        <w:b/>
        <w:bCs/>
        <w:color w:val="FF00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7272A"/>
        <w:sz w:val="22"/>
        <w:szCs w:val="22"/>
      </w:rPr>
    </w:rPrDefault>
    <w:pPrDefault>
      <w:pPr>
        <w:spacing w:line="300" w:lineRule="auto"/>
      </w:pPr>
    </w:pPrDefault>
  </w:docDefaults>
  <w:style w:type="paragraph" w:styleId="Title">
    <w:name w:val="Title"/>
    <w:basedOn w:val="Normal"/>
    <w:next w:val="Normal"/>
    <w:qFormat/>
    <w:pPr>
      <w:spacing w:after="120"/>
    </w:pPr>
    <w:rPr>
      <w:rFonts w:ascii="Poppins" w:cs="Poppins" w:eastAsia="Poppins" w:hAnsi="Poppins"/>
      <w:b/>
      <w:bCs/>
      <w:color w:val="FF007C"/>
      <w:sz w:val="56"/>
      <w:szCs w:val="56"/>
    </w:rPr>
  </w:style>
  <w:style w:type="paragraph" w:styleId="Heading1">
    <w:name w:val="Heading 1"/>
    <w:basedOn w:val="Normal"/>
    <w:next w:val="Normal"/>
    <w:qFormat/>
    <w:pPr>
      <w:spacing w:after="220" w:before="420"/>
      <w:outlineLvl w:val="0"/>
    </w:pPr>
    <w:rPr>
      <w:rFonts w:ascii="Poppins" w:cs="Poppins" w:eastAsia="Poppins" w:hAnsi="Poppins"/>
      <w:b/>
      <w:bCs/>
      <w:color w:val="FF007C"/>
      <w:sz w:val="30"/>
      <w:szCs w:val="30"/>
    </w:rPr>
  </w:style>
  <w:style w:type="paragraph" w:styleId="Heading2">
    <w:name w:val="Heading 2"/>
    <w:basedOn w:val="Normal"/>
    <w:next w:val="Normal"/>
    <w:qFormat/>
    <w:pPr>
      <w:spacing w:after="140" w:before="260"/>
      <w:outlineLvl w:val="1"/>
    </w:pPr>
    <w:rPr>
      <w:rFonts w:ascii="Poppins" w:cs="Poppins" w:eastAsia="Poppins" w:hAnsi="Poppins"/>
      <w:b/>
      <w:bCs/>
      <w:color w:val="FF8017"/>
      <w:sz w:val="24"/>
      <w:szCs w:val="24"/>
    </w:rPr>
  </w:style>
  <w:style w:type="paragraph" w:styleId="Heading3">
    <w:name w:val="Heading 3"/>
    <w:basedOn w:val="Normal"/>
    <w:next w:val="Normal"/>
    <w:qFormat/>
    <w:pPr>
      <w:spacing w:after="100" w:before="200"/>
      <w:outlineLvl w:val="2"/>
    </w:pPr>
    <w:rPr>
      <w:rFonts w:ascii="Poppins" w:cs="Poppins" w:eastAsia="Poppins" w:hAnsi="Poppins"/>
      <w:b/>
      <w:bCs/>
      <w:color w:val="3F3F4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Guión de venta — Segmento 2 — VendéPro</dc:title>
  <dc:creator>VendéPro</dc:creator>
  <cp:lastModifiedBy>Un-named</cp:lastModifiedBy>
  <cp:revision>1</cp:revision>
  <dcterms:created xsi:type="dcterms:W3CDTF">2026-09-01T15:08:20.701Z</dcterms:created>
  <dcterms:modified xsi:type="dcterms:W3CDTF">2026-09-01T15:08:20.702Z</dcterms:modified>
</cp:coreProperties>
</file>

<file path=docProps/custom.xml><?xml version="1.0" encoding="utf-8"?>
<Properties xmlns="http://schemas.openxmlformats.org/officeDocument/2006/custom-properties" xmlns:vt="http://schemas.openxmlformats.org/officeDocument/2006/docPropsVTypes"/>
</file>