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b/>
          <w:color w:val="48C7BC"/>
          <w:sz w:val="20"/>
        </w:rPr>
        <w:t>HOGAR CONECTADO</w:t>
      </w:r>
    </w:p>
    <w:p>
      <w:pPr>
        <w:pStyle w:val="Title"/>
        <w:spacing w:after="160"/>
      </w:pPr>
      <w:r>
        <w:rPr>
          <w:rFonts w:ascii="Arial" w:hAnsi="Arial"/>
          <w:b/>
          <w:color w:val="000000"/>
          <w:sz w:val="60"/>
        </w:rPr>
        <w:t>Guía de ganancias para vendedores e incorporadores</w:t>
      </w:r>
    </w:p>
    <w:p>
      <w:pPr>
        <w:spacing w:after="480"/>
      </w:pPr>
      <w:r>
        <w:rPr>
          <w:rFonts w:ascii="Arial" w:hAnsi="Arial"/>
          <w:b w:val="0"/>
          <w:color w:val="66758F"/>
          <w:sz w:val="28"/>
        </w:rPr>
        <w:t>Cómo se forma el precio, cómo se reparte el margen y cuándo se liquida cada comisión</w:t>
      </w:r>
    </w:p>
    <w:p>
      <w:pPr>
        <w:pStyle w:val="Heading1"/>
        <w:keepNext/>
      </w:pPr>
      <w:r>
        <w:t>Objetivo de esta guía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Esta guía explica el esquema comercial de Hogar Conectado para las personas que incorporan productos al catálogo y para quienes los ofrecen y concretan ventas. El objetivo es que cada participante conozca de antemano qué tarea asume, qué porcentaje recibe y qué condiciones deben cumplirse para cobrar.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La regla central es sencilla: el valor base del producto pertenece a su propietario o proveedor. La ganancia comercial que se agrega a ese valor se distribuye entre quien incorporó el producto, quien concretó la venta y Hogar Conectado.</w:t>
      </w:r>
    </w:p>
    <w:p>
      <w:pPr>
        <w:pStyle w:val="Heading1"/>
        <w:keepNext/>
      </w:pPr>
      <w:r>
        <w:t>Distribución acordada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Participante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Aporte a la operación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Parte del margen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Vendedor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Atiende al cliente y concreta la venta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50 %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Incorporador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Suma el producto y mantiene su información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30 %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Hogar Conectado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Aporta la plataforma y administra la operación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20 %</w:t>
            </w:r>
          </w:p>
        </w:tc>
      </w:tr>
    </w:tbl>
    <w:p>
      <w:pPr>
        <w:spacing w:before="140" w:after="80" w:line="278" w:lineRule="auto"/>
      </w:pPr>
      <w:r>
        <w:rPr>
          <w:rFonts w:ascii="Arial" w:hAnsi="Arial"/>
          <w:b w:val="0"/>
          <w:color w:val="000000"/>
          <w:sz w:val="22"/>
        </w:rPr>
        <w:t>Los porcentajes se aplican sobre el margen comercial neto, no sobre el precio total del producto. El valor base, el envío y los gastos informados de la operación se tratan por separado.</w:t>
      </w:r>
    </w:p>
    <w:p>
      <w:r>
        <w:br w:type="page"/>
      </w:r>
    </w:p>
    <w:p>
      <w:pPr>
        <w:pStyle w:val="Heading1"/>
        <w:keepNext/>
      </w:pPr>
      <w:r>
        <w:t>Cómo se forma el precio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El propietario o proveedor define el valor base que necesita recibir. Sobre ese valor se agrega el porcentaje comercial configurado para el producto. En el ejemplo siguiente se usa un margen del 10 %.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1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Cálculo</w:t>
            </w:r>
          </w:p>
        </w:tc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Importe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Valor base</w:t>
            </w:r>
          </w:p>
        </w:tc>
        <w:tc>
          <w:tcPr>
            <w:tcW w:type="dxa" w:w="41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Monto solicitado por el propietario</w:t>
            </w:r>
          </w:p>
        </w:tc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$ 175.000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Margen comercial</w:t>
            </w:r>
          </w:p>
        </w:tc>
        <w:tc>
          <w:tcPr>
            <w:tcW w:type="dxa" w:w="41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$ 175.000 × 10 %</w:t>
            </w:r>
          </w:p>
        </w:tc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$ 17.500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Precio final contado</w:t>
            </w:r>
          </w:p>
        </w:tc>
        <w:tc>
          <w:tcPr>
            <w:tcW w:type="dxa" w:w="41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$ 175.000 + $ 17.500</w:t>
            </w:r>
          </w:p>
        </w:tc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$ 192.500</w:t>
            </w:r>
          </w:p>
        </w:tc>
      </w:tr>
    </w:tbl>
    <w:p>
      <w:pPr>
        <w:pStyle w:val="Heading1"/>
        <w:keepNext/>
      </w:pPr>
      <w:r>
        <w:t>Cómo se reparte el margen del ejemplo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Participante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Porcentaje</w:t>
            </w:r>
          </w:p>
        </w:tc>
        <w:tc>
          <w:tcPr>
            <w:tcW w:type="dxa" w:w="29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Importe</w:t>
            </w:r>
          </w:p>
        </w:tc>
      </w:tr>
      <w:tr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Vendedor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50 %</w:t>
            </w:r>
          </w:p>
        </w:tc>
        <w:tc>
          <w:tcPr>
            <w:tcW w:type="dxa" w:w="29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$ 8.750</w:t>
            </w:r>
          </w:p>
        </w:tc>
      </w:tr>
      <w:tr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Incorporador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30 %</w:t>
            </w:r>
          </w:p>
        </w:tc>
        <w:tc>
          <w:tcPr>
            <w:tcW w:type="dxa" w:w="29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$ 5.250</w:t>
            </w:r>
          </w:p>
        </w:tc>
      </w:tr>
      <w:tr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Hogar Conectado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20 %</w:t>
            </w:r>
          </w:p>
        </w:tc>
        <w:tc>
          <w:tcPr>
            <w:tcW w:type="dxa" w:w="29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$ 3.500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color w:val="26344D"/>
          <w:sz w:val="22"/>
        </w:rPr>
        <w:t xml:space="preserve">Propietario o proveedor  </w:t>
      </w:r>
      <w:r>
        <w:rPr>
          <w:rFonts w:ascii="Arial" w:hAnsi="Arial"/>
          <w:b w:val="0"/>
          <w:color w:val="000000"/>
          <w:sz w:val="22"/>
        </w:rPr>
        <w:t>recibe los $ 175.000 del valor base.</w:t>
      </w:r>
    </w:p>
    <w:p>
      <w:pPr>
        <w:spacing w:before="0" w:after="80"/>
      </w:pPr>
      <w:r>
        <w:rPr>
          <w:rFonts w:ascii="Arial" w:hAnsi="Arial"/>
          <w:b/>
          <w:color w:val="26344D"/>
          <w:sz w:val="22"/>
        </w:rPr>
        <w:t xml:space="preserve">Comprador  </w:t>
      </w:r>
      <w:r>
        <w:rPr>
          <w:rFonts w:ascii="Arial" w:hAnsi="Arial"/>
          <w:b w:val="0"/>
          <w:color w:val="000000"/>
          <w:sz w:val="22"/>
        </w:rPr>
        <w:t>paga $ 192.500, más el envío si corresponde.</w:t>
      </w:r>
    </w:p>
    <w:p>
      <w:pPr>
        <w:spacing w:before="0" w:after="80"/>
      </w:pPr>
      <w:r>
        <w:rPr>
          <w:rFonts w:ascii="Arial" w:hAnsi="Arial"/>
          <w:b/>
          <w:color w:val="26344D"/>
          <w:sz w:val="22"/>
        </w:rPr>
        <w:t xml:space="preserve">Margen total distribuido  </w:t>
      </w:r>
      <w:r>
        <w:rPr>
          <w:rFonts w:ascii="Arial" w:hAnsi="Arial"/>
          <w:b w:val="0"/>
          <w:color w:val="000000"/>
          <w:sz w:val="22"/>
        </w:rPr>
        <w:t>$ 17.500.</w:t>
      </w:r>
    </w:p>
    <w:p>
      <w:pPr>
        <w:pStyle w:val="Heading1"/>
        <w:keepNext/>
      </w:pPr>
      <w:r>
        <w:t>Qué significa cada rol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Una persona puede cumplir uno o varios roles en la misma operación. La plataforma debe registrar esas funciones para calcular la liquidación sin duplicar ni perder comisiones.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Propietario o proveedor: aporta el producto y define el valor base que espera recibir.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Incorporador: registra el producto, aporta la información necesaria y ayuda a mantener precio, imágenes y disponibilidad actualizados.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Vendedor: comparte el producto, responde consultas, prepara la cotización y confirma la venta con los datos del comprador.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Hogar Conectado: mantiene el catálogo, la gestión de consultas y cotizaciones, la trazabilidad y la administración de la operación.</w:t>
      </w:r>
    </w:p>
    <w:p>
      <w:r>
        <w:br w:type="page"/>
      </w:r>
    </w:p>
    <w:p>
      <w:pPr>
        <w:pStyle w:val="Heading1"/>
        <w:keepNext/>
      </w:pPr>
      <w:r>
        <w:t>Personas con más de un rol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Las partes correspondientes se suman. Nadie cobra dos veces por el mismo rol, pero una persona sí puede recibir más de una parte si realizó tareas diferentes.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 base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Comisión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 que recibe</w:t>
            </w:r>
          </w:p>
        </w:tc>
      </w:tr>
      <w:tr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Incorpora y vende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 aplica si no es propietario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$ 14.000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$ 14.000</w:t>
            </w:r>
          </w:p>
        </w:tc>
      </w:tr>
      <w:tr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propietario e incorpora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$ 175.000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$ 5.250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$ 180.250</w:t>
            </w:r>
          </w:p>
        </w:tc>
      </w:tr>
      <w:tr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propietario y vende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$ 175.000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$ 8.750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$ 183.750</w:t>
            </w:r>
          </w:p>
        </w:tc>
      </w:tr>
      <w:tr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propietario, incorpora y vende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$ 175.000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$ 14.000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$ 189.000</w:t>
            </w:r>
          </w:p>
        </w:tc>
      </w:tr>
    </w:tbl>
    <w:p>
      <w:pPr>
        <w:spacing w:before="140" w:after="140" w:line="278" w:lineRule="auto"/>
      </w:pPr>
      <w:r>
        <w:rPr>
          <w:rFonts w:ascii="Arial" w:hAnsi="Arial"/>
          <w:b w:val="0"/>
          <w:color w:val="000000"/>
          <w:sz w:val="22"/>
        </w:rPr>
        <w:t>En todos los casos del ejemplo, Hogar Conectado recibe $ 3.500, equivalentes al 20 % del margen. Si los roles pertenecen a personas distintas, cada una recibe solo la parte que le corresponde.</w:t>
      </w:r>
    </w:p>
    <w:p>
      <w:pPr>
        <w:pStyle w:val="Heading1"/>
        <w:keepNext/>
      </w:pPr>
      <w:r>
        <w:t>Recorrido de una venta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color w:val="000000"/>
          <w:sz w:val="22"/>
        </w:rPr>
        <w:t>El propietario o incorporador propone el producto, su valor base, imágenes, características y disponibilidad.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color w:val="000000"/>
          <w:sz w:val="22"/>
        </w:rPr>
        <w:t>Hogar Conectado revisa la información y publica el producto con el precio final visible.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color w:val="000000"/>
          <w:sz w:val="22"/>
        </w:rPr>
        <w:t>Uno o más vendedores pueden compartirlo, responder consultas y preparar una cotización.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color w:val="000000"/>
          <w:sz w:val="22"/>
        </w:rPr>
        <w:t>El vendedor confirma la venta con el nombre del comprador y el acuerdo de entrega. El envío se identifica por separado.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color w:val="000000"/>
          <w:sz w:val="22"/>
        </w:rPr>
        <w:t>La plataforma congela el precio, los roles y la distribución aplicable a esa venta para evitar cambios posteriores.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color w:val="000000"/>
          <w:sz w:val="22"/>
        </w:rPr>
        <w:t>La administración confirma el pago y la entrega. A partir de esas confirmaciones se habilita la liquidación.</w:t>
      </w:r>
    </w:p>
    <w:p>
      <w:pPr>
        <w:pStyle w:val="Heading1"/>
        <w:keepNext/>
      </w:pPr>
      <w:r>
        <w:t>Cuándo se gana y se paga una comisión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La comisión se considera generada cuando la venta fue confirmada, el pago fue acreditado y la entrega quedó registrada. Si la operación se cancela, se devuelve o no se cobra, la comisión no se liquida. Si existe un plazo de devolución, el pago de comisiones puede esperar hasta que ese plazo finalice.</w:t>
      </w:r>
    </w:p>
    <w:p>
      <w:r>
        <w:br w:type="page"/>
      </w:r>
    </w:p>
    <w:p>
      <w:pPr>
        <w:pStyle w:val="Heading1"/>
        <w:keepNext/>
      </w:pPr>
      <w:r>
        <w:t>Costos que no forman parte del reparto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El reparto del 50 %, 30 % y 20 % se calcula sobre el margen comercial neto disponible. Antes de confirmar una venta deben quedar visibles los gastos que afecten ese margen.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Envío: se acuerda con el comprador y se cobra por separado. No genera comisión.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Costo financiero o cuotas: la cotización debe mostrar el precio total y el valor de cada cuota. El costo financiero no se confunde con la ganancia comercial.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Comisiones del medio de pago: si corresponden, deben estar identificadas antes de calcular el margen neto distribuible.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Impuestos o retenciones: se aplican según la situación fiscal de la operación y deben quedar registrados.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Descuentos: requieren aceptación previa de las partes afectadas porque pueden reducir el margen disponible.</w:t>
      </w:r>
    </w:p>
    <w:p>
      <w:pPr>
        <w:pStyle w:val="Heading1"/>
        <w:keepNext/>
      </w:pPr>
      <w:r>
        <w:t>Información que verá cada participante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Información principal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6344D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Vendedor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Precio de venta, su comisión y estado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Solo sus operaciones o las que tenga asignadas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Incorporador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Productos incorporados, ventas y su comisión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4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 datos privados innecesarios del comprador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Desglose completo, pagos, entrega y liquidaciones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Todas las operaciones autorizadas</w:t>
            </w:r>
          </w:p>
        </w:tc>
      </w:tr>
    </w:tbl>
    <w:p>
      <w:pPr>
        <w:spacing w:before="140" w:after="140" w:line="278" w:lineRule="auto"/>
      </w:pPr>
      <w:r>
        <w:rPr>
          <w:rFonts w:ascii="Arial" w:hAnsi="Arial"/>
          <w:b w:val="0"/>
          <w:color w:val="000000"/>
          <w:sz w:val="22"/>
        </w:rPr>
        <w:t>Los porcentajes generales son transparentes para todos. Los datos personales del comprador y los detalles internos de una operación solo se muestran a quien los necesita para cumplir su tarea.</w:t>
      </w:r>
    </w:p>
    <w:p>
      <w:pPr>
        <w:pStyle w:val="Heading1"/>
        <w:keepNext/>
      </w:pPr>
      <w:r>
        <w:t>Compromisos de quienes participan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Publicar información real y mantener actualizados el precio, la disponibilidad y el estado del producto.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Usar imágenes autorizadas y describir con precisión las características del producto.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No prometer descuentos, financiación, entrega o garantía que no hayan sido confirmados.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Proteger el nombre, el teléfono y cualquier otro dato del comprador.</w:t>
      </w:r>
    </w:p>
    <w:p>
      <w:pPr>
        <w:pStyle w:val="ListBullet"/>
        <w:spacing w:after="80" w:line="269" w:lineRule="auto"/>
      </w:pPr>
      <w:r>
        <w:rPr>
          <w:rFonts w:ascii="Arial" w:hAnsi="Arial"/>
          <w:b w:val="0"/>
          <w:color w:val="000000"/>
          <w:sz w:val="22"/>
        </w:rPr>
        <w:t>Registrar en la plataforma las confirmaciones y cambios de estado para conservar la trazabilidad.</w:t>
      </w:r>
    </w:p>
    <w:p>
      <w:r>
        <w:br w:type="page"/>
      </w:r>
    </w:p>
    <w:p>
      <w:pPr>
        <w:pStyle w:val="Heading1"/>
        <w:keepNext/>
      </w:pPr>
      <w:r>
        <w:t>Preguntas frecuentes</w:t>
      </w:r>
    </w:p>
    <w:p>
      <w:pPr>
        <w:pStyle w:val="Heading2"/>
        <w:keepNext/>
      </w:pPr>
      <w:r>
        <w:t>Qué pasa si cambia el precio base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El nuevo valor se aplica a las cotizaciones futuras. Una venta ya confirmada conserva el precio y la distribución registrados al momento de la confirmación, salvo acuerdo expreso de todas las partes.</w:t>
      </w:r>
    </w:p>
    <w:p>
      <w:pPr>
        <w:pStyle w:val="Heading2"/>
        <w:keepNext/>
      </w:pPr>
      <w:r>
        <w:t>Qué pasa si el incorporador también concreta la venta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Recibe el 30 % correspondiente a la incorporación y el 50 % correspondiente a la venta. En conjunto cobra el 80 % del margen comercial.</w:t>
      </w:r>
    </w:p>
    <w:p>
      <w:pPr>
        <w:pStyle w:val="Heading2"/>
        <w:keepNext/>
      </w:pPr>
      <w:r>
        <w:t>Qué pasa si el producto pertenece al incorporador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Recibe el valor base como propietario y, además, el 30 % del margen por haber incorporado el producto. Si también concreta la venta, suma el 50 % del vendedor.</w:t>
      </w:r>
    </w:p>
    <w:p>
      <w:pPr>
        <w:pStyle w:val="Heading2"/>
        <w:keepNext/>
      </w:pPr>
      <w:r>
        <w:t>Quién acuerda y cobra el envío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El vendedor registra cómo se acordó la entrega. Si se solicita envío, su costo se informa por separado y se reintegra a quien lo gestione. No se reparte como ganancia.</w:t>
      </w:r>
    </w:p>
    <w:p>
      <w:pPr>
        <w:pStyle w:val="Heading2"/>
        <w:keepNext/>
      </w:pPr>
      <w:r>
        <w:t>Qué ocurre con una venta en cuotas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La cotización informa el precio total financiado y el importe de cada cuota. La liquidación usa el margen neto definido para esa modalidad después de identificar el costo financiero y las comisiones del medio de pago.</w:t>
      </w:r>
    </w:p>
    <w:p>
      <w:pPr>
        <w:pStyle w:val="Heading2"/>
        <w:keepNext/>
      </w:pPr>
      <w:r>
        <w:t>Qué pasa si la venta se cancela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No se liquida una comisión por una operación que no fue cobrada o que fue revertida. Si ya se realizó un pago, la administración registra el ajuste correspondiente antes de la siguiente liquidación.</w:t>
      </w:r>
    </w:p>
    <w:p>
      <w:pPr>
        <w:pStyle w:val="Heading1"/>
        <w:keepNext/>
      </w:pPr>
      <w:r>
        <w:t>Antes de empezar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Cada participante debe aceptar este esquema, mantener sus datos de cobro actualizados y revisar el desglose de la operación antes de confirmarla. Las condiciones específicas de una publicación o venta prevalecen cuando fueron informadas y aceptadas dentro de la plataforma.</w:t>
      </w:r>
    </w:p>
    <w:p>
      <w:pPr>
        <w:spacing w:before="0" w:after="140" w:line="278" w:lineRule="auto"/>
      </w:pPr>
      <w:r>
        <w:rPr>
          <w:rFonts w:ascii="Arial" w:hAnsi="Arial"/>
          <w:b w:val="0"/>
          <w:color w:val="000000"/>
          <w:sz w:val="22"/>
        </w:rPr>
        <w:t>Este documento describe el esquema comercial inicial de Hogar Conectado. Funciona como guía operativa y de transparencia; no reemplaza los acuerdos comerciales, fiscales o legales que correspondan en cada caso.</w:t>
      </w:r>
    </w:p>
    <w:sectPr w:rsidR="00FC693F" w:rsidRPr="0006063C" w:rsidSect="00034616">
      <w:footerReference w:type="default" r:id="rId9"/>
      <w:pgSz w:w="12240" w:h="15840"/>
      <w:pgMar w:top="1037" w:right="1152" w:bottom="96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b w:val="0"/>
        <w:color w:val="66758F"/>
        <w:sz w:val="17"/>
      </w:rPr>
      <w:t xml:space="preserve">Hogar Conectado   |   Guía comercial   |   </w:t>
    </w:r>
    <w:r>
      <w:rPr>
        <w:rFonts w:ascii="Arial" w:hAnsi="Arial"/>
        <w:color w:val="66758F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ganancias para vendedores e incorporadores</dc:title>
  <dc:subject>Esquema comercial de Hogar Conectado</dc:subject>
  <dc:creator>Hogar Conectado</dc:creator>
  <cp:keywords>vendedores, incorporadores, ganancias, comisiones, Hogar Conectado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