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drawing>
          <wp:inline distT="0" distB="0" distL="0" distR="0">
            <wp:extent cx="4762500" cy="4762500"/>
            <wp:effectExtent l="0" t="0" r="0" b="0"/>
            <wp:docPr id="1" name="Image1" title="Logo de Hogar Conec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Logo de Hogar Conectado"/>
                    <pic:cNvPicPr>
                      <a:picLocks noChangeAspect="1" noChangeArrowheads="1"/>
                    </pic:cNvPicPr>
                  </pic:nvPicPr>
                  <pic:blipFill>
                    <a:blip r:link="rId2"/>
                    <a:stretch>
                      <a:fillRect/>
                    </a:stretch>
                  </pic:blipFill>
                  <pic:spPr bwMode="auto">
                    <a:xfrm>
                      <a:off x="0" y="0"/>
                      <a:ext cx="4762500" cy="4762500"/>
                    </a:xfrm>
                    <a:prstGeom prst="rect">
                      <a:avLst/>
                    </a:prstGeom>
                    <a:noFill/>
                  </pic:spPr>
                </pic:pic>
              </a:graphicData>
            </a:graphic>
          </wp:inline>
        </w:drawing>
      </w:r>
      <w:r>
        <w:rPr/>
        <w:t xml:space="preserve"> </w:t>
      </w:r>
    </w:p>
    <w:p>
      <w:pPr>
        <w:pStyle w:val="BodyTexteyebrow"/>
        <w:bidi w:val="0"/>
        <w:rPr/>
      </w:pPr>
      <w:r>
        <w:rPr/>
        <w:t>Documento de estudio comercial</w:t>
      </w:r>
    </w:p>
    <w:p>
      <w:pPr>
        <w:pStyle w:val="Heading1"/>
        <w:keepNext w:val="true"/>
        <w:bidi w:val="0"/>
        <w:spacing w:lineRule="auto" w:line="269" w:before="320" w:after="160"/>
        <w:ind w:start="320" w:end="320"/>
        <w:rPr/>
      </w:pPr>
      <w:r>
        <w:rPr/>
        <w:t>Guía comercial para sumar productos y vendedores a Hogar Conectado</w:t>
      </w:r>
    </w:p>
    <w:p>
      <w:pPr>
        <w:pStyle w:val="BodyTextsubtitle"/>
        <w:bidi w:val="0"/>
        <w:ind w:hanging="0" w:start="300" w:end="300"/>
        <w:rPr/>
      </w:pPr>
      <w:r>
        <w:rPr/>
        <w:t>Cómo explicar el valor de la plataforma, detectar cuándo sirve y responder objeciones sin prometer más de lo que podemos cumplir</w:t>
      </w:r>
    </w:p>
    <w:p>
      <w:pPr>
        <w:pStyle w:val="BodyTextmeta"/>
        <w:bidi w:val="0"/>
        <w:spacing w:before="680" w:after="180"/>
        <w:rPr/>
      </w:pPr>
      <w:r>
        <w:t>Preparado para el administrador y propietario de Hogar Conectado</w:t>
        <w:br/>
        <w:t>Actualizado en septiembre de 2026 con feedback de usuarios</w:t>
      </w:r>
    </w:p>
    <w:p>
      <w:pPr>
        <w:pStyle w:val="Heading2"/>
        <w:keepNext w:val="true"/>
        <w:numPr>
          <w:ilvl w:val="0"/>
          <w:numId w:val="0"/>
        </w:numPr>
        <w:bidi w:val="0"/>
        <w:spacing w:before="460" w:after="160"/>
        <w:ind w:start="460" w:end="460"/>
        <w:rPr/>
      </w:pPr>
      <w:r>
        <w:rPr/>
        <w:t>La respuesta al temor principal</w:t>
      </w:r>
    </w:p>
    <w:p>
      <w:pPr>
        <w:pStyle w:val="BodyTextlead"/>
        <w:bidi w:val="0"/>
        <w:spacing w:lineRule="auto" w:line="360"/>
        <w:rPr/>
      </w:pPr>
      <w:r>
        <w:rPr/>
        <w:t>Una persona no traerá sus productos a Hogar Conectado solo porque exista una plataforma. Se sumará si percibe que puede conseguir ventas adicionales, con reglas claras y sin perder el control de su negocio.</w:t>
      </w:r>
    </w:p>
    <w:p>
      <w:pPr>
        <w:pStyle w:val="BodyText"/>
        <w:bidi w:val="0"/>
        <w:spacing w:before="0" w:after="180"/>
        <w:rPr/>
      </w:pPr>
      <w:r>
        <w:rPr/>
        <w:t>Quien ya vende por su cuenta tiene una pregunta legítima: “¿Por qué compartiría mi margen o permitiría que otra persona venda lo mío?”. La respuesta no debe atacar su forma actual de vender. Hogar Conectado debe presentarse como un canal adicional. La persona puede seguir vendiendo por Instagram, WhatsApp, ferias o contactos propios, mientras la plataforma amplía su alcance mediante una red de vendedores y herramientas para mostrar, cotizar y seguir cada oportunidad.</w:t>
      </w:r>
    </w:p>
    <w:p>
      <w:pPr>
        <w:pStyle w:val="BodyText"/>
        <w:bidi w:val="0"/>
        <w:spacing w:before="0" w:after="180"/>
        <w:rPr/>
      </w:pPr>
      <w:r>
        <w:rPr/>
        <w:t>La propuesta funciona cuando el valor de esa distribución adicional supera el costo de la comisión y el esfuerzo de mantener la información actualizada. Si la plataforma no genera exposición, consultas o ventas que el dueño difícilmente habría conseguido solo, su objeción sería correcta. Por eso la seducción comercial debe apoyarse en una prueba concreta, reglas transparentes y resultados medibles.</w:t>
      </w:r>
    </w:p>
    <w:p>
      <w:pPr>
        <w:pStyle w:val="Heading2"/>
        <w:keepNext w:val="true"/>
        <w:numPr>
          <w:ilvl w:val="0"/>
          <w:numId w:val="0"/>
        </w:numPr>
        <w:bidi w:val="0"/>
        <w:spacing w:before="460" w:after="160"/>
        <w:ind w:start="460" w:end="460"/>
        <w:rPr/>
      </w:pPr>
      <w:r>
        <w:rPr/>
        <w:t>Qué estamos ofreciendo realmente</w:t>
      </w:r>
    </w:p>
    <w:p>
      <w:pPr>
        <w:pStyle w:val="BodyText"/>
        <w:bidi w:val="0"/>
        <w:spacing w:before="0" w:after="180"/>
        <w:rPr/>
      </w:pPr>
      <w:r>
        <w:rPr/>
        <w:t>Hogar Conectado conecta tres intereses. El dueño del producto busca alcance y ventas. El vendedor busca una oportunidad sin comprar mercadería. El administrador organiza la operación, ofrece la tecnología y reduce la desconfianza entre las partes.</w:t>
      </w:r>
    </w:p>
    <w:tbl>
      <w:tblPr>
        <w:tblW w:w="9752" w:type="dxa"/>
        <w:jc w:val="start"/>
        <w:tblInd w:w="0" w:type="dxa"/>
        <w:tblLayout w:type="fixed"/>
        <w:tblCellMar>
          <w:top w:w="28" w:type="dxa"/>
          <w:start w:w="28" w:type="dxa"/>
          <w:bottom w:w="28" w:type="dxa"/>
          <w:end w:w="28" w:type="dxa"/>
        </w:tblCellMar>
      </w:tblPr>
      <w:tblGrid>
        <w:gridCol w:w="1630"/>
        <w:gridCol w:w="3930"/>
        <w:gridCol w:w="4192"/>
      </w:tblGrid>
      <w:tr>
        <w:trPr>
          <w:tblHeader w:val="true"/>
          <w:cantSplit/>
        </w:trPr>
        <w:tc>
          <w:tcPr>
            <w:tcW w:w="1630" w:type="dxa"/>
            <w:tcBorders/>
            <w:vAlign w:val="center"/>
          </w:tcPr>
          <w:p>
            <w:pPr>
              <w:pStyle w:val="TableHeading"/>
              <w:bidi w:val="0"/>
              <w:spacing w:before="0" w:after="180"/>
              <w:ind w:hanging="0" w:start="0" w:end="0"/>
              <w:jc w:val="start"/>
              <w:rPr/>
            </w:pPr>
            <w:r>
              <w:rPr/>
              <w:t>Participante</w:t>
            </w:r>
          </w:p>
        </w:tc>
        <w:tc>
          <w:tcPr>
            <w:tcW w:w="3930" w:type="dxa"/>
            <w:tcBorders/>
            <w:vAlign w:val="center"/>
          </w:tcPr>
          <w:p>
            <w:pPr>
              <w:pStyle w:val="TableHeading"/>
              <w:suppressLineNumbers/>
              <w:bidi w:val="0"/>
              <w:spacing w:before="0" w:after="180"/>
              <w:jc w:val="start"/>
              <w:rPr/>
            </w:pPr>
            <w:r>
              <w:rPr/>
              <w:t>Problema habitual</w:t>
            </w:r>
          </w:p>
        </w:tc>
        <w:tc>
          <w:tcPr>
            <w:tcW w:w="4192" w:type="dxa"/>
            <w:tcBorders/>
            <w:vAlign w:val="center"/>
          </w:tcPr>
          <w:p>
            <w:pPr>
              <w:pStyle w:val="TableHeading"/>
              <w:suppressLineNumbers/>
              <w:bidi w:val="0"/>
              <w:spacing w:before="0" w:after="180"/>
              <w:jc w:val="start"/>
              <w:rPr/>
            </w:pPr>
            <w:r>
              <w:rPr/>
              <w:t>Valor que debe recibir</w:t>
            </w:r>
          </w:p>
        </w:tc>
      </w:tr>
      <w:tr>
        <w:trPr>
          <w:cantSplit/>
        </w:trPr>
        <w:tc>
          <w:tcPr>
            <w:tcW w:w="1630" w:type="dxa"/>
            <w:tcBorders/>
            <w:vAlign w:val="center"/>
          </w:tcPr>
          <w:p>
            <w:pPr>
              <w:pStyle w:val="TableContents"/>
              <w:bidi w:val="0"/>
              <w:spacing w:before="0" w:after="180"/>
              <w:rPr/>
            </w:pPr>
            <w:r>
              <w:rPr/>
              <w:t>Dueño del producto</w:t>
            </w:r>
          </w:p>
        </w:tc>
        <w:tc>
          <w:tcPr>
            <w:tcW w:w="3930" w:type="dxa"/>
            <w:tcBorders/>
            <w:vAlign w:val="center"/>
          </w:tcPr>
          <w:p>
            <w:pPr>
              <w:pStyle w:val="TableContents"/>
              <w:bidi w:val="0"/>
              <w:spacing w:before="0" w:after="180"/>
              <w:rPr/>
            </w:pPr>
            <w:r>
              <w:rPr/>
              <w:t>Depende de su tiempo, sus contactos y su capacidad para publicar.</w:t>
            </w:r>
          </w:p>
        </w:tc>
        <w:tc>
          <w:tcPr>
            <w:tcW w:w="4192" w:type="dxa"/>
            <w:tcBorders/>
            <w:vAlign w:val="center"/>
          </w:tcPr>
          <w:p>
            <w:pPr>
              <w:pStyle w:val="TableContents"/>
              <w:bidi w:val="0"/>
              <w:spacing w:before="0" w:after="180"/>
              <w:rPr/>
            </w:pPr>
            <w:r>
              <w:rPr/>
              <w:t>Más personas ofreciendo el producto, sin abandonar sus canales propios.</w:t>
            </w:r>
          </w:p>
        </w:tc>
      </w:tr>
      <w:tr>
        <w:trPr>
          <w:cantSplit/>
        </w:trPr>
        <w:tc>
          <w:tcPr>
            <w:tcW w:w="1630" w:type="dxa"/>
            <w:tcBorders/>
            <w:vAlign w:val="center"/>
          </w:tcPr>
          <w:p>
            <w:pPr>
              <w:pStyle w:val="TableContents"/>
              <w:bidi w:val="0"/>
              <w:spacing w:before="0" w:after="180"/>
              <w:rPr/>
            </w:pPr>
            <w:r>
              <w:rPr/>
              <w:t>Vendedor</w:t>
            </w:r>
          </w:p>
        </w:tc>
        <w:tc>
          <w:tcPr>
            <w:tcW w:w="3930" w:type="dxa"/>
            <w:tcBorders/>
            <w:vAlign w:val="center"/>
          </w:tcPr>
          <w:p>
            <w:pPr>
              <w:pStyle w:val="TableContents"/>
              <w:bidi w:val="0"/>
              <w:spacing w:before="0" w:after="180"/>
              <w:rPr/>
            </w:pPr>
            <w:r>
              <w:rPr/>
              <w:t>Quiere vender, pero no siempre tiene catálogo, stock o capital para comprar mercadería.</w:t>
            </w:r>
          </w:p>
        </w:tc>
        <w:tc>
          <w:tcPr>
            <w:tcW w:w="4192" w:type="dxa"/>
            <w:tcBorders/>
            <w:vAlign w:val="center"/>
          </w:tcPr>
          <w:p>
            <w:pPr>
              <w:pStyle w:val="TableContents"/>
              <w:bidi w:val="0"/>
              <w:spacing w:before="0" w:after="180"/>
              <w:rPr/>
            </w:pPr>
            <w:r>
              <w:rPr/>
              <w:t>Productos listos para compartir, información ordenada y una ganancia conocida antes de vender.</w:t>
            </w:r>
          </w:p>
        </w:tc>
      </w:tr>
      <w:tr>
        <w:trPr>
          <w:cantSplit/>
        </w:trPr>
        <w:tc>
          <w:tcPr>
            <w:tcW w:w="1630" w:type="dxa"/>
            <w:tcBorders/>
            <w:vAlign w:val="center"/>
          </w:tcPr>
          <w:p>
            <w:pPr>
              <w:pStyle w:val="TableContents"/>
              <w:bidi w:val="0"/>
              <w:spacing w:before="0" w:after="180"/>
              <w:rPr/>
            </w:pPr>
            <w:r>
              <w:rPr/>
              <w:t>Comprador</w:t>
            </w:r>
          </w:p>
        </w:tc>
        <w:tc>
          <w:tcPr>
            <w:tcW w:w="3930" w:type="dxa"/>
            <w:tcBorders/>
            <w:vAlign w:val="center"/>
          </w:tcPr>
          <w:p>
            <w:pPr>
              <w:pStyle w:val="TableContents"/>
              <w:bidi w:val="0"/>
              <w:spacing w:before="0" w:after="180"/>
              <w:rPr/>
            </w:pPr>
            <w:r>
              <w:rPr/>
              <w:t>Encuentra información dispersa y no sabe quién responderá o qué condiciones son válidas.</w:t>
            </w:r>
          </w:p>
        </w:tc>
        <w:tc>
          <w:tcPr>
            <w:tcW w:w="4192" w:type="dxa"/>
            <w:tcBorders/>
            <w:vAlign w:val="center"/>
          </w:tcPr>
          <w:p>
            <w:pPr>
              <w:pStyle w:val="TableContents"/>
              <w:bidi w:val="0"/>
              <w:spacing w:before="0" w:after="180"/>
              <w:rPr/>
            </w:pPr>
            <w:r>
              <w:rPr/>
              <w:t>Una vidriera clara, una consulta simple y seguimiento de su compra.</w:t>
            </w:r>
          </w:p>
        </w:tc>
      </w:tr>
      <w:tr>
        <w:trPr>
          <w:cantSplit/>
        </w:trPr>
        <w:tc>
          <w:tcPr>
            <w:tcW w:w="1630" w:type="dxa"/>
            <w:tcBorders/>
            <w:vAlign w:val="center"/>
          </w:tcPr>
          <w:p>
            <w:pPr>
              <w:pStyle w:val="TableContents"/>
              <w:bidi w:val="0"/>
              <w:spacing w:before="0" w:after="180"/>
              <w:rPr/>
            </w:pPr>
            <w:r>
              <w:rPr/>
              <w:t>Hogar Conectado</w:t>
            </w:r>
          </w:p>
        </w:tc>
        <w:tc>
          <w:tcPr>
            <w:tcW w:w="3930" w:type="dxa"/>
            <w:tcBorders/>
            <w:vAlign w:val="center"/>
          </w:tcPr>
          <w:p>
            <w:pPr>
              <w:pStyle w:val="TableContents"/>
              <w:bidi w:val="0"/>
              <w:spacing w:before="0" w:after="180"/>
              <w:rPr/>
            </w:pPr>
            <w:r>
              <w:rPr/>
              <w:t>Debe coordinar datos, personas, consultas y pagos sin perder trazabilidad.</w:t>
            </w:r>
          </w:p>
        </w:tc>
        <w:tc>
          <w:tcPr>
            <w:tcW w:w="4192" w:type="dxa"/>
            <w:tcBorders/>
            <w:vAlign w:val="center"/>
          </w:tcPr>
          <w:p>
            <w:pPr>
              <w:pStyle w:val="TableContents"/>
              <w:bidi w:val="0"/>
              <w:spacing w:before="0" w:after="180"/>
              <w:rPr/>
            </w:pPr>
            <w:r>
              <w:rPr/>
              <w:t>Una participación acordada por sostener la plataforma y ordenar la operación.</w:t>
            </w:r>
          </w:p>
        </w:tc>
      </w:tr>
    </w:tbl>
    <w:p>
      <w:pPr>
        <w:pStyle w:val="Heading2"/>
        <w:keepNext w:val="true"/>
        <w:numPr>
          <w:ilvl w:val="0"/>
          <w:numId w:val="0"/>
        </w:numPr>
        <w:bidi w:val="0"/>
        <w:spacing w:before="460" w:after="160"/>
        <w:ind w:start="460" w:end="460"/>
        <w:rPr/>
      </w:pPr>
      <w:r>
        <w:rPr/>
        <w:t>Cómo atraer a quien incorpora productos</w:t>
      </w:r>
    </w:p>
    <w:p>
      <w:pPr>
        <w:pStyle w:val="Heading3"/>
        <w:keepNext w:val="true"/>
        <w:numPr>
          <w:ilvl w:val="0"/>
          <w:numId w:val="0"/>
        </w:numPr>
        <w:bidi w:val="0"/>
        <w:spacing w:before="340" w:after="100"/>
        <w:ind w:start="340" w:end="340"/>
        <w:rPr/>
      </w:pPr>
      <w:r>
        <w:rPr/>
        <w:t>La promesa útil</w:t>
      </w:r>
    </w:p>
    <w:p>
      <w:pPr>
        <w:pStyle w:val="BodyText"/>
        <w:bidi w:val="0"/>
        <w:spacing w:before="0" w:after="180"/>
        <w:rPr/>
      </w:pPr>
      <w:r>
        <w:rPr/>
        <w:t>“</w:t>
      </w:r>
      <w:r>
        <w:rPr/>
        <w:t>Podés seguir vendiendo como hasta ahora. Nosotros agregamos una vidriera y una red de personas que pueden acercarte compradores. Si aparece una venta por este canal, la operación queda registrada y cada participante sabe qué le corresponde.”</w:t>
      </w:r>
    </w:p>
    <w:p>
      <w:pPr>
        <w:pStyle w:val="Heading3"/>
        <w:keepNext w:val="true"/>
        <w:numPr>
          <w:ilvl w:val="0"/>
          <w:numId w:val="0"/>
        </w:numPr>
        <w:bidi w:val="0"/>
        <w:spacing w:before="340" w:after="100"/>
        <w:ind w:start="340" w:end="340"/>
        <w:rPr/>
      </w:pPr>
      <w:r>
        <w:rPr/>
        <w:t>Beneficios que tienen que ser demostrables</w:t>
      </w:r>
    </w:p>
    <w:p>
      <w:pPr>
        <w:pStyle w:val="BodyText"/>
        <w:numPr>
          <w:ilvl w:val="0"/>
          <w:numId w:val="2"/>
        </w:numPr>
        <w:tabs>
          <w:tab w:val="clear" w:pos="1134"/>
          <w:tab w:val="left" w:pos="709" w:leader="none"/>
        </w:tabs>
        <w:bidi w:val="0"/>
        <w:spacing w:before="0" w:after="0"/>
        <w:ind w:hanging="283" w:start="709"/>
        <w:rPr/>
      </w:pPr>
      <w:r>
        <w:rPr>
          <w:rStyle w:val="Strong"/>
        </w:rPr>
        <w:t>Distribución adicional.</w:t>
      </w:r>
      <w:r>
        <w:rPr/>
        <w:t xml:space="preserve"> El producto deja de depender únicamente de la audiencia y del tiempo del dueño. </w:t>
      </w:r>
    </w:p>
    <w:p>
      <w:pPr>
        <w:pStyle w:val="BodyText"/>
        <w:numPr>
          <w:ilvl w:val="0"/>
          <w:numId w:val="2"/>
        </w:numPr>
        <w:tabs>
          <w:tab w:val="clear" w:pos="1134"/>
          <w:tab w:val="left" w:pos="709" w:leader="none"/>
        </w:tabs>
        <w:bidi w:val="0"/>
        <w:spacing w:before="0" w:after="0"/>
        <w:ind w:hanging="283" w:start="709"/>
        <w:rPr/>
      </w:pPr>
      <w:r>
        <w:rPr>
          <w:rStyle w:val="Strong"/>
        </w:rPr>
        <w:t>Menos trabajo repetitivo.</w:t>
      </w:r>
      <w:r>
        <w:rPr/>
        <w:t xml:space="preserve"> La ficha reúne imágenes, descripción, precio y condiciones para que los vendedores compartan información consistente. </w:t>
      </w:r>
    </w:p>
    <w:p>
      <w:pPr>
        <w:pStyle w:val="BodyText"/>
        <w:numPr>
          <w:ilvl w:val="0"/>
          <w:numId w:val="2"/>
        </w:numPr>
        <w:tabs>
          <w:tab w:val="clear" w:pos="1134"/>
          <w:tab w:val="left" w:pos="709" w:leader="none"/>
        </w:tabs>
        <w:bidi w:val="0"/>
        <w:spacing w:before="0" w:after="0"/>
        <w:ind w:hanging="283" w:start="709"/>
        <w:rPr/>
      </w:pPr>
      <w:r>
        <w:rPr>
          <w:rStyle w:val="Strong"/>
        </w:rPr>
        <w:t>Sin exclusividad.</w:t>
      </w:r>
      <w:r>
        <w:rPr/>
        <w:t xml:space="preserve"> Incorporar un producto no debería impedir que su dueño siga vendiéndolo por sus propios canales. </w:t>
      </w:r>
    </w:p>
    <w:p>
      <w:pPr>
        <w:pStyle w:val="BodyText"/>
        <w:numPr>
          <w:ilvl w:val="0"/>
          <w:numId w:val="2"/>
        </w:numPr>
        <w:tabs>
          <w:tab w:val="clear" w:pos="1134"/>
          <w:tab w:val="left" w:pos="709" w:leader="none"/>
        </w:tabs>
        <w:bidi w:val="0"/>
        <w:spacing w:before="0" w:after="0"/>
        <w:ind w:hanging="283" w:start="709"/>
        <w:rPr/>
      </w:pPr>
      <w:r>
        <w:rPr>
          <w:rStyle w:val="Strong"/>
        </w:rPr>
        <w:t>Control comercial.</w:t>
      </w:r>
      <w:r>
        <w:rPr/>
        <w:t xml:space="preserve"> El dueño debe poder confirmar el precio base, la disponibilidad y las condiciones antes de publicar. </w:t>
      </w:r>
    </w:p>
    <w:p>
      <w:pPr>
        <w:pStyle w:val="BodyText"/>
        <w:numPr>
          <w:ilvl w:val="0"/>
          <w:numId w:val="2"/>
        </w:numPr>
        <w:tabs>
          <w:tab w:val="clear" w:pos="1134"/>
          <w:tab w:val="left" w:pos="709" w:leader="none"/>
        </w:tabs>
        <w:bidi w:val="0"/>
        <w:spacing w:before="0" w:after="0"/>
        <w:ind w:hanging="283" w:start="709"/>
        <w:rPr/>
      </w:pPr>
      <w:r>
        <w:rPr>
          <w:rStyle w:val="Strong"/>
        </w:rPr>
        <w:t>Trazabilidad.</w:t>
      </w:r>
      <w:r>
        <w:rPr/>
        <w:t xml:space="preserve"> Una consulta o venta debe indicar quién la originó, qué precio se usó y cómo se distribuye el margen. </w:t>
      </w:r>
    </w:p>
    <w:p>
      <w:pPr>
        <w:pStyle w:val="BodyText"/>
        <w:numPr>
          <w:ilvl w:val="0"/>
          <w:numId w:val="2"/>
        </w:numPr>
        <w:tabs>
          <w:tab w:val="clear" w:pos="1134"/>
          <w:tab w:val="left" w:pos="709" w:leader="none"/>
        </w:tabs>
        <w:bidi w:val="0"/>
        <w:ind w:hanging="283" w:start="709"/>
        <w:rPr/>
      </w:pPr>
      <w:r>
        <w:rPr>
          <w:rStyle w:val="Strong"/>
        </w:rPr>
        <w:t>Prueba de bajo riesgo.</w:t>
      </w:r>
      <w:r>
        <w:rPr/>
        <w:t xml:space="preserve"> Conviene comenzar con pocos productos y revisar resultados antes de ampliar el catálogo. </w:t>
      </w:r>
    </w:p>
    <w:p>
      <w:pPr>
        <w:pStyle w:val="Heading3"/>
        <w:keepNext w:val="true"/>
        <w:numPr>
          <w:ilvl w:val="0"/>
          <w:numId w:val="0"/>
        </w:numPr>
        <w:bidi w:val="0"/>
        <w:spacing w:before="340" w:after="100"/>
        <w:ind w:start="340" w:end="340"/>
        <w:rPr/>
      </w:pPr>
      <w:r>
        <w:rPr/>
        <w:t>Lo que no conviene prometer</w:t>
      </w:r>
    </w:p>
    <w:p>
      <w:pPr>
        <w:pStyle w:val="BodyText"/>
        <w:bidi w:val="0"/>
        <w:spacing w:before="0" w:after="180"/>
        <w:rPr/>
      </w:pPr>
      <w:r>
        <w:rPr/>
        <w:t>No prometas una cantidad de ventas, ingresos rápidos ni exposición garantizada. Tampoco presentes la plataforma como reemplazo inmediato de sus redes. La propuesta creíble es ampliar oportunidades y medir qué sucede. La confianza aumenta cuando explicamos también los límites.</w:t>
      </w:r>
    </w:p>
    <w:p>
      <w:pPr>
        <w:pStyle w:val="Heading3"/>
        <w:keepNext w:val="true"/>
        <w:numPr>
          <w:ilvl w:val="0"/>
          <w:numId w:val="0"/>
        </w:numPr>
        <w:bidi w:val="0"/>
        <w:spacing w:before="340" w:after="100"/>
        <w:ind w:start="340" w:end="340"/>
        <w:rPr/>
      </w:pPr>
      <w:r>
        <w:rPr/>
        <w:t>Preguntas para descubrir si existe una necesidad</w:t>
      </w:r>
    </w:p>
    <w:p>
      <w:pPr>
        <w:pStyle w:val="BodyText"/>
        <w:numPr>
          <w:ilvl w:val="0"/>
          <w:numId w:val="3"/>
        </w:numPr>
        <w:tabs>
          <w:tab w:val="clear" w:pos="1134"/>
          <w:tab w:val="left" w:pos="709" w:leader="none"/>
        </w:tabs>
        <w:bidi w:val="0"/>
        <w:spacing w:before="0" w:after="0"/>
        <w:ind w:hanging="283" w:start="709"/>
        <w:rPr/>
      </w:pPr>
      <w:r>
        <w:rPr/>
        <w:t xml:space="preserve">¿Dónde mostrás hoy tus productos y cuánto tiempo te lleva responder consultas? </w:t>
      </w:r>
    </w:p>
    <w:p>
      <w:pPr>
        <w:pStyle w:val="BodyText"/>
        <w:numPr>
          <w:ilvl w:val="0"/>
          <w:numId w:val="3"/>
        </w:numPr>
        <w:tabs>
          <w:tab w:val="clear" w:pos="1134"/>
          <w:tab w:val="left" w:pos="709" w:leader="none"/>
        </w:tabs>
        <w:bidi w:val="0"/>
        <w:spacing w:before="0" w:after="0"/>
        <w:ind w:hanging="283" w:start="709"/>
        <w:rPr/>
      </w:pPr>
      <w:r>
        <w:rPr/>
        <w:t xml:space="preserve">¿Tenés productos que venderías más si otras personas los ofrecieran? </w:t>
      </w:r>
    </w:p>
    <w:p>
      <w:pPr>
        <w:pStyle w:val="BodyText"/>
        <w:numPr>
          <w:ilvl w:val="0"/>
          <w:numId w:val="3"/>
        </w:numPr>
        <w:tabs>
          <w:tab w:val="clear" w:pos="1134"/>
          <w:tab w:val="left" w:pos="709" w:leader="none"/>
        </w:tabs>
        <w:bidi w:val="0"/>
        <w:spacing w:before="0" w:after="0"/>
        <w:ind w:hanging="283" w:start="709"/>
        <w:rPr/>
      </w:pPr>
      <w:r>
        <w:rPr/>
        <w:t xml:space="preserve">¿Qué información necesita conocer un vendedor antes de recomendarlos? </w:t>
      </w:r>
    </w:p>
    <w:p>
      <w:pPr>
        <w:pStyle w:val="BodyText"/>
        <w:numPr>
          <w:ilvl w:val="0"/>
          <w:numId w:val="3"/>
        </w:numPr>
        <w:tabs>
          <w:tab w:val="clear" w:pos="1134"/>
          <w:tab w:val="left" w:pos="709" w:leader="none"/>
        </w:tabs>
        <w:bidi w:val="0"/>
        <w:spacing w:before="0" w:after="0"/>
        <w:ind w:hanging="283" w:start="709"/>
        <w:rPr/>
      </w:pPr>
      <w:r>
        <w:rPr/>
        <w:t xml:space="preserve">¿Con qué frecuencia cambian el precio y la disponibilidad? </w:t>
      </w:r>
    </w:p>
    <w:p>
      <w:pPr>
        <w:pStyle w:val="BodyText"/>
        <w:numPr>
          <w:ilvl w:val="0"/>
          <w:numId w:val="3"/>
        </w:numPr>
        <w:tabs>
          <w:tab w:val="clear" w:pos="1134"/>
          <w:tab w:val="left" w:pos="709" w:leader="none"/>
        </w:tabs>
        <w:bidi w:val="0"/>
        <w:spacing w:before="0" w:after="0"/>
        <w:ind w:hanging="283" w:start="709"/>
        <w:rPr/>
      </w:pPr>
      <w:r>
        <w:rPr/>
        <w:t xml:space="preserve">¿Qué condición tendría que cumplirse para que una venta a través de terceros te resulte conveniente? </w:t>
      </w:r>
    </w:p>
    <w:p>
      <w:pPr>
        <w:pStyle w:val="BodyText"/>
        <w:numPr>
          <w:ilvl w:val="0"/>
          <w:numId w:val="3"/>
        </w:numPr>
        <w:tabs>
          <w:tab w:val="clear" w:pos="1134"/>
          <w:tab w:val="left" w:pos="709" w:leader="none"/>
        </w:tabs>
        <w:bidi w:val="0"/>
        <w:ind w:hanging="283" w:start="709"/>
        <w:rPr/>
      </w:pPr>
      <w:r>
        <w:rPr/>
        <w:t xml:space="preserve">¿Cómo preferís resolver el cobro, la entrega, los cambios y las devoluciones? </w:t>
      </w:r>
    </w:p>
    <w:p>
      <w:pPr>
        <w:pStyle w:val="Heading3"/>
        <w:keepNext w:val="true"/>
        <w:numPr>
          <w:ilvl w:val="0"/>
          <w:numId w:val="0"/>
        </w:numPr>
        <w:bidi w:val="0"/>
        <w:spacing w:before="340" w:after="100"/>
        <w:ind w:start="340" w:end="340"/>
        <w:rPr/>
      </w:pPr>
      <w:r>
        <w:rPr/>
        <w:t>Presentación breve para el dueño del producto</w:t>
      </w:r>
    </w:p>
    <w:p>
      <w:pPr>
        <w:pStyle w:val="BodyTextscript"/>
        <w:bidi w:val="0"/>
        <w:spacing w:before="140" w:after="280"/>
        <w:ind w:start="320" w:end="140"/>
        <w:rPr/>
      </w:pPr>
      <w:r>
        <w:rPr/>
        <w:t>“</w:t>
      </w:r>
      <w:r>
        <w:rPr/>
        <w:t>Hogar Conectado puede funcionar como un canal adicional para tus productos. Vos seguís vendiendo por tu cuenta y mantenés actualizados el precio y la disponibilidad. Nosotros los mostramos en una vidriera ordenada y habilitamos a vendedores para compartirlos y acercar compradores. Antes de publicar acordamos cómo se distribuye el margen y, cuando hay una operación, queda registrado quién vendió, cuánto corresponde rendir y cuál es la ganancia de cada parte. Te propongo probar con tres productos y evaluar las consultas y ventas que genere el canal.”</w:t>
      </w:r>
    </w:p>
    <w:p>
      <w:pPr>
        <w:pStyle w:val="Heading2"/>
        <w:keepNext w:val="true"/>
        <w:numPr>
          <w:ilvl w:val="0"/>
          <w:numId w:val="0"/>
        </w:numPr>
        <w:bidi w:val="0"/>
        <w:spacing w:before="460" w:after="160"/>
        <w:ind w:start="460" w:end="460"/>
        <w:rPr/>
      </w:pPr>
      <w:r>
        <w:rPr/>
        <w:t>Cómo atraer a nuevos vendedores</w:t>
      </w:r>
    </w:p>
    <w:p>
      <w:pPr>
        <w:pStyle w:val="Heading3"/>
        <w:keepNext w:val="true"/>
        <w:numPr>
          <w:ilvl w:val="0"/>
          <w:numId w:val="0"/>
        </w:numPr>
        <w:bidi w:val="0"/>
        <w:spacing w:before="340" w:after="100"/>
        <w:ind w:start="340" w:end="340"/>
        <w:rPr/>
      </w:pPr>
      <w:r>
        <w:rPr/>
        <w:t>La promesa útil</w:t>
      </w:r>
    </w:p>
    <w:p>
      <w:pPr>
        <w:pStyle w:val="BodyText"/>
        <w:bidi w:val="0"/>
        <w:spacing w:before="0" w:after="180"/>
        <w:rPr/>
      </w:pPr>
      <w:r>
        <w:rPr/>
        <w:t>“</w:t>
      </w:r>
      <w:r>
        <w:rPr/>
        <w:t>Podés empezar a vender sin comprar stock. Elegís productos disponibles, los compartís y usás la plataforma para cotizar y seguir oportunidades. Antes de ofrecerlos sabés qué información comunicar y cómo se calcula tu ganancia.”</w:t>
      </w:r>
    </w:p>
    <w:p>
      <w:pPr>
        <w:pStyle w:val="Heading3"/>
        <w:keepNext w:val="true"/>
        <w:numPr>
          <w:ilvl w:val="0"/>
          <w:numId w:val="0"/>
        </w:numPr>
        <w:bidi w:val="0"/>
        <w:spacing w:before="340" w:after="100"/>
        <w:ind w:start="340" w:end="340"/>
        <w:rPr/>
      </w:pPr>
      <w:r>
        <w:rPr/>
        <w:t>Qué hace atractiva la propuesta</w:t>
      </w:r>
    </w:p>
    <w:p>
      <w:pPr>
        <w:pStyle w:val="BodyText"/>
        <w:numPr>
          <w:ilvl w:val="0"/>
          <w:numId w:val="4"/>
        </w:numPr>
        <w:tabs>
          <w:tab w:val="clear" w:pos="1134"/>
          <w:tab w:val="left" w:pos="709" w:leader="none"/>
        </w:tabs>
        <w:bidi w:val="0"/>
        <w:spacing w:before="0" w:after="0"/>
        <w:ind w:hanging="283" w:start="709"/>
        <w:rPr/>
      </w:pPr>
      <w:r>
        <w:rPr/>
        <w:t xml:space="preserve">Puede ofrecer productos propios y productos incorporados por otras personas. </w:t>
      </w:r>
    </w:p>
    <w:p>
      <w:pPr>
        <w:pStyle w:val="BodyText"/>
        <w:numPr>
          <w:ilvl w:val="0"/>
          <w:numId w:val="4"/>
        </w:numPr>
        <w:tabs>
          <w:tab w:val="clear" w:pos="1134"/>
          <w:tab w:val="left" w:pos="709" w:leader="none"/>
        </w:tabs>
        <w:bidi w:val="0"/>
        <w:spacing w:before="0" w:after="0"/>
        <w:ind w:hanging="283" w:start="709"/>
        <w:rPr/>
      </w:pPr>
      <w:r>
        <w:rPr/>
        <w:t xml:space="preserve">No necesita financiar un inventario para comenzar. </w:t>
      </w:r>
    </w:p>
    <w:p>
      <w:pPr>
        <w:pStyle w:val="BodyText"/>
        <w:numPr>
          <w:ilvl w:val="0"/>
          <w:numId w:val="4"/>
        </w:numPr>
        <w:tabs>
          <w:tab w:val="clear" w:pos="1134"/>
          <w:tab w:val="left" w:pos="709" w:leader="none"/>
        </w:tabs>
        <w:bidi w:val="0"/>
        <w:spacing w:before="0" w:after="0"/>
        <w:ind w:hanging="283" w:start="709"/>
        <w:rPr/>
      </w:pPr>
      <w:r>
        <w:rPr/>
        <w:t xml:space="preserve">Cuenta con imágenes, datos y precios organizados en un solo lugar. </w:t>
      </w:r>
    </w:p>
    <w:p>
      <w:pPr>
        <w:pStyle w:val="BodyText"/>
        <w:numPr>
          <w:ilvl w:val="0"/>
          <w:numId w:val="4"/>
        </w:numPr>
        <w:tabs>
          <w:tab w:val="clear" w:pos="1134"/>
          <w:tab w:val="left" w:pos="709" w:leader="none"/>
        </w:tabs>
        <w:bidi w:val="0"/>
        <w:spacing w:before="0" w:after="0"/>
        <w:ind w:hanging="283" w:start="709"/>
        <w:rPr/>
      </w:pPr>
      <w:r>
        <w:rPr/>
        <w:t xml:space="preserve">Puede preparar cotizaciones y dar seguimiento a las consultas. </w:t>
      </w:r>
    </w:p>
    <w:p>
      <w:pPr>
        <w:pStyle w:val="BodyText"/>
        <w:numPr>
          <w:ilvl w:val="0"/>
          <w:numId w:val="4"/>
        </w:numPr>
        <w:tabs>
          <w:tab w:val="clear" w:pos="1134"/>
          <w:tab w:val="left" w:pos="709" w:leader="none"/>
        </w:tabs>
        <w:bidi w:val="0"/>
        <w:spacing w:before="0" w:after="0"/>
        <w:ind w:hanging="283" w:start="709"/>
        <w:rPr/>
      </w:pPr>
      <w:r>
        <w:rPr/>
        <w:t xml:space="preserve">Visualiza su actividad y las ganancias asociadas a ventas confirmadas. </w:t>
      </w:r>
    </w:p>
    <w:p>
      <w:pPr>
        <w:pStyle w:val="BodyText"/>
        <w:numPr>
          <w:ilvl w:val="0"/>
          <w:numId w:val="4"/>
        </w:numPr>
        <w:tabs>
          <w:tab w:val="clear" w:pos="1134"/>
          <w:tab w:val="left" w:pos="709" w:leader="none"/>
        </w:tabs>
        <w:bidi w:val="0"/>
        <w:ind w:hanging="283" w:start="709"/>
        <w:rPr/>
      </w:pPr>
      <w:r>
        <w:rPr/>
        <w:t xml:space="preserve">Si incorpora productos propios, la misma red puede ayudarlo a venderlos. </w:t>
      </w:r>
    </w:p>
    <w:p>
      <w:pPr>
        <w:pStyle w:val="Heading3"/>
        <w:keepNext w:val="true"/>
        <w:numPr>
          <w:ilvl w:val="0"/>
          <w:numId w:val="0"/>
        </w:numPr>
        <w:bidi w:val="0"/>
        <w:spacing w:before="340" w:after="100"/>
        <w:ind w:start="340" w:end="340"/>
        <w:rPr/>
      </w:pPr>
      <w:r>
        <w:rPr/>
        <w:t>Qué debe aceptar el vendedor</w:t>
      </w:r>
    </w:p>
    <w:p>
      <w:pPr>
        <w:pStyle w:val="BodyText"/>
        <w:bidi w:val="0"/>
        <w:spacing w:before="0" w:after="180"/>
        <w:rPr/>
      </w:pPr>
      <w:r>
        <w:rPr/>
        <w:t>La oportunidad también implica responsabilidades. El vendedor debe comunicar información vigente, identificar correctamente al comprador, evitar promesas de stock o entrega que no estén confirmadas y registrar la operación. La plataforma pierde credibilidad si cada vendedor inventa condiciones diferentes.</w:t>
      </w:r>
    </w:p>
    <w:p>
      <w:pPr>
        <w:pStyle w:val="Heading3"/>
        <w:keepNext w:val="true"/>
        <w:numPr>
          <w:ilvl w:val="0"/>
          <w:numId w:val="0"/>
        </w:numPr>
        <w:bidi w:val="0"/>
        <w:spacing w:before="340" w:after="100"/>
        <w:ind w:start="340" w:end="340"/>
        <w:rPr/>
      </w:pPr>
      <w:r>
        <w:rPr/>
        <w:t>Presentación breve para un vendedor</w:t>
      </w:r>
    </w:p>
    <w:p>
      <w:pPr>
        <w:pStyle w:val="BodyTextscript"/>
        <w:bidi w:val="0"/>
        <w:spacing w:before="140" w:after="280"/>
        <w:ind w:start="320" w:end="140"/>
        <w:rPr/>
      </w:pPr>
      <w:r>
        <w:rPr/>
        <w:t>“</w:t>
      </w:r>
      <w:r>
        <w:rPr/>
        <w:t>En Hogar Conectado podés ofrecer productos sin tener que comprarlos primero. La plataforma te muestra qué está disponible, el precio de venta y la información para compartir. Si conseguís un comprador, registrás la operación y podés seguir el estado del pago y la entrega. Tu ganancia se informa según las reglas acordadas. También podés incorporar productos propios para que otros vendedores los impulsen.”</w:t>
      </w:r>
    </w:p>
    <w:p>
      <w:pPr>
        <w:pStyle w:val="Heading2"/>
        <w:keepNext w:val="true"/>
        <w:numPr>
          <w:ilvl w:val="0"/>
          <w:numId w:val="0"/>
        </w:numPr>
        <w:bidi w:val="0"/>
        <w:spacing w:before="460" w:after="160"/>
        <w:ind w:start="460" w:end="460"/>
        <w:rPr/>
      </w:pPr>
      <w:r>
        <w:rPr/>
        <w:t>Cómo explicar el intercambio entre las partes</w:t>
      </w:r>
    </w:p>
    <w:p>
      <w:pPr>
        <w:pStyle w:val="BodyText"/>
        <w:bidi w:val="0"/>
        <w:spacing w:before="0" w:after="180"/>
        <w:rPr/>
      </w:pPr>
      <w:r>
        <w:rPr/>
        <w:t>Una venta puede involucrar a quien aportó el producto, a quien consiguió al comprador y a Hogar Conectado. La conversación comercial debe separar el dinero a rendir del margen que se distribuye. El precio base o valor acordado para el dueño no debe confundirse con la ganancia de los participantes.</w:t>
      </w:r>
    </w:p>
    <w:p>
      <w:pPr>
        <w:pStyle w:val="BodyText"/>
        <w:bidi w:val="0"/>
        <w:spacing w:before="0" w:after="180"/>
        <w:rPr/>
      </w:pPr>
      <w:r>
        <w:rPr/>
        <w:t>Antes de publicar, cada producto necesita una regla visible para los participantes autorizados:</w:t>
      </w:r>
    </w:p>
    <w:p>
      <w:pPr>
        <w:pStyle w:val="BodyText"/>
        <w:numPr>
          <w:ilvl w:val="0"/>
          <w:numId w:val="5"/>
        </w:numPr>
        <w:tabs>
          <w:tab w:val="clear" w:pos="1134"/>
          <w:tab w:val="left" w:pos="709" w:leader="none"/>
        </w:tabs>
        <w:bidi w:val="0"/>
        <w:spacing w:before="0" w:after="0"/>
        <w:ind w:hanging="283" w:start="709"/>
        <w:rPr/>
      </w:pPr>
      <w:r>
        <w:rPr/>
        <w:t xml:space="preserve">valor que debe recibir el dueño del producto; </w:t>
      </w:r>
    </w:p>
    <w:p>
      <w:pPr>
        <w:pStyle w:val="BodyText"/>
        <w:numPr>
          <w:ilvl w:val="0"/>
          <w:numId w:val="5"/>
        </w:numPr>
        <w:tabs>
          <w:tab w:val="clear" w:pos="1134"/>
          <w:tab w:val="left" w:pos="709" w:leader="none"/>
        </w:tabs>
        <w:bidi w:val="0"/>
        <w:spacing w:before="0" w:after="0"/>
        <w:ind w:hanging="283" w:start="709"/>
        <w:rPr/>
      </w:pPr>
      <w:r>
        <w:rPr/>
        <w:t xml:space="preserve">precio o criterio de precio que se comunicará al comprador; </w:t>
      </w:r>
    </w:p>
    <w:p>
      <w:pPr>
        <w:pStyle w:val="BodyText"/>
        <w:numPr>
          <w:ilvl w:val="0"/>
          <w:numId w:val="5"/>
        </w:numPr>
        <w:tabs>
          <w:tab w:val="clear" w:pos="1134"/>
          <w:tab w:val="left" w:pos="709" w:leader="none"/>
        </w:tabs>
        <w:bidi w:val="0"/>
        <w:spacing w:before="0" w:after="0"/>
        <w:ind w:hanging="283" w:start="709"/>
        <w:rPr/>
      </w:pPr>
      <w:r>
        <w:rPr/>
        <w:t xml:space="preserve">margen disponible para repartir; </w:t>
      </w:r>
    </w:p>
    <w:p>
      <w:pPr>
        <w:pStyle w:val="BodyText"/>
        <w:numPr>
          <w:ilvl w:val="0"/>
          <w:numId w:val="5"/>
        </w:numPr>
        <w:tabs>
          <w:tab w:val="clear" w:pos="1134"/>
          <w:tab w:val="left" w:pos="709" w:leader="none"/>
        </w:tabs>
        <w:bidi w:val="0"/>
        <w:spacing w:before="0" w:after="0"/>
        <w:ind w:hanging="283" w:start="709"/>
        <w:rPr/>
      </w:pPr>
      <w:r>
        <w:rPr/>
        <w:t xml:space="preserve">participantes que reciben una parte del margen; </w:t>
      </w:r>
    </w:p>
    <w:p>
      <w:pPr>
        <w:pStyle w:val="BodyText"/>
        <w:numPr>
          <w:ilvl w:val="0"/>
          <w:numId w:val="5"/>
        </w:numPr>
        <w:tabs>
          <w:tab w:val="clear" w:pos="1134"/>
          <w:tab w:val="left" w:pos="709" w:leader="none"/>
        </w:tabs>
        <w:bidi w:val="0"/>
        <w:spacing w:before="0" w:after="0"/>
        <w:ind w:hanging="283" w:start="709"/>
        <w:rPr/>
      </w:pPr>
      <w:r>
        <w:rPr/>
        <w:t xml:space="preserve">tratamiento del envío, impuestos, descuentos, cambios y devoluciones; </w:t>
      </w:r>
    </w:p>
    <w:p>
      <w:pPr>
        <w:pStyle w:val="BodyText"/>
        <w:numPr>
          <w:ilvl w:val="0"/>
          <w:numId w:val="5"/>
        </w:numPr>
        <w:tabs>
          <w:tab w:val="clear" w:pos="1134"/>
          <w:tab w:val="left" w:pos="709" w:leader="none"/>
        </w:tabs>
        <w:bidi w:val="0"/>
        <w:ind w:hanging="283" w:start="709"/>
        <w:rPr/>
      </w:pPr>
      <w:r>
        <w:rPr/>
        <w:t xml:space="preserve">momento en que una venta se considera confirmada y momento en que se liquida. </w:t>
      </w:r>
    </w:p>
    <w:p>
      <w:pPr>
        <w:pStyle w:val="BodyText"/>
        <w:bidi w:val="0"/>
        <w:spacing w:before="0" w:after="180"/>
        <w:rPr/>
      </w:pPr>
      <w:r>
        <w:rPr/>
        <w:t>No conviene usar un único discurso porcentual para todos los casos. Un producto propio, uno aportado por un tercero y uno vendido por catálogo pueden tener estructuras distintas. La plataforma debe congelar la regla aplicada cuando se confirma la venta para evitar cambios posteriores.</w:t>
      </w:r>
    </w:p>
    <w:p>
      <w:pPr>
        <w:pStyle w:val="Heading2"/>
        <w:keepNext w:val="true"/>
        <w:numPr>
          <w:ilvl w:val="0"/>
          <w:numId w:val="0"/>
        </w:numPr>
        <w:bidi w:val="0"/>
        <w:spacing w:before="460" w:after="160"/>
        <w:ind w:start="460" w:end="460"/>
        <w:rPr/>
      </w:pPr>
      <w:r>
        <w:rPr/>
        <w:t>Condiciones para generar confianza</w:t>
      </w:r>
    </w:p>
    <w:p>
      <w:pPr>
        <w:pStyle w:val="BodyText"/>
        <w:bidi w:val="0"/>
        <w:spacing w:before="0" w:after="180"/>
        <w:rPr/>
      </w:pPr>
      <w:r>
        <w:rPr/>
        <w:t>La estrategia de seducción será frágil si la operación no respalda la promesa. Estas condiciones deberían estar explicadas y, cuando corresponda, reflejadas en la plataforma.</w:t>
      </w:r>
    </w:p>
    <w:tbl>
      <w:tblPr>
        <w:tblW w:w="9752" w:type="dxa"/>
        <w:jc w:val="start"/>
        <w:tblInd w:w="0" w:type="dxa"/>
        <w:tblLayout w:type="fixed"/>
        <w:tblCellMar>
          <w:top w:w="28" w:type="dxa"/>
          <w:start w:w="28" w:type="dxa"/>
          <w:bottom w:w="28" w:type="dxa"/>
          <w:end w:w="28" w:type="dxa"/>
        </w:tblCellMar>
      </w:tblPr>
      <w:tblGrid>
        <w:gridCol w:w="2138"/>
        <w:gridCol w:w="7614"/>
      </w:tblGrid>
      <w:tr>
        <w:trPr>
          <w:tblHeader w:val="true"/>
          <w:cantSplit/>
        </w:trPr>
        <w:tc>
          <w:tcPr>
            <w:tcW w:w="2138" w:type="dxa"/>
            <w:tcBorders/>
            <w:vAlign w:val="center"/>
          </w:tcPr>
          <w:p>
            <w:pPr>
              <w:pStyle w:val="TableHeading"/>
              <w:suppressLineNumbers/>
              <w:bidi w:val="0"/>
              <w:spacing w:before="0" w:after="180"/>
              <w:jc w:val="start"/>
              <w:rPr/>
            </w:pPr>
            <w:r>
              <w:rPr/>
              <w:t>Condición</w:t>
            </w:r>
          </w:p>
        </w:tc>
        <w:tc>
          <w:tcPr>
            <w:tcW w:w="7614" w:type="dxa"/>
            <w:tcBorders/>
            <w:vAlign w:val="center"/>
          </w:tcPr>
          <w:p>
            <w:pPr>
              <w:pStyle w:val="TableHeading"/>
              <w:suppressLineNumbers/>
              <w:bidi w:val="0"/>
              <w:spacing w:before="0" w:after="180"/>
              <w:jc w:val="start"/>
              <w:rPr/>
            </w:pPr>
            <w:r>
              <w:rPr/>
              <w:t>Qué debe poder responder Hogar Conectado</w:t>
            </w:r>
          </w:p>
        </w:tc>
      </w:tr>
      <w:tr>
        <w:trPr>
          <w:cantSplit/>
        </w:trPr>
        <w:tc>
          <w:tcPr>
            <w:tcW w:w="2138" w:type="dxa"/>
            <w:tcBorders/>
            <w:vAlign w:val="center"/>
          </w:tcPr>
          <w:p>
            <w:pPr>
              <w:pStyle w:val="TableContents"/>
              <w:bidi w:val="0"/>
              <w:spacing w:before="0" w:after="180"/>
              <w:rPr/>
            </w:pPr>
            <w:r>
              <w:rPr/>
              <w:t>Identidad y permisos</w:t>
            </w:r>
          </w:p>
        </w:tc>
        <w:tc>
          <w:tcPr>
            <w:tcW w:w="7614" w:type="dxa"/>
            <w:tcBorders/>
            <w:vAlign w:val="center"/>
          </w:tcPr>
          <w:p>
            <w:pPr>
              <w:pStyle w:val="TableContents"/>
              <w:bidi w:val="0"/>
              <w:spacing w:before="0" w:after="180"/>
              <w:rPr/>
            </w:pPr>
            <w:r>
              <w:rPr/>
              <w:t>Quién puede publicar, vender, modificar datos o confirmar una operación.</w:t>
            </w:r>
          </w:p>
        </w:tc>
      </w:tr>
      <w:tr>
        <w:trPr>
          <w:cantSplit/>
        </w:trPr>
        <w:tc>
          <w:tcPr>
            <w:tcW w:w="2138" w:type="dxa"/>
            <w:tcBorders/>
            <w:vAlign w:val="center"/>
          </w:tcPr>
          <w:p>
            <w:pPr>
              <w:pStyle w:val="TableContents"/>
              <w:bidi w:val="0"/>
              <w:spacing w:before="0" w:after="180"/>
              <w:rPr/>
            </w:pPr>
            <w:r>
              <w:rPr/>
              <w:t>Precio vigente</w:t>
            </w:r>
          </w:p>
        </w:tc>
        <w:tc>
          <w:tcPr>
            <w:tcW w:w="7614" w:type="dxa"/>
            <w:tcBorders/>
            <w:vAlign w:val="center"/>
          </w:tcPr>
          <w:p>
            <w:pPr>
              <w:pStyle w:val="TableContents"/>
              <w:bidi w:val="0"/>
              <w:spacing w:before="0" w:after="180"/>
              <w:rPr/>
            </w:pPr>
            <w:r>
              <w:rPr/>
              <w:t>Quién lo define, cuándo se actualizó y qué pasa si cambia durante una consulta.</w:t>
            </w:r>
          </w:p>
        </w:tc>
      </w:tr>
      <w:tr>
        <w:trPr>
          <w:cantSplit/>
        </w:trPr>
        <w:tc>
          <w:tcPr>
            <w:tcW w:w="2138" w:type="dxa"/>
            <w:tcBorders/>
            <w:vAlign w:val="center"/>
          </w:tcPr>
          <w:p>
            <w:pPr>
              <w:pStyle w:val="TableContents"/>
              <w:bidi w:val="0"/>
              <w:spacing w:before="0" w:after="180"/>
              <w:rPr/>
            </w:pPr>
            <w:r>
              <w:rPr/>
              <w:t>Disponibilidad</w:t>
            </w:r>
          </w:p>
        </w:tc>
        <w:tc>
          <w:tcPr>
            <w:tcW w:w="7614" w:type="dxa"/>
            <w:tcBorders/>
            <w:vAlign w:val="center"/>
          </w:tcPr>
          <w:p>
            <w:pPr>
              <w:pStyle w:val="TableContents"/>
              <w:bidi w:val="0"/>
              <w:spacing w:before="0" w:after="180"/>
              <w:rPr/>
            </w:pPr>
            <w:r>
              <w:rPr/>
              <w:t>Quién confirma el stock y durante cuánto tiempo se reserva.</w:t>
            </w:r>
          </w:p>
        </w:tc>
      </w:tr>
      <w:tr>
        <w:trPr>
          <w:cantSplit/>
        </w:trPr>
        <w:tc>
          <w:tcPr>
            <w:tcW w:w="2138" w:type="dxa"/>
            <w:tcBorders/>
            <w:vAlign w:val="center"/>
          </w:tcPr>
          <w:p>
            <w:pPr>
              <w:pStyle w:val="TableContents"/>
              <w:bidi w:val="0"/>
              <w:spacing w:before="0" w:after="180"/>
              <w:rPr/>
            </w:pPr>
            <w:r>
              <w:rPr/>
              <w:t>Atribución</w:t>
            </w:r>
          </w:p>
        </w:tc>
        <w:tc>
          <w:tcPr>
            <w:tcW w:w="7614" w:type="dxa"/>
            <w:tcBorders/>
            <w:vAlign w:val="center"/>
          </w:tcPr>
          <w:p>
            <w:pPr>
              <w:pStyle w:val="TableContents"/>
              <w:bidi w:val="0"/>
              <w:spacing w:before="0" w:after="180"/>
              <w:rPr/>
            </w:pPr>
            <w:r>
              <w:rPr/>
              <w:t>Qué vendedor originó la venta y qué producto o enlace compartió.</w:t>
            </w:r>
          </w:p>
        </w:tc>
      </w:tr>
      <w:tr>
        <w:trPr>
          <w:cantSplit/>
        </w:trPr>
        <w:tc>
          <w:tcPr>
            <w:tcW w:w="2138" w:type="dxa"/>
            <w:tcBorders/>
            <w:vAlign w:val="center"/>
          </w:tcPr>
          <w:p>
            <w:pPr>
              <w:pStyle w:val="TableContents"/>
              <w:bidi w:val="0"/>
              <w:spacing w:before="0" w:after="180"/>
              <w:rPr/>
            </w:pPr>
            <w:r>
              <w:rPr/>
              <w:t>Liquidación</w:t>
            </w:r>
          </w:p>
        </w:tc>
        <w:tc>
          <w:tcPr>
            <w:tcW w:w="7614" w:type="dxa"/>
            <w:tcBorders/>
            <w:vAlign w:val="center"/>
          </w:tcPr>
          <w:p>
            <w:pPr>
              <w:pStyle w:val="TableContents"/>
              <w:bidi w:val="0"/>
              <w:spacing w:before="0" w:after="180"/>
              <w:rPr/>
            </w:pPr>
            <w:r>
              <w:rPr/>
              <w:t>Cuánto recibe cada parte, cuándo cobra y qué comprobante queda.</w:t>
            </w:r>
          </w:p>
        </w:tc>
      </w:tr>
      <w:tr>
        <w:trPr>
          <w:cantSplit/>
        </w:trPr>
        <w:tc>
          <w:tcPr>
            <w:tcW w:w="2138" w:type="dxa"/>
            <w:tcBorders/>
            <w:vAlign w:val="center"/>
          </w:tcPr>
          <w:p>
            <w:pPr>
              <w:pStyle w:val="TableContents"/>
              <w:bidi w:val="0"/>
              <w:spacing w:before="0" w:after="180"/>
              <w:rPr/>
            </w:pPr>
            <w:r>
              <w:rPr/>
              <w:t>Entrega</w:t>
            </w:r>
          </w:p>
        </w:tc>
        <w:tc>
          <w:tcPr>
            <w:tcW w:w="7614" w:type="dxa"/>
            <w:tcBorders/>
            <w:vAlign w:val="center"/>
          </w:tcPr>
          <w:p>
            <w:pPr>
              <w:pStyle w:val="TableContents"/>
              <w:bidi w:val="0"/>
              <w:spacing w:before="0" w:after="180"/>
              <w:rPr/>
            </w:pPr>
            <w:r>
              <w:rPr/>
              <w:t>Quién coordina, quién paga el envío y qué ocurre ante una demora.</w:t>
            </w:r>
          </w:p>
        </w:tc>
      </w:tr>
      <w:tr>
        <w:trPr>
          <w:cantSplit/>
        </w:trPr>
        <w:tc>
          <w:tcPr>
            <w:tcW w:w="2138" w:type="dxa"/>
            <w:tcBorders/>
            <w:vAlign w:val="center"/>
          </w:tcPr>
          <w:p>
            <w:pPr>
              <w:pStyle w:val="TableContents"/>
              <w:bidi w:val="0"/>
              <w:spacing w:before="0" w:after="180"/>
              <w:rPr/>
            </w:pPr>
            <w:r>
              <w:rPr/>
              <w:t>Cambios y reclamos</w:t>
            </w:r>
          </w:p>
        </w:tc>
        <w:tc>
          <w:tcPr>
            <w:tcW w:w="7614" w:type="dxa"/>
            <w:tcBorders/>
            <w:vAlign w:val="center"/>
          </w:tcPr>
          <w:p>
            <w:pPr>
              <w:pStyle w:val="TableContents"/>
              <w:bidi w:val="0"/>
              <w:spacing w:before="0" w:after="180"/>
              <w:rPr/>
            </w:pPr>
            <w:r>
              <w:rPr/>
              <w:t>Quién responde frente al comprador y cómo se revierte una comisión.</w:t>
            </w:r>
          </w:p>
        </w:tc>
      </w:tr>
      <w:tr>
        <w:trPr>
          <w:cantSplit/>
        </w:trPr>
        <w:tc>
          <w:tcPr>
            <w:tcW w:w="2138" w:type="dxa"/>
            <w:tcBorders/>
            <w:vAlign w:val="center"/>
          </w:tcPr>
          <w:p>
            <w:pPr>
              <w:pStyle w:val="TableContents"/>
              <w:bidi w:val="0"/>
              <w:spacing w:before="0" w:after="180"/>
              <w:rPr/>
            </w:pPr>
            <w:r>
              <w:rPr/>
              <w:t>Datos personales</w:t>
            </w:r>
          </w:p>
        </w:tc>
        <w:tc>
          <w:tcPr>
            <w:tcW w:w="7614" w:type="dxa"/>
            <w:tcBorders/>
            <w:vAlign w:val="center"/>
          </w:tcPr>
          <w:p>
            <w:pPr>
              <w:pStyle w:val="TableContents"/>
              <w:bidi w:val="0"/>
              <w:spacing w:before="0" w:after="180"/>
              <w:rPr/>
            </w:pPr>
            <w:r>
              <w:rPr/>
              <w:t>Qué información se solicita, quién puede verla y para qué se utiliza.</w:t>
            </w:r>
          </w:p>
        </w:tc>
      </w:tr>
    </w:tbl>
    <w:p>
      <w:pPr>
        <w:pStyle w:val="Heading2"/>
      </w:pPr>
      <w:r>
        <w:t>Decisiones recomendadas después del feedback</w:t>
      </w:r>
    </w:p>
    <w:p>
      <w:pPr>
        <w:pStyle w:val="BodyText"/>
      </w:pPr>
      <w:r>
        <w:t>El feedback confirma que la propuesta necesita reglas operativas más precisas. La recomendación es abandonar una comisión única para todos los casos, proteger la atribución de cada vendedor y acercar el recorrido del comprador a una compra directa. Hogar Conectado debe cobrar por el servicio que realmente presta en cada operación.</w:t>
      </w:r>
    </w:p>
    <w:p>
      <w:pPr>
        <w:pStyle w:val="Heading3"/>
      </w:pPr>
      <w:r>
        <w:t>Comisión según el servicio prestado</w:t>
      </w:r>
    </w:p>
    <w:p>
      <w:pPr>
        <w:pStyle w:val="BodyText"/>
      </w:pPr>
      <w:r>
        <w:t>El 20 por ciento puede resultar alto cuando la plataforma solo publica el producto y registra la venta. Además, debe aclararse que cualquier porcentaje se calcula sobre el margen comercial neto y no sobre el precio total. Para el piloto recomendamos que Hogar Conectado reciba el 10 por ciento del margen. Una participación mayor solo se justifica cuando también administra cobro, entrega, reclamos o riesgo operativo.</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23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Nivel de servicio</w:t>
            </w:r>
          </w:p>
        </w:tc>
        <w:tc>
          <w:tcPr>
            <w:tcW w:type="dxa" w:w="482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Qué hace Hogar Conectado</w:t>
            </w:r>
          </w:p>
        </w:tc>
        <w:tc>
          <w:tcPr>
            <w:tcW w:type="dxa" w:w="194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Participación sugerida</w:t>
            </w:r>
          </w:p>
        </w:tc>
      </w:tr>
      <w:tr>
        <w:trPr>
          <w:cantSplit/>
        </w:trPr>
        <w:tc>
          <w:tcPr>
            <w:tcW w:type="dxa" w:w="223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Vidriera y trazabilidad</w:t>
            </w:r>
          </w:p>
        </w:tc>
        <w:tc>
          <w:tcPr>
            <w:tcW w:type="dxa" w:w="482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Publica, atribuye la oportunidad y registra la operación.</w:t>
            </w:r>
          </w:p>
        </w:tc>
        <w:tc>
          <w:tcPr>
            <w:tcW w:type="dxa" w:w="194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10 % del margen</w:t>
            </w:r>
          </w:p>
        </w:tc>
      </w:tr>
      <w:tr>
        <w:trPr>
          <w:cantSplit/>
        </w:trPr>
        <w:tc>
          <w:tcPr>
            <w:tcW w:type="dxa" w:w="223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Operación asistida</w:t>
            </w:r>
          </w:p>
        </w:tc>
        <w:tc>
          <w:tcPr>
            <w:tcW w:type="dxa" w:w="482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Además coordina pago, entrega y seguimiento.</w:t>
            </w:r>
          </w:p>
        </w:tc>
        <w:tc>
          <w:tcPr>
            <w:tcW w:type="dxa" w:w="194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15 % del margen</w:t>
            </w:r>
          </w:p>
        </w:tc>
      </w:tr>
      <w:tr>
        <w:trPr>
          <w:cantSplit/>
        </w:trPr>
        <w:tc>
          <w:tcPr>
            <w:tcW w:type="dxa" w:w="223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Operación completa</w:t>
            </w:r>
          </w:p>
        </w:tc>
        <w:tc>
          <w:tcPr>
            <w:tcW w:type="dxa" w:w="482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También asume reclamos, conciliación y mayor carga operativa.</w:t>
            </w:r>
          </w:p>
        </w:tc>
        <w:tc>
          <w:tcPr>
            <w:tcW w:type="dxa" w:w="1944"/>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Hasta 20 % del margen</w:t>
            </w:r>
          </w:p>
        </w:tc>
      </w:tr>
    </w:tbl>
    <w:p>
      <w:pPr>
        <w:pStyle w:val="Heading3"/>
      </w:pPr>
      <w:r>
        <w:t>Regla inicial recomendada para el piloto</w:t>
      </w:r>
    </w:p>
    <w:p>
      <w:pPr>
        <w:pStyle w:val="BodyText"/>
      </w:pPr>
      <w:r>
        <w:t>Sobre el margen comercial neto, el vendedor recibe 60 por ciento, quien incorporó el producto recibe 30 por ciento y Hogar Conectado recibe 10 por ciento. Si una misma persona incorpora y vende, reúne ambas participaciones. Esta regla debe poder configurarse por producto cuando el tipo de operación requiera otra distribución.</w:t>
      </w:r>
    </w:p>
    <w:p>
      <w:pPr>
        <w:pStyle w:val="BodyTextlead"/>
      </w:pPr>
      <w:r>
        <w:t>Ejemplo. Para un producto con valor base de $ 175.000 y margen comercial de $ 17.500, el precio contado es $ 192.500. El vendedor recibe $ 10.500, el incorporador $ 5.250 y Hogar Conectado $ 1.750. El propietario recibe además los $ 175.000 acordados como valor base.</w:t>
      </w:r>
    </w:p>
    <w:p>
      <w:pPr>
        <w:pStyle w:val="Heading3"/>
      </w:pPr>
      <w:r>
        <w:t>Responsabilidades de la operación</w:t>
      </w:r>
    </w:p>
    <w:p>
      <w:pPr>
        <w:pStyle w:val="BodyText"/>
      </w:pPr>
      <w:r>
        <w:t>El administrador no debería decidir manualmente quién gana después de una venta. Su función es validar participantes y productos, asegurar que las reglas estén definidas antes de publicar, supervisar excepciones y dejar evidencia de pago, entrega y liquidación. La plataforma calcula el reparto según la regla congelada al confirmar la operación.</w:t>
      </w:r>
    </w:p>
    <w:tbl>
      <w:tblPr>
        <w:tblW w:type="auto" w:w="0"/>
        <w:tblLayout w:type="fixed"/>
        <w:tblLook w:firstColumn="1" w:firstRow="1" w:lastColumn="0" w:lastRow="0" w:noHBand="0" w:noVBand="1" w:val="04A0"/>
      </w:tblPr>
      <w:tblGrid>
        <w:gridCol w:w="4876"/>
        <w:gridCol w:w="4876"/>
      </w:tblGrid>
      <w:tr>
        <w:trPr>
          <w:tblHeader w:val="true"/>
          <w:cantSplit/>
        </w:trPr>
        <w:tc>
          <w:tcPr>
            <w:tcW w:type="dxa" w:w="24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Pregunta</w:t>
            </w:r>
          </w:p>
        </w:tc>
        <w:tc>
          <w:tcPr>
            <w:tcW w:type="dxa" w:w="655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Regla recomendada para el piloto</w:t>
            </w:r>
          </w:p>
        </w:tc>
      </w:tr>
      <w:tr>
        <w:trPr>
          <w:cantSplit/>
        </w:trPr>
        <w:tc>
          <w:tcPr>
            <w:tcW w:type="dxa" w:w="24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Quién cobra al comprador</w:t>
            </w:r>
          </w:p>
        </w:tc>
        <w:tc>
          <w:tcPr>
            <w:tcW w:type="dxa" w:w="655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El responsable de cobro se define por producto. Durante el piloto debería ser el propietario, proveedor o parte que factura, mediante un medio de pago identificable.</w:t>
            </w:r>
          </w:p>
        </w:tc>
      </w:tr>
      <w:tr>
        <w:trPr>
          <w:cantSplit/>
        </w:trPr>
        <w:tc>
          <w:tcPr>
            <w:tcW w:type="dxa" w:w="24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Quién entrega</w:t>
            </w:r>
          </w:p>
        </w:tc>
        <w:tc>
          <w:tcPr>
            <w:tcW w:type="dxa" w:w="655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El responsable y el costo de entrega se acuerdan antes del pago. El envío se registra por separado y no integra el margen.</w:t>
            </w:r>
          </w:p>
        </w:tc>
      </w:tr>
      <w:tr>
        <w:trPr>
          <w:cantSplit/>
        </w:trPr>
        <w:tc>
          <w:tcPr>
            <w:tcW w:type="dxa" w:w="24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Quién reparte las ganancias</w:t>
            </w:r>
          </w:p>
        </w:tc>
        <w:tc>
          <w:tcPr>
            <w:tcW w:type="dxa" w:w="655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La plataforma calcula la liquidación. El administrador verifica pago y entrega, registra comprobantes y habilita el pago según un plazo acordado.</w:t>
            </w:r>
          </w:p>
        </w:tc>
      </w:tr>
      <w:tr>
        <w:trPr>
          <w:cantSplit/>
        </w:trPr>
        <w:tc>
          <w:tcPr>
            <w:tcW w:type="dxa" w:w="24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Cuándo se liquida</w:t>
            </w:r>
          </w:p>
        </w:tc>
        <w:tc>
          <w:tcPr>
            <w:tcW w:type="dxa" w:w="655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Después de acreditar el pago y registrar la entrega. Si existe devolución o reclamo, la liquidación espera su resolución.</w:t>
            </w:r>
          </w:p>
        </w:tc>
      </w:tr>
    </w:tbl>
    <w:p>
      <w:pPr>
        <w:pStyle w:val="BodyText"/>
      </w:pPr>
      <w:r>
        <w:t>Hogar Conectado no debe recibir y custodiar dinero de terceros de manera informal. Antes de centralizar cobros debe validar las obligaciones contractuales, fiscales y de prevención de fraude. La evolución recomendable es integrar una pasarela que permita dividir pagos y registrar devoluciones, en lugar de depender de transferencias manuales al administrador.</w:t>
      </w:r>
    </w:p>
    <w:p>
      <w:pPr>
        <w:pStyle w:val="Heading3"/>
      </w:pPr>
      <w:r>
        <w:t>Confianza y garantías posibles</w:t>
      </w:r>
    </w:p>
    <w:p>
      <w:pPr>
        <w:pStyle w:val="BodyText"/>
      </w:pPr>
      <w:r>
        <w:t>Ninguna plataforma puede garantizar por sí sola que una persona pagará o entregará. Sí puede reducir el riesgo y aportar evidencia. Cada operación debe mostrar identidades verificadas, precio y disponibilidad vigentes, responsable de cobro, modalidad de entrega, comprobantes, historial de estados y plazos de reclamo. Los incumplimientos deben permitir suspender participantes y conservar el registro del incidente.</w:t>
      </w:r>
    </w:p>
    <w:p>
      <w:pPr>
        <w:pStyle w:val="BodyText"/>
      </w:pPr>
      <w:r>
        <w:t>• El stock propio se reserva por un plazo visible cuando el comprador inicia el pago.</w:t>
      </w:r>
    </w:p>
    <w:p>
      <w:pPr>
        <w:pStyle w:val="BodyText"/>
      </w:pPr>
      <w:r>
        <w:t>• Un producto por catálogo no se ofrece como compra inmediata hasta confirmar su disponibilidad.</w:t>
      </w:r>
    </w:p>
    <w:p>
      <w:pPr>
        <w:pStyle w:val="BodyText"/>
      </w:pPr>
      <w:r>
        <w:t>• El comprador recibe un resumen de precio, entrega, responsable y política de cambios antes de pagar.</w:t>
      </w:r>
    </w:p>
    <w:p>
      <w:pPr>
        <w:pStyle w:val="BodyText"/>
      </w:pPr>
      <w:r>
        <w:t>• El pago acreditado, la entrega y la liquidación son estados distintos y no pueden confirmarse con una sola acción.</w:t>
      </w:r>
    </w:p>
    <w:p>
      <w:pPr>
        <w:pStyle w:val="BodyText"/>
      </w:pPr>
      <w:r>
        <w:t>• Los comprobantes y cambios de estado conservan fecha y usuario responsable.</w:t>
      </w:r>
    </w:p>
    <w:p>
      <w:pPr>
        <w:pStyle w:val="Heading3"/>
      </w:pPr>
      <w:r>
        <w:t>Vidriera propia y atribución del vendedor</w:t>
      </w:r>
    </w:p>
    <w:p>
      <w:pPr>
        <w:pStyle w:val="BodyText"/>
      </w:pPr>
      <w:r>
        <w:t>Cada vendedor debería contar con una vidriera identificable mediante un enlace y un código personal. Puede mostrar todo el catálogo autorizado o una selección propia, pero no necesita duplicar productos ni administrar otro inventario. La diferencia está en la atribución comercial, no en crear catálogos aislados.</w:t>
      </w:r>
    </w:p>
    <w:p>
      <w:pPr>
        <w:pStyle w:val="BodyText"/>
      </w:pPr>
      <w:r>
        <w:t>La atribución queda protegida cuando el comprador inicia una consulta, genera una cotización o comienza una compra desde el enlace del vendedor. Desde ese momento se conserva durante 30 días para ese comprador y esos productos. Si otra persona termina la atención o el administrador resuelve la entrega, el vendedor de origen mantiene su comisión. Un simple clic puede guardarse de forma provisional durante siete días, pero no debería bloquear indefinidamente a un comprador sin una acción comercial verificable.</w:t>
      </w:r>
    </w:p>
    <w:p>
      <w:pPr>
        <w:pStyle w:val="BodyText"/>
      </w:pPr>
      <w:r>
        <w:t>El panel del vendedor debe mostrar visitas atribuidas, consultas, cotizaciones, ventas, comisiones pendientes y comisiones liquidadas. El administrador debe poder auditar el enlace de origen y resolver conflictos con un historial que no pueda editarse retroactivamente.</w:t>
      </w:r>
    </w:p>
    <w:p>
      <w:pPr>
        <w:pStyle w:val="Heading3"/>
      </w:pPr>
      <w:r>
        <w:t>Recorrido de compra inmediata</w:t>
      </w:r>
    </w:p>
    <w:p>
      <w:pPr>
        <w:pStyle w:val="BodyText"/>
      </w:pPr>
      <w:r>
        <w:t>El comprador debe poder decidir sin esperar una conversación cuando el producto tiene precio final, stock confirmado y condiciones de entrega definidas. La opción Comprar ahora debe convivir con Consultar para los productos que requieren asesoramiento o confirmación.</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Paso</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Experiencia del comprador</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Control de la plataforma</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1</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Ve precio, disponibilidad y entrega estimada.</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Muestra datos vigentes y vendedor atribuido.</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2</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Presiona Comprar ahora y completa contacto y entrega.</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Valida identidad y datos mínimos.</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3</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Confirma el resumen final.</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Reserva stock durante 24 horas y congela precio y reparto.</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4</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Paga mediante un enlace seguro.</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Recibe confirmación automática de la pasarela.</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5</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Sigue preparación y entrega.</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Registra responsables, comprobantes y cambios de estado.</w:t>
            </w:r>
          </w:p>
        </w:tc>
      </w:tr>
      <w:tr>
        <w:trPr>
          <w:cantSplit/>
        </w:trPr>
        <w:tc>
          <w:tcPr>
            <w:tcW w:type="dxa" w:w="792"/>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6</w:t>
            </w:r>
          </w:p>
        </w:tc>
        <w:tc>
          <w:tcPr>
            <w:tcW w:type="dxa" w:w="396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Confirma recepción o informa un problema.</w:t>
            </w:r>
          </w:p>
        </w:tc>
        <w:tc>
          <w:tcPr>
            <w:tcW w:type="dxa" w:w="4248"/>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Habilita la liquidación o abre un reclamo.</w:t>
            </w:r>
          </w:p>
        </w:tc>
      </w:tr>
    </w:tbl>
    <w:p>
      <w:pPr>
        <w:pStyle w:val="Heading3"/>
      </w:pPr>
      <w:r>
        <w:t>Evolución priorizada de la plataforma</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180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Etapa</w:t>
            </w:r>
          </w:p>
        </w:tc>
        <w:tc>
          <w:tcPr>
            <w:tcW w:type="dxa" w:w="46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Capacidades</w:t>
            </w:r>
          </w:p>
        </w:tc>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334155"/>
          </w:tcPr>
          <w:p>
            <w:r>
              <w:rPr>
                <w:b/>
                <w:color w:val="FFFFFF"/>
              </w:rPr>
              <w:t>Resultado esperado</w:t>
            </w:r>
          </w:p>
        </w:tc>
      </w:tr>
      <w:tr>
        <w:trPr>
          <w:cantSplit/>
        </w:trPr>
        <w:tc>
          <w:tcPr>
            <w:tcW w:type="dxa" w:w="180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1 Reglas y atribución</w:t>
            </w:r>
          </w:p>
        </w:tc>
        <w:tc>
          <w:tcPr>
            <w:tcW w:type="dxa" w:w="46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Vidriera personal, enlace de referencia, comisión configurable, responsables de cobro y entrega, historial de estados.</w:t>
            </w:r>
          </w:p>
        </w:tc>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Cada participante sabe por qué cobra y quién responde.</w:t>
            </w:r>
          </w:p>
        </w:tc>
      </w:tr>
      <w:tr>
        <w:trPr>
          <w:cantSplit/>
        </w:trPr>
        <w:tc>
          <w:tcPr>
            <w:tcW w:type="dxa" w:w="180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2 Compra asistida</w:t>
            </w:r>
          </w:p>
        </w:tc>
        <w:tc>
          <w:tcPr>
            <w:tcW w:type="dxa" w:w="46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Comprar ahora, reserva, comprobante de pago, seguimiento de entrega, liquidación y reclamos.</w:t>
            </w:r>
          </w:p>
        </w:tc>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El comprador puede avanzar sin depender de mensajes manuales.</w:t>
            </w:r>
          </w:p>
        </w:tc>
      </w:tr>
      <w:tr>
        <w:trPr>
          <w:cantSplit/>
        </w:trPr>
        <w:tc>
          <w:tcPr>
            <w:tcW w:type="dxa" w:w="180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3 Pagos integrados</w:t>
            </w:r>
          </w:p>
        </w:tc>
        <w:tc>
          <w:tcPr>
            <w:tcW w:type="dxa" w:w="46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Pasarela con confirmación automática, división de fondos, devoluciones y validación de identidad.</w:t>
            </w:r>
          </w:p>
        </w:tc>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Menos conciliación manual y mayor protección para las partes.</w:t>
            </w:r>
          </w:p>
        </w:tc>
      </w:tr>
    </w:tbl>
    <w:p>
      <w:pPr>
        <w:pStyle w:val="Heading2"/>
        <w:keepNext w:val="true"/>
        <w:numPr>
          <w:ilvl w:val="0"/>
          <w:numId w:val="0"/>
        </w:numPr>
        <w:bidi w:val="0"/>
        <w:spacing w:before="460" w:after="160"/>
        <w:ind w:start="460" w:end="460"/>
        <w:rPr/>
      </w:pPr>
      <w:r>
        <w:rPr/>
        <w:t>Objeciones y respuestas</w:t>
      </w:r>
    </w:p>
    <w:tbl>
      <w:tblPr>
        <w:tblW w:w="9752" w:type="dxa"/>
        <w:jc w:val="start"/>
        <w:tblInd w:w="0" w:type="dxa"/>
        <w:tblLayout w:type="fixed"/>
        <w:tblCellMar>
          <w:top w:w="28" w:type="dxa"/>
          <w:start w:w="28" w:type="dxa"/>
          <w:bottom w:w="28" w:type="dxa"/>
          <w:end w:w="28" w:type="dxa"/>
        </w:tblCellMar>
      </w:tblPr>
      <w:tblGrid>
        <w:gridCol w:w="2409"/>
        <w:gridCol w:w="7343"/>
      </w:tblGrid>
      <w:tr>
        <w:trPr>
          <w:tblHeader w:val="true"/>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334155"/>
          </w:tcPr>
          <w:p>
            <w:pPr>
              <w:pStyle w:val="TableHeading"/>
              <w:bidi w:val="0"/>
              <w:spacing w:before="0" w:after="180"/>
              <w:ind w:hanging="0" w:start="0" w:end="0"/>
              <w:jc w:val="start"/>
              <w:rPr/>
            </w:pPr>
            <w:r>
              <w:rPr>
                <w:b/>
                <w:color w:val="FFFFFF"/>
              </w:rPr>
              <w:t>Objeción</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334155"/>
          </w:tcPr>
          <w:p>
            <w:pPr>
              <w:pStyle w:val="TableHeading"/>
              <w:suppressLineNumbers/>
              <w:bidi w:val="0"/>
              <w:spacing w:before="0" w:after="180"/>
              <w:jc w:val="start"/>
              <w:rPr/>
            </w:pPr>
            <w:r>
              <w:rPr>
                <w:b/>
                <w:color w:val="FFFFFF"/>
              </w:rPr>
              <w:t>Respuesta recomendada</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Yo ya vendo por mi cuenta</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Perfecto. No buscamos reemplazar ese canal. La prueba sirve para saber si una red de vendedores puede acercarte operaciones adicionales sin exclusividad.</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No quiero perder margen</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La regla económica se acuerda antes de publicar. La pregunta es si una venta que llega por este canal deja un resultado conveniente después de remunerar a quien la generó y a la plataforma.</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No quiero que cambien mis precios</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El precio y sus actualizaciones deben quedar bajo permisos claros. Los vendedores no deberían modificar el costo interno ni inventar condiciones.</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¿Quién se responsabiliza ante el cliente?</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Antes de publicar debemos definir quién factura o cobra, quién entrega y quién atiende cambios. Si todavía no podemos responderlo, ese producto no está listo para sumarse.</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¿Cómo sé quién hizo la venta?</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La operación debe quedar asociada al vendedor que originó la consulta o cotización, con historial de estados y condiciones usadas.</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No tengo tiempo para cargar productos</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Podemos preparar la ficha a partir de imágenes y datos provistos, pero el dueño debe revisar precio, descripción, disponibilidad y condiciones antes de publicarla.</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No tengo experiencia vendiendo</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pStyle w:val="TableContents"/>
              <w:bidi w:val="0"/>
              <w:spacing w:before="0" w:after="180"/>
              <w:rPr/>
            </w:pPr>
            <w:r>
              <w:rPr/>
              <w:t>Podés empezar con pocos productos, usar el material preparado y aprender el flujo. No necesitás comprar stock, pero sí comunicar con responsabilidad y registrar cada oportunidad.</w:t>
            </w:r>
          </w:p>
        </w:tc>
      </w:tr>
      <w:tr>
        <w:trPr>
          <w:cantSplit/>
        </w:trPr>
        <w:tc>
          <w:tcPr>
            <w:tcW w:w="252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¿Cuánto voy a ganar?</w:t>
            </w:r>
          </w:p>
        </w:tc>
        <w:tc>
          <w:tcPr>
            <w:tcW w:w="6480" w:type="dxa"/>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shd w:fill="F4F7FB"/>
          </w:tcPr>
          <w:p>
            <w:pPr>
              <w:pStyle w:val="TableContents"/>
              <w:bidi w:val="0"/>
              <w:spacing w:before="0" w:after="180"/>
              <w:rPr/>
            </w:pPr>
            <w:r>
              <w:rPr/>
              <w:t>Depende de la regla definida para cada producto. La ganancia debe verse antes de ofrecerlo y calcularse con la misma regla cuando la venta se confirma.</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El 20 % para la plataforma es mucho</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Coincidimos cuando la plataforma solo publica y registra. Para el piloto proponemos 10 % del margen. Una participación mayor requiere servicios adicionales y condiciones aceptadas antes de publicar.</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¿Cómo garantizan pago y entrega?</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No ofrecemos una garantía absoluta. Reducimos el riesgo con responsables identificados, reserva, comprobantes, estados separados, plazos y un proceso de reclamo. La etapa de pagos integrados agregará confirmación automática.</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¿Qué hace el administrador?</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Valida participantes y reglas, supervisa excepciones, confirma evidencia y habilita liquidaciones. No cambia comisiones después de la venta ni reemplaza al responsable de cobro o entrega.</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¿Quién cobra y reparte?</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El responsable de cobro se define por producto. La plataforma calcula el reparto y el administrador habilita la liquidación cuando pago y entrega están acreditados.</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Quiero mi propia vidriera</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Cada vendedor tendrá un enlace y una selección identificable dentro del catálogo común. Las consultas, cotizaciones y compras iniciadas allí conservan su atribución.</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¿Cómo sé que respetarán mi comisión?</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shd w:fill="F4F7FB"/>
          </w:tcPr>
          <w:p>
            <w:r>
              <w:t>La atribución se congela cuando el comprador inicia una acción verificable y permanece visible en el historial. Otra persona puede completar la atención sin quitar la comisión al vendedor de origen.</w:t>
            </w:r>
          </w:p>
        </w:tc>
      </w:tr>
      <w:tr>
        <w:trPr>
          <w:cantSplit/>
        </w:trPr>
        <w:tc>
          <w:tcPr>
            <w:tcW w:type="dxa" w:w="252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Quiero comprar en el momento</w:t>
            </w:r>
          </w:p>
        </w:tc>
        <w:tc>
          <w:tcPr>
            <w:tcW w:type="dxa" w:w="6480"/>
            <w:vAlign w:val="center"/>
            <w:tcMar>
              <w:top w:w="100" w:type="dxa"/>
              <w:start w:w="120" w:type="dxa"/>
              <w:bottom w:w="100" w:type="dxa"/>
              <w:end w:w="120" w:type="dxa"/>
            </w:tcMar>
            <w:tcBorders>
              <w:top w:val="single" w:sz="6" w:color="D9D9D9"/>
              <w:start w:val="single" w:sz="6" w:color="D9D9D9"/>
              <w:bottom w:val="single" w:sz="6" w:color="D9D9D9"/>
              <w:end w:val="single" w:sz="6" w:color="D9D9D9"/>
              <w:insideH w:val="single" w:sz="6" w:color="D9D9D9"/>
              <w:insideV w:val="single" w:sz="6" w:color="D9D9D9"/>
            </w:tcBorders>
          </w:tcPr>
          <w:p>
            <w:r>
              <w:t>Los productos con stock y condiciones confirmadas tendrán Comprar ahora, reserva y pago seguro. Los productos sujetos a disponibilidad mantendrán un flujo de consulta claro.</w:t>
            </w:r>
          </w:p>
        </w:tc>
      </w:tr>
    </w:tbl>
    <w:p>
      <w:pPr>
        <w:pStyle w:val="Heading2"/>
        <w:keepNext w:val="true"/>
        <w:numPr>
          <w:ilvl w:val="0"/>
          <w:numId w:val="0"/>
        </w:numPr>
        <w:bidi w:val="0"/>
        <w:spacing w:before="460" w:after="160"/>
        <w:ind w:start="460" w:end="460"/>
        <w:rPr/>
      </w:pPr>
      <w:r>
        <w:rPr/>
        <w:t>Guion para una conversación de captación</w:t>
      </w:r>
    </w:p>
    <w:p>
      <w:pPr>
        <w:pStyle w:val="Heading3"/>
        <w:keepNext w:val="true"/>
        <w:numPr>
          <w:ilvl w:val="0"/>
          <w:numId w:val="0"/>
        </w:numPr>
        <w:bidi w:val="0"/>
        <w:spacing w:before="340" w:after="100"/>
        <w:ind w:start="340" w:end="340"/>
        <w:rPr/>
      </w:pPr>
      <w:r>
        <w:rPr/>
        <w:t>Primero escuchá</w:t>
      </w:r>
    </w:p>
    <w:p>
      <w:pPr>
        <w:pStyle w:val="BodyText"/>
        <w:bidi w:val="0"/>
        <w:spacing w:before="0" w:after="180"/>
        <w:rPr/>
      </w:pPr>
      <w:r>
        <w:rPr/>
        <w:t>No empieces mostrando todas las funciones. Preguntá cómo vende hoy, dónde pierde tiempo y qué impediría que trabaje con otra persona. La propuesta debe responder a ese problema concreto.</w:t>
      </w:r>
    </w:p>
    <w:p>
      <w:pPr>
        <w:pStyle w:val="Heading3"/>
        <w:keepNext w:val="true"/>
        <w:numPr>
          <w:ilvl w:val="0"/>
          <w:numId w:val="0"/>
        </w:numPr>
        <w:bidi w:val="0"/>
        <w:spacing w:before="340" w:after="100"/>
        <w:ind w:start="340" w:end="340"/>
        <w:rPr/>
      </w:pPr>
      <w:r>
        <w:rPr/>
        <w:t>Después conectá la necesidad con una capacidad</w:t>
      </w:r>
    </w:p>
    <w:p>
      <w:pPr>
        <w:pStyle w:val="BodyTextscript"/>
        <w:bidi w:val="0"/>
        <w:spacing w:before="140" w:after="280"/>
        <w:ind w:start="320" w:end="140"/>
        <w:rPr/>
      </w:pPr>
      <w:r>
        <w:rPr/>
        <w:t>“</w:t>
      </w:r>
      <w:r>
        <w:rPr/>
        <w:t>Por lo que me contás, el límite hoy no es el producto sino el tiempo para mostrarlo y responder. La plataforma podría ayudarte a dejar la información preparada y permitir que otras personas lo ofrezcan. Vos mantendrías tus canales actuales.”</w:t>
      </w:r>
    </w:p>
    <w:p>
      <w:pPr>
        <w:pStyle w:val="Heading3"/>
        <w:keepNext w:val="true"/>
        <w:numPr>
          <w:ilvl w:val="0"/>
          <w:numId w:val="0"/>
        </w:numPr>
        <w:bidi w:val="0"/>
        <w:spacing w:before="340" w:after="100"/>
        <w:ind w:start="340" w:end="340"/>
        <w:rPr/>
      </w:pPr>
      <w:r>
        <w:rPr/>
        <w:t>Explicá la regla económica sin rodeos</w:t>
      </w:r>
    </w:p>
    <w:p>
      <w:pPr>
        <w:pStyle w:val="BodyTextscript"/>
        <w:bidi w:val="0"/>
        <w:spacing w:before="140" w:after="280"/>
        <w:ind w:start="320" w:end="140"/>
        <w:rPr/>
      </w:pPr>
      <w:r>
        <w:rPr/>
        <w:t>“</w:t>
      </w:r>
      <w:r>
        <w:rPr/>
        <w:t>Antes de publicar dejamos definido cuánto necesitás recibir y cómo se distribuye el margen cuando interviene un vendedor. Esa regla queda asociada a la operación para que nadie tenga que reconstruirla después.”</w:t>
      </w:r>
    </w:p>
    <w:p>
      <w:pPr>
        <w:pStyle w:val="Heading3"/>
        <w:keepNext w:val="true"/>
        <w:numPr>
          <w:ilvl w:val="0"/>
          <w:numId w:val="0"/>
        </w:numPr>
        <w:bidi w:val="0"/>
        <w:spacing w:before="340" w:after="100"/>
        <w:ind w:start="340" w:end="340"/>
        <w:rPr/>
      </w:pPr>
      <w:r>
        <w:rPr/>
        <w:t>Proponé un piloto</w:t>
      </w:r>
    </w:p>
    <w:p>
      <w:pPr>
        <w:pStyle w:val="BodyTextscript"/>
        <w:bidi w:val="0"/>
        <w:spacing w:before="140" w:after="280"/>
        <w:ind w:start="320" w:end="140"/>
        <w:rPr/>
      </w:pPr>
      <w:r>
        <w:rPr/>
        <w:t>“</w:t>
      </w:r>
      <w:r>
        <w:rPr/>
        <w:t>En lugar de cargar todo, elijamos tres productos que tengan buena información, disponibilidad y margen suficiente. Los publicamos durante un período acordado y revisamos consultas, cotizaciones y ventas. Si el canal aporta valor, ampliamos.”</w:t>
      </w:r>
    </w:p>
    <w:p>
      <w:pPr>
        <w:pStyle w:val="Heading3"/>
        <w:keepNext w:val="true"/>
        <w:numPr>
          <w:ilvl w:val="0"/>
          <w:numId w:val="0"/>
        </w:numPr>
        <w:bidi w:val="0"/>
        <w:spacing w:before="340" w:after="100"/>
        <w:ind w:start="340" w:end="340"/>
        <w:rPr/>
      </w:pPr>
      <w:r>
        <w:rPr/>
        <w:t>Cerrá con un siguiente paso concreto</w:t>
      </w:r>
    </w:p>
    <w:p>
      <w:pPr>
        <w:pStyle w:val="BodyText"/>
        <w:bidi w:val="0"/>
        <w:spacing w:before="0" w:after="180"/>
        <w:rPr/>
      </w:pPr>
      <w:r>
        <w:rPr/>
        <w:t>Pedí una acción pequeña: seleccionar productos, enviar imágenes, confirmar condiciones o crear el acceso. Evitá terminar con un “cualquier cosa avisame”, porque deja la decisión sin fecha ni responsable.</w:t>
      </w:r>
    </w:p>
    <w:p>
      <w:pPr>
        <w:pStyle w:val="Heading2"/>
        <w:keepNext w:val="true"/>
        <w:numPr>
          <w:ilvl w:val="0"/>
          <w:numId w:val="0"/>
        </w:numPr>
        <w:bidi w:val="0"/>
        <w:spacing w:before="460" w:after="160"/>
        <w:ind w:start="460" w:end="460"/>
        <w:rPr/>
      </w:pPr>
      <w:r>
        <w:rPr/>
        <w:t>Cómo evaluar a cada participante</w:t>
      </w:r>
    </w:p>
    <w:p>
      <w:pPr>
        <w:pStyle w:val="Heading3"/>
        <w:keepNext w:val="true"/>
        <w:numPr>
          <w:ilvl w:val="0"/>
          <w:numId w:val="0"/>
        </w:numPr>
        <w:bidi w:val="0"/>
        <w:spacing w:before="340" w:after="100"/>
        <w:ind w:start="340" w:end="340"/>
        <w:rPr/>
      </w:pPr>
      <w:r>
        <w:rPr/>
        <w:t>Un producto está listo cuando</w:t>
      </w:r>
    </w:p>
    <w:p>
      <w:pPr>
        <w:pStyle w:val="BodyText"/>
        <w:numPr>
          <w:ilvl w:val="0"/>
          <w:numId w:val="6"/>
        </w:numPr>
        <w:tabs>
          <w:tab w:val="clear" w:pos="1134"/>
          <w:tab w:val="left" w:pos="709" w:leader="none"/>
        </w:tabs>
        <w:bidi w:val="0"/>
        <w:spacing w:before="0" w:after="0"/>
        <w:ind w:hanging="283" w:start="709"/>
        <w:rPr/>
      </w:pPr>
      <w:r>
        <w:rPr/>
        <w:t xml:space="preserve">tiene un dueño o responsable identificable; </w:t>
      </w:r>
    </w:p>
    <w:p>
      <w:pPr>
        <w:pStyle w:val="BodyText"/>
        <w:numPr>
          <w:ilvl w:val="0"/>
          <w:numId w:val="6"/>
        </w:numPr>
        <w:tabs>
          <w:tab w:val="clear" w:pos="1134"/>
          <w:tab w:val="left" w:pos="709" w:leader="none"/>
        </w:tabs>
        <w:bidi w:val="0"/>
        <w:spacing w:before="0" w:after="0"/>
        <w:ind w:hanging="283" w:start="709"/>
        <w:rPr/>
      </w:pPr>
      <w:r>
        <w:rPr/>
        <w:t xml:space="preserve">cuenta con información e imágenes suficientes; </w:t>
      </w:r>
    </w:p>
    <w:p>
      <w:pPr>
        <w:pStyle w:val="BodyText"/>
        <w:numPr>
          <w:ilvl w:val="0"/>
          <w:numId w:val="6"/>
        </w:numPr>
        <w:tabs>
          <w:tab w:val="clear" w:pos="1134"/>
          <w:tab w:val="left" w:pos="709" w:leader="none"/>
        </w:tabs>
        <w:bidi w:val="0"/>
        <w:spacing w:before="0" w:after="0"/>
        <w:ind w:hanging="283" w:start="709"/>
        <w:rPr/>
      </w:pPr>
      <w:r>
        <w:rPr/>
        <w:t xml:space="preserve">el valor a rendir y el precio de venta están claros; </w:t>
      </w:r>
    </w:p>
    <w:p>
      <w:pPr>
        <w:pStyle w:val="BodyText"/>
        <w:numPr>
          <w:ilvl w:val="0"/>
          <w:numId w:val="6"/>
        </w:numPr>
        <w:tabs>
          <w:tab w:val="clear" w:pos="1134"/>
          <w:tab w:val="left" w:pos="709" w:leader="none"/>
        </w:tabs>
        <w:bidi w:val="0"/>
        <w:spacing w:before="0" w:after="0"/>
        <w:ind w:hanging="283" w:start="709"/>
        <w:rPr/>
      </w:pPr>
      <w:r>
        <w:rPr/>
        <w:t xml:space="preserve">existe margen para remunerar la intermediación sin perjudicar al comprador; </w:t>
      </w:r>
    </w:p>
    <w:p>
      <w:pPr>
        <w:pStyle w:val="BodyText"/>
        <w:numPr>
          <w:ilvl w:val="0"/>
          <w:numId w:val="6"/>
        </w:numPr>
        <w:tabs>
          <w:tab w:val="clear" w:pos="1134"/>
          <w:tab w:val="left" w:pos="709" w:leader="none"/>
        </w:tabs>
        <w:bidi w:val="0"/>
        <w:spacing w:before="0" w:after="0"/>
        <w:ind w:hanging="283" w:start="709"/>
        <w:rPr/>
      </w:pPr>
      <w:r>
        <w:rPr/>
        <w:t xml:space="preserve">la disponibilidad puede mantenerse actualizada; </w:t>
      </w:r>
    </w:p>
    <w:p>
      <w:pPr>
        <w:pStyle w:val="BodyText"/>
        <w:numPr>
          <w:ilvl w:val="0"/>
          <w:numId w:val="6"/>
        </w:numPr>
        <w:tabs>
          <w:tab w:val="clear" w:pos="1134"/>
          <w:tab w:val="left" w:pos="709" w:leader="none"/>
        </w:tabs>
        <w:bidi w:val="0"/>
        <w:ind w:hanging="283" w:start="709"/>
        <w:rPr/>
      </w:pPr>
      <w:r>
        <w:rPr/>
        <w:t xml:space="preserve">pago, entrega y reclamos tienen responsables definidos. </w:t>
      </w:r>
    </w:p>
    <w:p>
      <w:pPr>
        <w:pStyle w:val="Heading3"/>
        <w:keepNext w:val="true"/>
        <w:numPr>
          <w:ilvl w:val="0"/>
          <w:numId w:val="0"/>
        </w:numPr>
        <w:bidi w:val="0"/>
        <w:spacing w:before="340" w:after="100"/>
        <w:ind w:start="340" w:end="340"/>
        <w:rPr/>
      </w:pPr>
      <w:r>
        <w:rPr/>
        <w:t>Un vendedor está listo cuando</w:t>
      </w:r>
    </w:p>
    <w:p>
      <w:pPr>
        <w:pStyle w:val="BodyText"/>
        <w:numPr>
          <w:ilvl w:val="0"/>
          <w:numId w:val="7"/>
        </w:numPr>
        <w:tabs>
          <w:tab w:val="clear" w:pos="1134"/>
          <w:tab w:val="left" w:pos="709" w:leader="none"/>
        </w:tabs>
        <w:bidi w:val="0"/>
        <w:spacing w:before="0" w:after="0"/>
        <w:ind w:hanging="283" w:start="709"/>
        <w:rPr/>
      </w:pPr>
      <w:r>
        <w:rPr/>
        <w:t xml:space="preserve">comprende que una consulta no equivale a una venta; </w:t>
      </w:r>
    </w:p>
    <w:p>
      <w:pPr>
        <w:pStyle w:val="BodyText"/>
        <w:numPr>
          <w:ilvl w:val="0"/>
          <w:numId w:val="7"/>
        </w:numPr>
        <w:tabs>
          <w:tab w:val="clear" w:pos="1134"/>
          <w:tab w:val="left" w:pos="709" w:leader="none"/>
        </w:tabs>
        <w:bidi w:val="0"/>
        <w:spacing w:before="0" w:after="0"/>
        <w:ind w:hanging="283" w:start="709"/>
        <w:rPr/>
      </w:pPr>
      <w:r>
        <w:rPr/>
        <w:t xml:space="preserve">acepta trabajar con precios y mensajes vigentes; </w:t>
      </w:r>
    </w:p>
    <w:p>
      <w:pPr>
        <w:pStyle w:val="BodyText"/>
        <w:numPr>
          <w:ilvl w:val="0"/>
          <w:numId w:val="7"/>
        </w:numPr>
        <w:tabs>
          <w:tab w:val="clear" w:pos="1134"/>
          <w:tab w:val="left" w:pos="709" w:leader="none"/>
        </w:tabs>
        <w:bidi w:val="0"/>
        <w:spacing w:before="0" w:after="0"/>
        <w:ind w:hanging="283" w:start="709"/>
        <w:rPr/>
      </w:pPr>
      <w:r>
        <w:rPr/>
        <w:t xml:space="preserve">registra al comprador y las condiciones acordadas; </w:t>
      </w:r>
    </w:p>
    <w:p>
      <w:pPr>
        <w:pStyle w:val="BodyText"/>
        <w:numPr>
          <w:ilvl w:val="0"/>
          <w:numId w:val="7"/>
        </w:numPr>
        <w:tabs>
          <w:tab w:val="clear" w:pos="1134"/>
          <w:tab w:val="left" w:pos="709" w:leader="none"/>
        </w:tabs>
        <w:bidi w:val="0"/>
        <w:spacing w:before="0" w:after="0"/>
        <w:ind w:hanging="283" w:start="709"/>
        <w:rPr/>
      </w:pPr>
      <w:r>
        <w:rPr/>
        <w:t xml:space="preserve">no promete stock, descuentos o entregas sin autorización; </w:t>
      </w:r>
    </w:p>
    <w:p>
      <w:pPr>
        <w:pStyle w:val="BodyText"/>
        <w:numPr>
          <w:ilvl w:val="0"/>
          <w:numId w:val="7"/>
        </w:numPr>
        <w:tabs>
          <w:tab w:val="clear" w:pos="1134"/>
          <w:tab w:val="left" w:pos="709" w:leader="none"/>
        </w:tabs>
        <w:bidi w:val="0"/>
        <w:spacing w:before="0" w:after="0"/>
        <w:ind w:hanging="283" w:start="709"/>
        <w:rPr/>
      </w:pPr>
      <w:r>
        <w:rPr/>
        <w:t xml:space="preserve">entiende cómo y cuándo se liquida su ganancia; </w:t>
      </w:r>
    </w:p>
    <w:p>
      <w:pPr>
        <w:pStyle w:val="BodyText"/>
        <w:numPr>
          <w:ilvl w:val="0"/>
          <w:numId w:val="7"/>
        </w:numPr>
        <w:tabs>
          <w:tab w:val="clear" w:pos="1134"/>
          <w:tab w:val="left" w:pos="709" w:leader="none"/>
        </w:tabs>
        <w:bidi w:val="0"/>
        <w:ind w:hanging="283" w:start="709"/>
        <w:rPr/>
      </w:pPr>
      <w:r>
        <w:rPr/>
        <w:t xml:space="preserve">puede sostener una comunicación respetuosa con el comprador y el administrador. </w:t>
      </w:r>
    </w:p>
    <w:p>
      <w:pPr>
        <w:pStyle w:val="Heading2"/>
        <w:keepNext w:val="true"/>
        <w:numPr>
          <w:ilvl w:val="0"/>
          <w:numId w:val="0"/>
        </w:numPr>
        <w:bidi w:val="0"/>
        <w:spacing w:before="460" w:after="160"/>
        <w:ind w:start="460" w:end="460"/>
        <w:rPr/>
      </w:pPr>
      <w:r>
        <w:rPr/>
        <w:t>Propuesta de piloto comercial</w:t>
      </w:r>
    </w:p>
    <w:p>
      <w:pPr>
        <w:pStyle w:val="BodyText"/>
        <w:bidi w:val="0"/>
        <w:spacing w:before="0" w:after="180"/>
        <w:rPr/>
      </w:pPr>
      <w:r>
        <w:rPr/>
        <w:t>La mejor herramienta de persuasión será un resultado verificable. Conviene comenzar con un piloto controlado y documentar lo aprendido.</w:t>
      </w:r>
    </w:p>
    <w:p>
      <w:pPr>
        <w:pStyle w:val="BodyText"/>
        <w:numPr>
          <w:ilvl w:val="0"/>
          <w:numId w:val="8"/>
        </w:numPr>
        <w:tabs>
          <w:tab w:val="clear" w:pos="1134"/>
          <w:tab w:val="left" w:pos="709" w:leader="none"/>
        </w:tabs>
        <w:bidi w:val="0"/>
        <w:spacing w:before="0" w:after="60"/>
        <w:ind w:hanging="283" w:start="709"/>
        <w:rPr/>
      </w:pPr>
      <w:r>
        <w:rPr/>
        <w:t xml:space="preserve">Elegir entre tres y cinco dueños de productos con disposición para probar. </w:t>
      </w:r>
    </w:p>
    <w:p>
      <w:pPr>
        <w:pStyle w:val="BodyText"/>
        <w:numPr>
          <w:ilvl w:val="0"/>
          <w:numId w:val="8"/>
        </w:numPr>
        <w:tabs>
          <w:tab w:val="clear" w:pos="1134"/>
          <w:tab w:val="left" w:pos="709" w:leader="none"/>
        </w:tabs>
        <w:bidi w:val="0"/>
        <w:spacing w:before="0" w:after="60"/>
        <w:ind w:hanging="283" w:start="709"/>
        <w:rPr/>
      </w:pPr>
      <w:r>
        <w:rPr/>
        <w:t xml:space="preserve">Incorporar pocos productos por persona, priorizando información completa y margen suficiente. </w:t>
      </w:r>
    </w:p>
    <w:p>
      <w:pPr>
        <w:pStyle w:val="BodyText"/>
        <w:numPr>
          <w:ilvl w:val="0"/>
          <w:numId w:val="8"/>
        </w:numPr>
        <w:tabs>
          <w:tab w:val="clear" w:pos="1134"/>
          <w:tab w:val="left" w:pos="709" w:leader="none"/>
        </w:tabs>
        <w:bidi w:val="0"/>
        <w:spacing w:before="0" w:after="60"/>
        <w:ind w:hanging="283" w:start="709"/>
        <w:rPr/>
      </w:pPr>
      <w:r>
        <w:rPr/>
        <w:t xml:space="preserve">Sumar un grupo pequeño de vendedores y explicarles el proceso. </w:t>
      </w:r>
    </w:p>
    <w:p>
      <w:pPr>
        <w:pStyle w:val="BodyText"/>
        <w:numPr>
          <w:ilvl w:val="0"/>
          <w:numId w:val="8"/>
        </w:numPr>
        <w:tabs>
          <w:tab w:val="clear" w:pos="1134"/>
          <w:tab w:val="left" w:pos="709" w:leader="none"/>
        </w:tabs>
        <w:bidi w:val="0"/>
        <w:spacing w:before="0" w:after="60"/>
        <w:ind w:hanging="283" w:start="709"/>
        <w:rPr/>
      </w:pPr>
      <w:r>
        <w:rPr/>
        <w:t xml:space="preserve">Medir visualizaciones, consultas, cotizaciones, ventas confirmadas, tiempos de respuesta e incidentes. </w:t>
      </w:r>
    </w:p>
    <w:p>
      <w:pPr>
        <w:pStyle w:val="BodyText"/>
        <w:numPr>
          <w:ilvl w:val="0"/>
          <w:numId w:val="8"/>
        </w:numPr>
        <w:tabs>
          <w:tab w:val="clear" w:pos="1134"/>
          <w:tab w:val="left" w:pos="709" w:leader="none"/>
        </w:tabs>
        <w:bidi w:val="0"/>
        <w:spacing w:before="0" w:after="60"/>
        <w:ind w:hanging="283" w:start="709"/>
        <w:rPr/>
      </w:pPr>
      <w:r>
        <w:rPr/>
        <w:t xml:space="preserve">Entrevistar a dueños, vendedores y compradores al finalizar el período. </w:t>
      </w:r>
    </w:p>
    <w:p>
      <w:pPr>
        <w:pStyle w:val="BodyText"/>
        <w:numPr>
          <w:ilvl w:val="0"/>
          <w:numId w:val="8"/>
        </w:numPr>
        <w:tabs>
          <w:tab w:val="clear" w:pos="1134"/>
          <w:tab w:val="left" w:pos="709" w:leader="none"/>
        </w:tabs>
        <w:bidi w:val="0"/>
        <w:spacing w:after="60"/>
        <w:ind w:hanging="283" w:start="709"/>
        <w:rPr/>
      </w:pPr>
      <w:r>
        <w:rPr/>
        <w:t xml:space="preserve">Ajustar comisiones, mensajes, permisos y responsabilidades antes de ampliar la red. </w:t>
      </w:r>
    </w:p>
    <w:p>
      <w:pPr>
        <w:pStyle w:val="Heading2"/>
        <w:keepNext w:val="true"/>
        <w:numPr>
          <w:ilvl w:val="0"/>
          <w:numId w:val="0"/>
        </w:numPr>
        <w:bidi w:val="0"/>
        <w:spacing w:before="460" w:after="160"/>
        <w:ind w:start="460" w:end="460"/>
        <w:rPr/>
      </w:pPr>
      <w:r>
        <w:rPr/>
        <w:t>Indicadores para demostrar valor</w:t>
      </w:r>
    </w:p>
    <w:p>
      <w:pPr>
        <w:pStyle w:val="BodyText"/>
        <w:bidi w:val="0"/>
        <w:spacing w:before="0" w:after="180"/>
        <w:rPr/>
      </w:pPr>
      <w:r>
        <w:rPr/>
        <w:t>Los argumentos mejoran cuando se apoyan en datos. Para el dueño del producto importan las consultas y ventas que llegaron por vendedores distintos de él. Para el vendedor importan las oportunidades trabajadas, su conversión y la ganancia liquidada. Para Hogar Conectado importan la velocidad de respuesta, los productos con demanda y las operaciones completadas sin reclamos.</w:t>
      </w:r>
    </w:p>
    <w:p>
      <w:pPr>
        <w:pStyle w:val="BodyText"/>
        <w:bidi w:val="0"/>
        <w:spacing w:before="0" w:after="180"/>
        <w:rPr/>
      </w:pPr>
      <w:r>
        <w:rPr/>
        <w:t>Al comienzo, evitá usar métricas de vanidad como cantidad total de productos o usuarios registrados. Una red pequeña que concreta ventas y liquida correctamente resulta más convincente que un catálogo grande sin actividad.</w:t>
      </w:r>
    </w:p>
    <w:p>
      <w:pPr>
        <w:pStyle w:val="Heading2"/>
        <w:keepNext w:val="true"/>
        <w:numPr>
          <w:ilvl w:val="0"/>
          <w:numId w:val="0"/>
        </w:numPr>
        <w:bidi w:val="0"/>
        <w:spacing w:before="460" w:after="160"/>
        <w:ind w:start="460" w:end="460"/>
        <w:rPr/>
      </w:pPr>
      <w:r>
        <w:rPr/>
        <w:t>Principios para recordar al presentar Hogar Conectado</w:t>
      </w:r>
    </w:p>
    <w:p>
      <w:pPr>
        <w:pStyle w:val="BodyText"/>
        <w:numPr>
          <w:ilvl w:val="0"/>
          <w:numId w:val="9"/>
        </w:numPr>
        <w:tabs>
          <w:tab w:val="clear" w:pos="1134"/>
          <w:tab w:val="left" w:pos="709" w:leader="none"/>
        </w:tabs>
        <w:bidi w:val="0"/>
        <w:spacing w:before="0" w:after="0"/>
        <w:ind w:hanging="283" w:start="709"/>
        <w:rPr/>
      </w:pPr>
      <w:r>
        <w:rPr>
          <w:rStyle w:val="Strong"/>
        </w:rPr>
        <w:t>Canal adicional.</w:t>
      </w:r>
      <w:r>
        <w:rPr/>
        <w:t xml:space="preserve"> La persona no tiene que abandonar su manera actual de vender. </w:t>
      </w:r>
    </w:p>
    <w:p>
      <w:pPr>
        <w:pStyle w:val="BodyText"/>
        <w:numPr>
          <w:ilvl w:val="0"/>
          <w:numId w:val="9"/>
        </w:numPr>
        <w:tabs>
          <w:tab w:val="clear" w:pos="1134"/>
          <w:tab w:val="left" w:pos="709" w:leader="none"/>
        </w:tabs>
        <w:bidi w:val="0"/>
        <w:spacing w:before="0" w:after="0"/>
        <w:ind w:hanging="283" w:start="709"/>
        <w:rPr/>
      </w:pPr>
      <w:r>
        <w:rPr>
          <w:rStyle w:val="Strong"/>
        </w:rPr>
        <w:t>Reglas antes de operar.</w:t>
      </w:r>
      <w:r>
        <w:rPr/>
        <w:t xml:space="preserve"> Precio, margen, entrega y responsabilidades se acuerdan antes de publicar. </w:t>
      </w:r>
    </w:p>
    <w:p>
      <w:pPr>
        <w:pStyle w:val="BodyText"/>
        <w:numPr>
          <w:ilvl w:val="0"/>
          <w:numId w:val="9"/>
        </w:numPr>
        <w:tabs>
          <w:tab w:val="clear" w:pos="1134"/>
          <w:tab w:val="left" w:pos="709" w:leader="none"/>
        </w:tabs>
        <w:bidi w:val="0"/>
        <w:spacing w:before="0" w:after="0"/>
        <w:ind w:hanging="283" w:start="709"/>
        <w:rPr/>
      </w:pPr>
      <w:r>
        <w:rPr>
          <w:rStyle w:val="Strong"/>
        </w:rPr>
        <w:t>Ganancia por aporte real.</w:t>
      </w:r>
      <w:r>
        <w:rPr/>
        <w:t xml:space="preserve"> Cada parte recibe valor cuando participa de una operación registrada. </w:t>
      </w:r>
    </w:p>
    <w:p>
      <w:pPr>
        <w:pStyle w:val="BodyText"/>
        <w:numPr>
          <w:ilvl w:val="0"/>
          <w:numId w:val="9"/>
        </w:numPr>
        <w:tabs>
          <w:tab w:val="clear" w:pos="1134"/>
          <w:tab w:val="left" w:pos="709" w:leader="none"/>
        </w:tabs>
        <w:bidi w:val="0"/>
        <w:spacing w:before="0" w:after="0"/>
        <w:ind w:hanging="283" w:start="709"/>
        <w:rPr/>
      </w:pPr>
      <w:r>
        <w:rPr>
          <w:rStyle w:val="Strong"/>
        </w:rPr>
        <w:t>Prueba antes de escalar.</w:t>
      </w:r>
      <w:r>
        <w:rPr/>
        <w:t xml:space="preserve"> Pocos productos y vendedores permiten corregir errores sin dañar la confianza. </w:t>
      </w:r>
    </w:p>
    <w:p>
      <w:pPr>
        <w:pStyle w:val="BodyText"/>
        <w:numPr>
          <w:ilvl w:val="0"/>
          <w:numId w:val="9"/>
        </w:numPr>
        <w:tabs>
          <w:tab w:val="clear" w:pos="1134"/>
          <w:tab w:val="left" w:pos="709" w:leader="none"/>
        </w:tabs>
        <w:bidi w:val="0"/>
        <w:spacing w:before="0" w:after="0"/>
        <w:ind w:hanging="283" w:start="709"/>
        <w:rPr/>
      </w:pPr>
      <w:r>
        <w:rPr>
          <w:rStyle w:val="Strong"/>
        </w:rPr>
        <w:t>Transparencia operativa.</w:t>
      </w:r>
      <w:r>
        <w:rPr/>
        <w:t xml:space="preserve"> Nadie debería descubrir al final cuánto tiene que rendir o cobrar. </w:t>
      </w:r>
    </w:p>
    <w:p>
      <w:pPr>
        <w:pStyle w:val="BodyText"/>
        <w:numPr>
          <w:ilvl w:val="0"/>
          <w:numId w:val="9"/>
        </w:numPr>
        <w:tabs>
          <w:tab w:val="clear" w:pos="1134"/>
          <w:tab w:val="left" w:pos="709" w:leader="none"/>
        </w:tabs>
        <w:bidi w:val="0"/>
        <w:ind w:hanging="283" w:start="709"/>
        <w:rPr/>
      </w:pPr>
      <w:r>
        <w:rPr>
          <w:rStyle w:val="Strong"/>
        </w:rPr>
        <w:t>Confianza antes que volumen.</w:t>
      </w:r>
      <w:r>
        <w:rPr/>
        <w:t xml:space="preserve"> Una mala entrega o liquidación puede afectar a toda la red. </w:t>
      </w:r>
    </w:p>
    <w:p>
      <w:pPr>
        <w:pStyle w:val="Heading2"/>
        <w:keepNext w:val="true"/>
        <w:numPr>
          <w:ilvl w:val="0"/>
          <w:numId w:val="0"/>
        </w:numPr>
        <w:bidi w:val="0"/>
        <w:spacing w:before="460" w:after="160"/>
        <w:ind w:start="460" w:end="460"/>
        <w:rPr/>
      </w:pPr>
      <w:r>
        <w:rPr/>
        <w:t>Resumen para estudiar</w:t>
      </w:r>
    </w:p>
    <w:p>
      <w:pPr>
        <w:pStyle w:val="BodyText"/>
        <w:bidi w:val="0"/>
        <w:spacing w:before="0" w:after="180"/>
        <w:rPr/>
      </w:pPr>
      <w:r>
        <w:t>La explicación central es esta: Hogar Conectado suma un canal de venta sin exclusividad, protege la atribución del vendedor y registra desde el inicio cuánto recibe cada parte, quién cobra y quién entrega.</w:t>
      </w:r>
    </w:p>
    <w:p>
      <w:pPr>
        <w:pStyle w:val="BodyText"/>
        <w:bidi w:val="0"/>
        <w:spacing w:before="0" w:after="180"/>
        <w:rPr/>
      </w:pPr>
      <w:r>
        <w:rPr/>
        <w:t>Para el vendedor, la frase central es: “Podés empezar sin comprar stock, pero trabajás con información vigente, condiciones claras y responsabilidad frente al comprador”.</w:t>
      </w:r>
    </w:p>
    <w:p>
      <w:pPr>
        <w:pStyle w:val="BodyText"/>
        <w:bidi w:val="0"/>
        <w:spacing w:before="0" w:after="180"/>
        <w:rPr/>
      </w:pPr>
      <w:r>
        <w:rPr/>
        <w:t>La seducción funciona cuando reduce riesgo, no cuando exagera beneficios. Primero escuchá, después conectá una necesidad real con una capacidad de la plataforma y cerrá con un piloto pequeño. Los resultados del piloto serán el argumento comercial más fuerte para la siguiente persona.</w:t>
      </w:r>
    </w:p>
    <w:p>
      <w:pPr>
        <w:pStyle w:val="BodyTextfooter-note"/>
        <w:bidi w:val="0"/>
        <w:spacing w:before="360" w:after="180"/>
        <w:rPr/>
      </w:pPr>
      <w:r>
        <w:rPr/>
        <w:t>Documento interno de preparación comercial. Las reglas económicas, plazos y responsabilidades definitivas deben documentarse por producto y comunicarse antes de cada operación.</w:t>
      </w:r>
    </w:p>
    <w:sectPr>
      <w:type w:val="nextPage"/>
      <w:pgSz w:w="11906" w:h="16838"/>
      <w:pgMar w:left="1077" w:right="1077" w:gutter="0" w:header="0" w:top="1020" w:footer="0" w:bottom="964"/>
      <w:pgNumType w:fmt="decimal"/>
      <w:formProt w:val="false"/>
      <w:textDirection w:val="lrTb"/>
      <w:docGrid w:type="default" w:linePitch="600" w:charSpace="3604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A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Helvetica;sans-serif" w:hAnsi="Arial;Helvetica;sans-serif" w:eastAsia="Arial;Helvetica;sans-serif" w:cs="Arial;Helvetica;sans-serif"/>
      <w:color w:val="1D2440"/>
      <w:sz w:val="22"/>
      <w:szCs w:val="22"/>
      <w:lang w:val="es-AR" w:eastAsia="zh-CN" w:bidi="hi-IN"/>
    </w:rPr>
  </w:style>
  <w:style w:type="paragraph" w:styleId="Heading1">
    <w:name w:val="heading 1"/>
    <w:basedOn w:val="Heading"/>
    <w:next w:val="BodyText"/>
    <w:qFormat/>
    <w:pPr>
      <w:keepNext w:val="true"/>
      <w:spacing w:lineRule="auto" w:line="269" w:before="320" w:after="160"/>
      <w:ind w:start="320" w:end="320"/>
    </w:pPr>
    <w:rPr>
      <w:b/>
      <w:bCs/>
      <w:color w:val="000000"/>
      <w:sz w:val="54"/>
      <w:szCs w:val="54"/>
    </w:rPr>
  </w:style>
  <w:style w:type="paragraph" w:styleId="Heading2">
    <w:name w:val="heading 2"/>
    <w:basedOn w:val="Heading"/>
    <w:next w:val="BodyText"/>
    <w:qFormat/>
    <w:pPr>
      <w:keepNext w:val="true"/>
      <w:numPr>
        <w:ilvl w:val="0"/>
        <w:numId w:val="0"/>
      </w:numPr>
      <w:spacing w:before="460" w:after="160"/>
      <w:ind w:start="460" w:end="460"/>
      <w:outlineLvl w:val="1"/>
    </w:pPr>
    <w:rPr>
      <w:rFonts w:ascii="Liberation Serif" w:hAnsi="Liberation Serif" w:eastAsia="Songti SC" w:cs="Arial Unicode MS"/>
      <w:b/>
      <w:bCs/>
      <w:color w:val="000000"/>
      <w:sz w:val="36"/>
      <w:szCs w:val="36"/>
    </w:rPr>
  </w:style>
  <w:style w:type="paragraph" w:styleId="Heading3">
    <w:name w:val="heading 3"/>
    <w:basedOn w:val="Heading"/>
    <w:next w:val="BodyText"/>
    <w:qFormat/>
    <w:pPr>
      <w:keepNext w:val="true"/>
      <w:numPr>
        <w:ilvl w:val="0"/>
        <w:numId w:val="0"/>
      </w:numPr>
      <w:spacing w:before="340" w:after="100"/>
      <w:ind w:start="340" w:end="340"/>
      <w:outlineLvl w:val="2"/>
    </w:pPr>
    <w:rPr>
      <w:rFonts w:ascii="Liberation Serif" w:hAnsi="Liberation Serif" w:eastAsia="Songti SC" w:cs="Arial Unicode MS"/>
      <w:b/>
      <w:bCs/>
      <w:color w:val="000000"/>
      <w:sz w:val="27"/>
      <w:szCs w:val="27"/>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8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eyebrow">
    <w:name w:val="Body Text.eyebrow"/>
    <w:basedOn w:val="BodyText"/>
    <w:qFormat/>
    <w:pPr/>
    <w:rPr>
      <w:b/>
      <w:bCs/>
      <w:caps/>
      <w:color w:val="6F7DD8"/>
      <w:spacing w:val="15"/>
      <w:sz w:val="18"/>
      <w:szCs w:val="18"/>
    </w:rPr>
  </w:style>
  <w:style w:type="paragraph" w:styleId="BodyTextsubtitle">
    <w:name w:val="Body Text.subtitle"/>
    <w:basedOn w:val="BodyText"/>
    <w:qFormat/>
    <w:pPr>
      <w:spacing w:lineRule="auto" w:line="324"/>
    </w:pPr>
    <w:rPr>
      <w:color w:val="4A5568"/>
      <w:sz w:val="30"/>
      <w:szCs w:val="30"/>
    </w:rPr>
  </w:style>
  <w:style w:type="paragraph" w:styleId="BodyTextmeta">
    <w:name w:val="Body Text.meta"/>
    <w:basedOn w:val="BodyText"/>
    <w:qFormat/>
    <w:pPr>
      <w:spacing w:before="680" w:after="180"/>
    </w:pPr>
    <w:rPr>
      <w:color w:val="718096"/>
      <w:sz w:val="20"/>
      <w:szCs w:val="20"/>
    </w:rPr>
  </w:style>
  <w:style w:type="paragraph" w:styleId="BodyTextlead">
    <w:name w:val="Body Text.lead"/>
    <w:basedOn w:val="BodyText"/>
    <w:qFormat/>
    <w:pPr>
      <w:spacing w:lineRule="auto" w:line="360"/>
    </w:pPr>
    <w:rPr>
      <w:color w:val="34405B"/>
      <w:sz w:val="26"/>
      <w:szCs w:val="26"/>
    </w:rPr>
  </w:style>
  <w:style w:type="paragraph" w:styleId="TableHeading">
    <w:name w:val="Table Heading"/>
    <w:basedOn w:val="TableContents"/>
    <w:qFormat/>
    <w:pPr>
      <w:suppressLineNumbers/>
      <w:jc w:val="start"/>
    </w:pPr>
    <w:rPr>
      <w:b/>
      <w:bCs/>
      <w:color w:val="FFFFFF"/>
    </w:rPr>
  </w:style>
  <w:style w:type="paragraph" w:styleId="BodyTextscript">
    <w:name w:val="Body Text.script"/>
    <w:basedOn w:val="BodyText"/>
    <w:qFormat/>
    <w:pPr>
      <w:spacing w:before="140" w:after="280"/>
      <w:ind w:start="320" w:end="140"/>
    </w:pPr>
    <w:rPr>
      <w:color w:val="27324C"/>
    </w:rPr>
  </w:style>
  <w:style w:type="paragraph" w:styleId="BodyTextfooter-note">
    <w:name w:val="Body Text.footer-note"/>
    <w:basedOn w:val="BodyText"/>
    <w:qFormat/>
    <w:pPr>
      <w:spacing w:before="360" w:after="180"/>
    </w:pPr>
    <w:rPr>
      <w:color w:val="718096"/>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file:///Users/ezequiel/Documents/Repositorios/hogarconectado/assets/images/logo-transparent-circle.p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LibreOffice/26.8.0.3$MacOSX_X86_64 LibreOffice_project/bce0998afefdbc355585ca324285661a2170ba77</Application>
  <AppVersion>15.0000</AppVersion>
  <Pages>1</Pages>
  <Words>2257</Words>
  <Characters>12651</Characters>
  <CharactersWithSpaces>14751</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Guía comercial para sumar productos y vendedores a Hogar Conectado</dc:title>
</cp:coreProperties>
</file>

<file path=docProps/custom.xml><?xml version="1.0" encoding="utf-8"?>
<Properties xmlns="http://schemas.openxmlformats.org/officeDocument/2006/custom-properties" xmlns:vt="http://schemas.openxmlformats.org/officeDocument/2006/docPropsVTypes"/>
</file>