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olor w:val="F57B21"/>
          <w:sz w:val="36"/>
        </w:rPr>
        <w:t>Eligiendo Mi Camino</w:t>
      </w:r>
    </w:p>
    <w:p>
      <w:pPr>
        <w:spacing w:before="1200" w:after="80"/>
        <w:jc w:val="center"/>
      </w:pPr>
      <w:r>
        <w:rPr>
          <w:rFonts w:ascii="Calibri" w:hAnsi="Calibri"/>
          <w:b/>
          <w:color w:val="F57B21"/>
          <w:sz w:val="30"/>
        </w:rPr>
        <w:t>Biblioteca de Documentos / Document Library</w:t>
      </w:r>
    </w:p>
    <w:p>
      <w:pPr>
        <w:spacing w:after="120"/>
        <w:jc w:val="center"/>
      </w:pPr>
      <w:r>
        <w:rPr>
          <w:rFonts w:ascii="Calibri" w:hAnsi="Calibri"/>
          <w:i/>
          <w:color w:val="333333"/>
          <w:sz w:val="26"/>
        </w:rPr>
        <w:t>Guía para navegación del hub / Hub Navigation Guide</w:t>
      </w:r>
    </w:p>
    <w:p>
      <w:pPr>
        <w:spacing w:after="120"/>
        <w:jc w:val="center"/>
      </w:pPr>
      <w:r>
        <w:rPr>
          <w:rFonts w:ascii="Calibri" w:hAnsi="Calibri"/>
          <w:i/>
          <w:color w:val="333333"/>
          <w:sz w:val="20"/>
        </w:rPr>
        <w:t>Versión 1.0 — Marzo 2026</w:t>
      </w:r>
    </w:p>
    <w:p>
      <w:pPr>
        <w:jc w:val="center"/>
      </w:pPr>
      <w:r>
        <w:rPr>
          <w:color w:val="F57B21"/>
          <w:sz w:val="20"/>
        </w:rPr>
        <w:t>━━━━━━━━━━━━━━━━━━━━━━━━━━━━━━━━━━━━━━━━━━━━━━━━━━</w:t>
      </w:r>
    </w:p>
    <w:p>
      <w:pPr>
        <w:spacing w:before="360" w:after="120"/>
        <w:pBdr>
          <w:bottom w:val="single" w:sz="6" w:space="1" w:color="F57B21"/>
        </w:pBdr>
      </w:pPr>
      <w:r>
        <w:rPr>
          <w:rFonts w:ascii="Calibri" w:hAnsi="Calibri"/>
          <w:b/>
          <w:color w:val="F57B21"/>
          <w:sz w:val="28"/>
        </w:rPr>
        <w:t>Introducción / Introduction</w:t>
      </w:r>
    </w:p>
    <w:p>
      <w:pPr>
        <w:spacing w:after="120"/>
      </w:pPr>
      <w:r>
        <w:rPr>
          <w:rFonts w:ascii="Calibri" w:hAnsi="Calibri"/>
          <w:b w:val="0"/>
          <w:i w:val="0"/>
          <w:color w:val="333333"/>
          <w:sz w:val="22"/>
        </w:rPr>
        <w:t>Eligiendo Mi Camino (EMC) es un programa de orientación vocacional con inteligencia artificial desarrollado por el Banco Mundial en alianza con uDocz, diseñado para estudiantes de 5.° año de secundaria en Lima, Perú. El programa aborda una realidad crítica: solo el 30% de los estudiantes continúa hacia la educación superior. EMC combina un tutor IA de matemáticas con un coach vocacional IA, desplegados a través de 10 sesiones de 60 minutos (anteriormente 12 sesiones de 90 minutos), para ayudar a todos los estudiantes — no solo a quienes planean ir a la universidad — a descubrir sus fortalezas, explorar opciones y trazar un plan de vida.</w:t>
      </w:r>
    </w:p>
    <w:p>
      <w:pPr>
        <w:spacing w:after="120"/>
      </w:pPr>
      <w:r>
        <w:rPr>
          <w:rFonts w:ascii="Calibri" w:hAnsi="Calibri"/>
          <w:b w:val="0"/>
          <w:i/>
          <w:color w:val="333333"/>
          <w:sz w:val="22"/>
        </w:rPr>
        <w:t>Eligiendo Mi Camino (EMC) is an AI-powered career coaching program developed by the World Bank in partnership with uDocz, designed for 5th-year secondary students in Lima, Peru. The program addresses a critical reality: only 30% of students continue to higher education. EMC combines an AI math tutor with an AI career coach, delivered across 10 sessions of 60 minutes (previously 12 sessions of 90 minutes), to help all students — not only those planning to attend university — discover their strengths, explore options, and build a life plan.</w:t>
      </w:r>
    </w:p>
    <w:p>
      <w:pPr>
        <w:spacing w:after="120"/>
      </w:pPr>
      <w:r>
        <w:rPr>
          <w:rFonts w:ascii="Calibri" w:hAnsi="Calibri"/>
          <w:b w:val="0"/>
          <w:i w:val="0"/>
          <w:color w:val="333333"/>
          <w:sz w:val="22"/>
        </w:rPr>
        <w:t>Este hub de conocimiento reúne la totalidad de los documentos producidos durante el diseño, implementación y evaluación del piloto EMC. Está organizado en seis categorías temáticas y pensado como recurso de referencia para equipos del Banco Mundial (TTLs) y socios que deseen replicar el programa en otros contextos. El símbolo ↗ junto a la descripción indica que el documento incluye un enlace externo (Google Drive u otro).</w:t>
      </w:r>
    </w:p>
    <w:p>
      <w:pPr>
        <w:spacing w:after="120"/>
      </w:pPr>
      <w:r>
        <w:rPr>
          <w:rFonts w:ascii="Calibri" w:hAnsi="Calibri"/>
          <w:b w:val="0"/>
          <w:i/>
          <w:color w:val="333333"/>
          <w:sz w:val="22"/>
        </w:rPr>
        <w:t>This knowledge hub gathers every document produced during the design, implementation, and evaluation of the EMC pilot. It is organized into six thematic categories and intended as a reference resource for World Bank teams (TTLs) and partners seeking to replicate the program in other contexts. The ↗ symbol next to the description indicates that the document includes an external link (Google Drive or other).</w:t>
      </w:r>
    </w:p>
    <w:p>
      <w:r>
        <w:br w:type="page"/>
      </w:r>
    </w:p>
    <w:p>
      <w:pPr>
        <w:spacing w:before="360" w:after="120"/>
        <w:pBdr>
          <w:bottom w:val="single" w:sz="6" w:space="1" w:color="F57B21"/>
        </w:pBdr>
      </w:pPr>
      <w:r>
        <w:rPr>
          <w:rFonts w:ascii="Calibri" w:hAnsi="Calibri"/>
          <w:b/>
          <w:color w:val="F57B21"/>
          <w:sz w:val="28"/>
        </w:rPr>
        <w:t>1. Tutor IA / AI Tutor  (11 documentos)</w:t>
      </w:r>
    </w:p>
    <w:p>
      <w:pPr>
        <w:spacing w:after="120"/>
      </w:pPr>
      <w:r>
        <w:rPr>
          <w:rFonts w:ascii="Calibri" w:hAnsi="Calibri"/>
          <w:b w:val="0"/>
          <w:i w:val="0"/>
          <w:color w:val="333333"/>
          <w:sz w:val="20"/>
        </w:rPr>
        <w:t>Documentos relacionados con el tutor de matemáticas con inteligencia artificial: guías docentes, banco de preguntas (~4,000 ítems), mapeo de competencias MINEDU, protocolos de testing, reportes de QA y materiales de capacitación. / Documents related to the AI math tutor: teacher guides, question bank (~4,000 items), MINEDU competency mapping, testing protocols, QA reports, and training materials.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Guía Docente Matemáticas MEJORADA</w:t>
            </w:r>
          </w:p>
        </w:tc>
        <w:tc>
          <w:tcPr>
            <w:tcW w:type="dxa" w:w="2835"/>
          </w:tcPr>
          <w:p>
            <w:r/>
            <w:r>
              <w:rPr>
                <w:rFonts w:ascii="Calibri" w:hAnsi="Calibri"/>
                <w:color w:val="333333"/>
                <w:sz w:val="18"/>
              </w:rPr>
              <w:t>Improved Math Teacher Guide</w:t>
            </w:r>
          </w:p>
        </w:tc>
        <w:tc>
          <w:tcPr>
            <w:tcW w:type="dxa" w:w="3685"/>
          </w:tcPr>
          <w:p>
            <w:r/>
            <w:r>
              <w:rPr>
                <w:rFonts w:ascii="Calibri" w:hAnsi="Calibri"/>
                <w:color w:val="333333"/>
                <w:sz w:val="18"/>
              </w:rPr>
              <w:t>Guía completa para docentes sobre el uso del tutor IA</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Mapeo de Competencias MINEDU</w:t>
            </w:r>
          </w:p>
        </w:tc>
        <w:tc>
          <w:tcPr>
            <w:tcW w:type="dxa" w:w="2835"/>
            <w:shd w:fill="F9F3ED"/>
          </w:tcPr>
          <w:p>
            <w:r/>
            <w:r>
              <w:rPr>
                <w:rFonts w:ascii="Calibri" w:hAnsi="Calibri"/>
                <w:color w:val="333333"/>
                <w:sz w:val="18"/>
              </w:rPr>
              <w:t>MINEDU Competency Mapping</w:t>
            </w:r>
          </w:p>
        </w:tc>
        <w:tc>
          <w:tcPr>
            <w:tcW w:type="dxa" w:w="3685"/>
            <w:shd w:fill="F9F3ED"/>
          </w:tcPr>
          <w:p>
            <w:r/>
            <w:r>
              <w:rPr>
                <w:rFonts w:ascii="Calibri" w:hAnsi="Calibri"/>
                <w:color w:val="333333"/>
                <w:sz w:val="18"/>
              </w:rPr>
              <w:t>Mapeo de las 4 competencias matemáticas al banco de preguntas</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README Banco de Preguntas</w:t>
            </w:r>
          </w:p>
        </w:tc>
        <w:tc>
          <w:tcPr>
            <w:tcW w:type="dxa" w:w="2835"/>
          </w:tcPr>
          <w:p>
            <w:r/>
            <w:r>
              <w:rPr>
                <w:rFonts w:ascii="Calibri" w:hAnsi="Calibri"/>
                <w:color w:val="333333"/>
                <w:sz w:val="18"/>
              </w:rPr>
              <w:t>Question Bank README</w:t>
            </w:r>
          </w:p>
        </w:tc>
        <w:tc>
          <w:tcPr>
            <w:tcW w:type="dxa" w:w="3685"/>
          </w:tcPr>
          <w:p>
            <w:r/>
            <w:r>
              <w:rPr>
                <w:rFonts w:ascii="Calibri" w:hAnsi="Calibri"/>
                <w:color w:val="333333"/>
                <w:sz w:val="18"/>
              </w:rPr>
              <w:t>Documentación técnica del banco de ~4,000 preguntas</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Guía de Replicación (ES/EN)</w:t>
            </w:r>
          </w:p>
        </w:tc>
        <w:tc>
          <w:tcPr>
            <w:tcW w:type="dxa" w:w="2835"/>
            <w:shd w:fill="F9F3ED"/>
          </w:tcPr>
          <w:p>
            <w:r/>
            <w:r>
              <w:rPr>
                <w:rFonts w:ascii="Calibri" w:hAnsi="Calibri"/>
                <w:color w:val="333333"/>
                <w:sz w:val="18"/>
              </w:rPr>
              <w:t>Replication Guide (ES/EN)</w:t>
            </w:r>
          </w:p>
        </w:tc>
        <w:tc>
          <w:tcPr>
            <w:tcW w:type="dxa" w:w="3685"/>
            <w:shd w:fill="F9F3ED"/>
          </w:tcPr>
          <w:p>
            <w:r/>
            <w:r>
              <w:rPr>
                <w:rFonts w:ascii="Calibri" w:hAnsi="Calibri"/>
                <w:color w:val="333333"/>
                <w:sz w:val="18"/>
              </w:rPr>
              <w:t>Paso a paso para replicar el banco de preguntas</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Protocolo de Testing</w:t>
            </w:r>
          </w:p>
        </w:tc>
        <w:tc>
          <w:tcPr>
            <w:tcW w:type="dxa" w:w="2835"/>
          </w:tcPr>
          <w:p>
            <w:r/>
            <w:r>
              <w:rPr>
                <w:rFonts w:ascii="Calibri" w:hAnsi="Calibri"/>
                <w:color w:val="333333"/>
                <w:sz w:val="18"/>
              </w:rPr>
              <w:t>Testing Protocol</w:t>
            </w:r>
          </w:p>
        </w:tc>
        <w:tc>
          <w:tcPr>
            <w:tcW w:type="dxa" w:w="3685"/>
          </w:tcPr>
          <w:p>
            <w:r/>
            <w:r>
              <w:rPr>
                <w:rFonts w:ascii="Calibri" w:hAnsi="Calibri"/>
                <w:color w:val="333333"/>
                <w:sz w:val="18"/>
              </w:rPr>
              <w:t>Protocolo para validar preguntas diagnósticas</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QA Report</w:t>
            </w:r>
          </w:p>
        </w:tc>
        <w:tc>
          <w:tcPr>
            <w:tcW w:type="dxa" w:w="2835"/>
            <w:shd w:fill="F9F3ED"/>
          </w:tcPr>
          <w:p>
            <w:r/>
            <w:r>
              <w:rPr>
                <w:rFonts w:ascii="Calibri" w:hAnsi="Calibri"/>
                <w:color w:val="333333"/>
                <w:sz w:val="18"/>
              </w:rPr>
              <w:t>QA Report</w:t>
            </w:r>
          </w:p>
        </w:tc>
        <w:tc>
          <w:tcPr>
            <w:tcW w:type="dxa" w:w="3685"/>
            <w:shd w:fill="F9F3ED"/>
          </w:tcPr>
          <w:p>
            <w:r/>
            <w:r>
              <w:rPr>
                <w:rFonts w:ascii="Calibri" w:hAnsi="Calibri"/>
                <w:color w:val="333333"/>
                <w:sz w:val="18"/>
              </w:rPr>
              <w:t>79 archivos, 48 revisiones profundas</w:t>
            </w:r>
          </w:p>
        </w:tc>
      </w:tr>
      <w:tr>
        <w:tc>
          <w:tcPr>
            <w:tcW w:type="dxa" w:w="567"/>
          </w:tcPr>
          <w:p>
            <w:pPr>
              <w:jc w:val="center"/>
            </w:pPr>
            <w:r/>
            <w:r>
              <w:rPr>
                <w:rFonts w:ascii="Calibri" w:hAnsi="Calibri"/>
                <w:color w:val="333333"/>
                <w:sz w:val="18"/>
              </w:rPr>
              <w:t>7</w:t>
            </w:r>
          </w:p>
        </w:tc>
        <w:tc>
          <w:tcPr>
            <w:tcW w:type="dxa" w:w="3118"/>
          </w:tcPr>
          <w:p>
            <w:r/>
            <w:r>
              <w:rPr>
                <w:rFonts w:ascii="Calibri" w:hAnsi="Calibri"/>
                <w:color w:val="333333"/>
                <w:sz w:val="18"/>
              </w:rPr>
              <w:t>Panel Review Craig Barton</w:t>
            </w:r>
          </w:p>
        </w:tc>
        <w:tc>
          <w:tcPr>
            <w:tcW w:type="dxa" w:w="2835"/>
          </w:tcPr>
          <w:p>
            <w:r/>
            <w:r>
              <w:rPr>
                <w:rFonts w:ascii="Calibri" w:hAnsi="Calibri"/>
                <w:color w:val="333333"/>
                <w:sz w:val="18"/>
              </w:rPr>
              <w:t>Craig Barton Panel Review</w:t>
            </w:r>
          </w:p>
        </w:tc>
        <w:tc>
          <w:tcPr>
            <w:tcW w:type="dxa" w:w="3685"/>
          </w:tcPr>
          <w:p>
            <w:r/>
            <w:r>
              <w:rPr>
                <w:rFonts w:ascii="Calibri" w:hAnsi="Calibri"/>
                <w:color w:val="333333"/>
                <w:sz w:val="18"/>
              </w:rPr>
              <w:t>Revisión por expertos internacionales</w:t>
            </w:r>
          </w:p>
        </w:tc>
      </w:tr>
      <w:tr>
        <w:tc>
          <w:tcPr>
            <w:tcW w:type="dxa" w:w="567"/>
            <w:shd w:fill="F9F3ED"/>
          </w:tcPr>
          <w:p>
            <w:pPr>
              <w:jc w:val="center"/>
            </w:pPr>
            <w:r/>
            <w:r>
              <w:rPr>
                <w:rFonts w:ascii="Calibri" w:hAnsi="Calibri"/>
                <w:color w:val="333333"/>
                <w:sz w:val="18"/>
              </w:rPr>
              <w:t>8</w:t>
            </w:r>
          </w:p>
        </w:tc>
        <w:tc>
          <w:tcPr>
            <w:tcW w:type="dxa" w:w="3118"/>
            <w:shd w:fill="F9F3ED"/>
          </w:tcPr>
          <w:p>
            <w:r/>
            <w:r>
              <w:rPr>
                <w:rFonts w:ascii="Calibri" w:hAnsi="Calibri"/>
                <w:color w:val="333333"/>
                <w:sz w:val="18"/>
              </w:rPr>
              <w:t>Slides Matemáticas Día 1</w:t>
            </w:r>
          </w:p>
        </w:tc>
        <w:tc>
          <w:tcPr>
            <w:tcW w:type="dxa" w:w="2835"/>
            <w:shd w:fill="F9F3ED"/>
          </w:tcPr>
          <w:p>
            <w:r/>
            <w:r>
              <w:rPr>
                <w:rFonts w:ascii="Calibri" w:hAnsi="Calibri"/>
                <w:color w:val="333333"/>
                <w:sz w:val="18"/>
              </w:rPr>
              <w:t>Math Slides Day 1</w:t>
            </w:r>
          </w:p>
        </w:tc>
        <w:tc>
          <w:tcPr>
            <w:tcW w:type="dxa" w:w="3685"/>
            <w:shd w:fill="F9F3ED"/>
          </w:tcPr>
          <w:p>
            <w:r/>
            <w:r>
              <w:rPr>
                <w:rFonts w:ascii="Calibri" w:hAnsi="Calibri"/>
                <w:color w:val="333333"/>
                <w:sz w:val="18"/>
              </w:rPr>
              <w:t>Presentación capacitación día 1</w:t>
            </w:r>
          </w:p>
        </w:tc>
      </w:tr>
      <w:tr>
        <w:tc>
          <w:tcPr>
            <w:tcW w:type="dxa" w:w="567"/>
          </w:tcPr>
          <w:p>
            <w:pPr>
              <w:jc w:val="center"/>
            </w:pPr>
            <w:r/>
            <w:r>
              <w:rPr>
                <w:rFonts w:ascii="Calibri" w:hAnsi="Calibri"/>
                <w:color w:val="333333"/>
                <w:sz w:val="18"/>
              </w:rPr>
              <w:t>9</w:t>
            </w:r>
          </w:p>
        </w:tc>
        <w:tc>
          <w:tcPr>
            <w:tcW w:type="dxa" w:w="3118"/>
          </w:tcPr>
          <w:p>
            <w:r/>
            <w:r>
              <w:rPr>
                <w:rFonts w:ascii="Calibri" w:hAnsi="Calibri"/>
                <w:color w:val="333333"/>
                <w:sz w:val="18"/>
              </w:rPr>
              <w:t>Slides Matemáticas Día 2</w:t>
            </w:r>
          </w:p>
        </w:tc>
        <w:tc>
          <w:tcPr>
            <w:tcW w:type="dxa" w:w="2835"/>
          </w:tcPr>
          <w:p>
            <w:r/>
            <w:r>
              <w:rPr>
                <w:rFonts w:ascii="Calibri" w:hAnsi="Calibri"/>
                <w:color w:val="333333"/>
                <w:sz w:val="18"/>
              </w:rPr>
              <w:t>Math Slides Day 2</w:t>
            </w:r>
          </w:p>
        </w:tc>
        <w:tc>
          <w:tcPr>
            <w:tcW w:type="dxa" w:w="3685"/>
          </w:tcPr>
          <w:p>
            <w:r/>
            <w:r>
              <w:rPr>
                <w:rFonts w:ascii="Calibri" w:hAnsi="Calibri"/>
                <w:color w:val="333333"/>
                <w:sz w:val="18"/>
              </w:rPr>
              <w:t>Presentación capacitación día 2</w:t>
            </w:r>
          </w:p>
        </w:tc>
      </w:tr>
      <w:tr>
        <w:tc>
          <w:tcPr>
            <w:tcW w:type="dxa" w:w="567"/>
            <w:shd w:fill="F9F3ED"/>
          </w:tcPr>
          <w:p>
            <w:pPr>
              <w:jc w:val="center"/>
            </w:pPr>
            <w:r/>
            <w:r>
              <w:rPr>
                <w:rFonts w:ascii="Calibri" w:hAnsi="Calibri"/>
                <w:color w:val="333333"/>
                <w:sz w:val="18"/>
              </w:rPr>
              <w:t>10</w:t>
            </w:r>
          </w:p>
        </w:tc>
        <w:tc>
          <w:tcPr>
            <w:tcW w:type="dxa" w:w="3118"/>
            <w:shd w:fill="F9F3ED"/>
          </w:tcPr>
          <w:p>
            <w:r/>
            <w:r>
              <w:rPr>
                <w:rFonts w:ascii="Calibri" w:hAnsi="Calibri"/>
                <w:color w:val="333333"/>
                <w:sz w:val="18"/>
              </w:rPr>
              <w:t>Sílabo Docentes Matemáticas</w:t>
            </w:r>
          </w:p>
        </w:tc>
        <w:tc>
          <w:tcPr>
            <w:tcW w:type="dxa" w:w="2835"/>
            <w:shd w:fill="F9F3ED"/>
          </w:tcPr>
          <w:p>
            <w:r/>
            <w:r>
              <w:rPr>
                <w:rFonts w:ascii="Calibri" w:hAnsi="Calibri"/>
                <w:color w:val="333333"/>
                <w:sz w:val="18"/>
              </w:rPr>
              <w:t>Math Teachers Syllabus</w:t>
            </w:r>
          </w:p>
        </w:tc>
        <w:tc>
          <w:tcPr>
            <w:tcW w:type="dxa" w:w="3685"/>
            <w:shd w:fill="F9F3ED"/>
          </w:tcPr>
          <w:p>
            <w:r/>
            <w:r>
              <w:rPr>
                <w:rFonts w:ascii="Calibri" w:hAnsi="Calibri"/>
                <w:color w:val="333333"/>
                <w:sz w:val="18"/>
              </w:rPr>
              <w:t>Programa de 14 horas de capacitación</w:t>
            </w:r>
          </w:p>
        </w:tc>
      </w:tr>
      <w:tr>
        <w:tc>
          <w:tcPr>
            <w:tcW w:type="dxa" w:w="567"/>
          </w:tcPr>
          <w:p>
            <w:pPr>
              <w:jc w:val="center"/>
            </w:pPr>
            <w:r/>
            <w:r>
              <w:rPr>
                <w:rFonts w:ascii="Calibri" w:hAnsi="Calibri"/>
                <w:color w:val="333333"/>
                <w:sz w:val="18"/>
              </w:rPr>
              <w:t>11</w:t>
            </w:r>
          </w:p>
        </w:tc>
        <w:tc>
          <w:tcPr>
            <w:tcW w:type="dxa" w:w="3118"/>
          </w:tcPr>
          <w:p>
            <w:r/>
            <w:r>
              <w:rPr>
                <w:rFonts w:ascii="Calibri" w:hAnsi="Calibri"/>
                <w:color w:val="333333"/>
                <w:sz w:val="18"/>
              </w:rPr>
              <w:t>Carpeta: Capacitación Matemáticas</w:t>
            </w:r>
          </w:p>
        </w:tc>
        <w:tc>
          <w:tcPr>
            <w:tcW w:type="dxa" w:w="2835"/>
          </w:tcPr>
          <w:p>
            <w:r/>
            <w:r>
              <w:rPr>
                <w:rFonts w:ascii="Calibri" w:hAnsi="Calibri"/>
                <w:color w:val="333333"/>
                <w:sz w:val="18"/>
              </w:rPr>
              <w:t>Folder: Math Training</w:t>
            </w:r>
          </w:p>
        </w:tc>
        <w:tc>
          <w:tcPr>
            <w:tcW w:type="dxa" w:w="3685"/>
          </w:tcPr>
          <w:p>
            <w:r/>
            <w:r>
              <w:rPr>
                <w:rFonts w:ascii="Calibri" w:hAnsi="Calibri"/>
                <w:color w:val="333333"/>
                <w:sz w:val="18"/>
              </w:rPr>
              <w:t>Todos los materiales de capacitación matemáticas</w:t>
            </w:r>
            <w:r>
              <w:rPr>
                <w:rFonts w:ascii="Calibri" w:hAnsi="Calibri"/>
                <w:color w:val="F57B21"/>
                <w:sz w:val="18"/>
              </w:rPr>
              <w:t xml:space="preserve">  ↗</w:t>
            </w:r>
          </w:p>
        </w:tc>
      </w:tr>
    </w:tbl>
    <w:p>
      <w:pPr>
        <w:spacing w:before="360" w:after="120"/>
        <w:pBdr>
          <w:bottom w:val="single" w:sz="6" w:space="1" w:color="F57B21"/>
        </w:pBdr>
      </w:pPr>
      <w:r>
        <w:rPr>
          <w:rFonts w:ascii="Calibri" w:hAnsi="Calibri"/>
          <w:b/>
          <w:color w:val="F57B21"/>
          <w:sz w:val="28"/>
        </w:rPr>
        <w:t>2. Coach IA / AI Career Coach  (6 documentos)</w:t>
      </w:r>
    </w:p>
    <w:p>
      <w:pPr>
        <w:spacing w:after="120"/>
      </w:pPr>
      <w:r>
        <w:rPr>
          <w:rFonts w:ascii="Calibri" w:hAnsi="Calibri"/>
          <w:b w:val="0"/>
          <w:i w:val="0"/>
          <w:color w:val="333333"/>
          <w:sz w:val="20"/>
        </w:rPr>
        <w:t>Documentos del coach vocacional con inteligencia artificial: guía para tutores de orientación vocacional (OV), diseño de sesiones, fichas de trabajo para estudiantes (IKIGAI, empatía, sesgos, Plan A) y materiales de capacitación. / AI career coach documents: guide for career-counseling (OV) tutors, session design, student worksheets (IKIGAI, empathy, biases, Plan A), and training materials.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Guía Completa del Tutor OV</w:t>
            </w:r>
          </w:p>
        </w:tc>
        <w:tc>
          <w:tcPr>
            <w:tcW w:type="dxa" w:w="2835"/>
          </w:tcPr>
          <w:p>
            <w:r/>
            <w:r>
              <w:rPr>
                <w:rFonts w:ascii="Calibri" w:hAnsi="Calibri"/>
                <w:color w:val="333333"/>
                <w:sz w:val="18"/>
              </w:rPr>
              <w:t>Complete OV Tutor Guide</w:t>
            </w:r>
          </w:p>
        </w:tc>
        <w:tc>
          <w:tcPr>
            <w:tcW w:type="dxa" w:w="3685"/>
          </w:tcPr>
          <w:p>
            <w:r/>
            <w:r>
              <w:rPr>
                <w:rFonts w:ascii="Calibri" w:hAnsi="Calibri"/>
                <w:color w:val="333333"/>
                <w:sz w:val="18"/>
              </w:rPr>
              <w:t>Guía imprimible para tutores de orientación vocacional</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Sesiones 12×90min FINAL</w:t>
            </w:r>
          </w:p>
        </w:tc>
        <w:tc>
          <w:tcPr>
            <w:tcW w:type="dxa" w:w="2835"/>
            <w:shd w:fill="F9F3ED"/>
          </w:tcPr>
          <w:p>
            <w:r/>
            <w:r>
              <w:rPr>
                <w:rFonts w:ascii="Calibri" w:hAnsi="Calibri"/>
                <w:color w:val="333333"/>
                <w:sz w:val="18"/>
              </w:rPr>
              <w:t>12 Sessions ×90min FINAL</w:t>
            </w:r>
          </w:p>
        </w:tc>
        <w:tc>
          <w:tcPr>
            <w:tcW w:type="dxa" w:w="3685"/>
            <w:shd w:fill="F9F3ED"/>
          </w:tcPr>
          <w:p>
            <w:r/>
            <w:r>
              <w:rPr>
                <w:rFonts w:ascii="Calibri" w:hAnsi="Calibri"/>
                <w:color w:val="333333"/>
                <w:sz w:val="18"/>
              </w:rPr>
              <w:t>Diseño final de las 12 sesiones originales</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Fichas de Trabajo</w:t>
            </w:r>
          </w:p>
        </w:tc>
        <w:tc>
          <w:tcPr>
            <w:tcW w:type="dxa" w:w="2835"/>
          </w:tcPr>
          <w:p>
            <w:r/>
            <w:r>
              <w:rPr>
                <w:rFonts w:ascii="Calibri" w:hAnsi="Calibri"/>
                <w:color w:val="333333"/>
                <w:sz w:val="18"/>
              </w:rPr>
              <w:t>Student Worksheets</w:t>
            </w:r>
          </w:p>
        </w:tc>
        <w:tc>
          <w:tcPr>
            <w:tcW w:type="dxa" w:w="3685"/>
          </w:tcPr>
          <w:p>
            <w:r/>
            <w:r>
              <w:rPr>
                <w:rFonts w:ascii="Calibri" w:hAnsi="Calibri"/>
                <w:color w:val="333333"/>
                <w:sz w:val="18"/>
              </w:rPr>
              <w:t>IKIGAI, empatía, sesgos, Plan A</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Diseño Coach Vocacional</w:t>
            </w:r>
          </w:p>
        </w:tc>
        <w:tc>
          <w:tcPr>
            <w:tcW w:type="dxa" w:w="2835"/>
            <w:shd w:fill="F9F3ED"/>
          </w:tcPr>
          <w:p>
            <w:r/>
            <w:r>
              <w:rPr>
                <w:rFonts w:ascii="Calibri" w:hAnsi="Calibri"/>
                <w:color w:val="333333"/>
                <w:sz w:val="18"/>
              </w:rPr>
              <w:t>Career Coach Design</w:t>
            </w:r>
          </w:p>
        </w:tc>
        <w:tc>
          <w:tcPr>
            <w:tcW w:type="dxa" w:w="3685"/>
            <w:shd w:fill="F9F3ED"/>
          </w:tcPr>
          <w:p>
            <w:r/>
            <w:r>
              <w:rPr>
                <w:rFonts w:ascii="Calibri" w:hAnsi="Calibri"/>
                <w:color w:val="333333"/>
                <w:sz w:val="18"/>
              </w:rPr>
              <w:t>Documento de diseño del coach IA vocacional</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Slides M1-M6 Tutores OV</w:t>
            </w:r>
          </w:p>
        </w:tc>
        <w:tc>
          <w:tcPr>
            <w:tcW w:type="dxa" w:w="2835"/>
          </w:tcPr>
          <w:p>
            <w:r/>
            <w:r>
              <w:rPr>
                <w:rFonts w:ascii="Calibri" w:hAnsi="Calibri"/>
                <w:color w:val="333333"/>
                <w:sz w:val="18"/>
              </w:rPr>
              <w:t>Slides M1-M6 OV Tutors</w:t>
            </w:r>
          </w:p>
        </w:tc>
        <w:tc>
          <w:tcPr>
            <w:tcW w:type="dxa" w:w="3685"/>
          </w:tcPr>
          <w:p>
            <w:r/>
            <w:r>
              <w:rPr>
                <w:rFonts w:ascii="Calibri" w:hAnsi="Calibri"/>
                <w:color w:val="333333"/>
                <w:sz w:val="18"/>
              </w:rPr>
              <w:t>6 presentaciones de capacitación OV</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Carpeta: Capacitación OV</w:t>
            </w:r>
          </w:p>
        </w:tc>
        <w:tc>
          <w:tcPr>
            <w:tcW w:type="dxa" w:w="2835"/>
            <w:shd w:fill="F9F3ED"/>
          </w:tcPr>
          <w:p>
            <w:r/>
            <w:r>
              <w:rPr>
                <w:rFonts w:ascii="Calibri" w:hAnsi="Calibri"/>
                <w:color w:val="333333"/>
                <w:sz w:val="18"/>
              </w:rPr>
              <w:t>Folder: OV Training</w:t>
            </w:r>
          </w:p>
        </w:tc>
        <w:tc>
          <w:tcPr>
            <w:tcW w:type="dxa" w:w="3685"/>
            <w:shd w:fill="F9F3ED"/>
          </w:tcPr>
          <w:p>
            <w:r/>
            <w:r>
              <w:rPr>
                <w:rFonts w:ascii="Calibri" w:hAnsi="Calibri"/>
                <w:color w:val="333333"/>
                <w:sz w:val="18"/>
              </w:rPr>
              <w:t>Todos los materiales de capacitación OV</w:t>
            </w:r>
            <w:r>
              <w:rPr>
                <w:rFonts w:ascii="Calibri" w:hAnsi="Calibri"/>
                <w:color w:val="F57B21"/>
                <w:sz w:val="18"/>
              </w:rPr>
              <w:t xml:space="preserve">  ↗</w:t>
            </w:r>
          </w:p>
        </w:tc>
      </w:tr>
    </w:tbl>
    <w:p>
      <w:r>
        <w:br w:type="page"/>
      </w:r>
    </w:p>
    <w:p>
      <w:pPr>
        <w:spacing w:before="360" w:after="120"/>
        <w:pBdr>
          <w:bottom w:val="single" w:sz="6" w:space="1" w:color="F57B21"/>
        </w:pBdr>
      </w:pPr>
      <w:r>
        <w:rPr>
          <w:rFonts w:ascii="Calibri" w:hAnsi="Calibri"/>
          <w:b/>
          <w:color w:val="F57B21"/>
          <w:sz w:val="28"/>
        </w:rPr>
        <w:t>3. Capacitación / Training  (6 documentos)</w:t>
      </w:r>
    </w:p>
    <w:p>
      <w:pPr>
        <w:spacing w:after="120"/>
      </w:pPr>
      <w:r>
        <w:rPr>
          <w:rFonts w:ascii="Calibri" w:hAnsi="Calibri"/>
          <w:b w:val="0"/>
          <w:i w:val="0"/>
          <w:color w:val="333333"/>
          <w:sz w:val="20"/>
        </w:rPr>
        <w:t>Documentos de planificación y ejecución de la capacitación docente: sílabos, planes logísticos para 460+ docentes, agendas, guía de formación de facilitadores y materiales de sensibilización para directores. / Teacher training planning and execution documents: syllabi, logistics plans for 460+ teachers, agendas, facilitator training guide, and director awareness materials.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Sílabo Coordinadores PIP</w:t>
            </w:r>
          </w:p>
        </w:tc>
        <w:tc>
          <w:tcPr>
            <w:tcW w:type="dxa" w:w="2835"/>
          </w:tcPr>
          <w:p>
            <w:r/>
            <w:r>
              <w:rPr>
                <w:rFonts w:ascii="Calibri" w:hAnsi="Calibri"/>
                <w:color w:val="333333"/>
                <w:sz w:val="18"/>
              </w:rPr>
              <w:t>PIP Coordinators Syllabus</w:t>
            </w:r>
          </w:p>
        </w:tc>
        <w:tc>
          <w:tcPr>
            <w:tcW w:type="dxa" w:w="3685"/>
          </w:tcPr>
          <w:p>
            <w:r/>
            <w:r>
              <w:rPr>
                <w:rFonts w:ascii="Calibri" w:hAnsi="Calibri"/>
                <w:color w:val="333333"/>
                <w:sz w:val="18"/>
              </w:rPr>
              <w:t>Programa de capacitación para coordinadores</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Plan Logístico</w:t>
            </w:r>
          </w:p>
        </w:tc>
        <w:tc>
          <w:tcPr>
            <w:tcW w:type="dxa" w:w="2835"/>
            <w:shd w:fill="F9F3ED"/>
          </w:tcPr>
          <w:p>
            <w:r/>
            <w:r>
              <w:rPr>
                <w:rFonts w:ascii="Calibri" w:hAnsi="Calibri"/>
                <w:color w:val="333333"/>
                <w:sz w:val="18"/>
              </w:rPr>
              <w:t>Logistics Plan</w:t>
            </w:r>
          </w:p>
        </w:tc>
        <w:tc>
          <w:tcPr>
            <w:tcW w:type="dxa" w:w="3685"/>
            <w:shd w:fill="F9F3ED"/>
          </w:tcPr>
          <w:p>
            <w:r/>
            <w:r>
              <w:rPr>
                <w:rFonts w:ascii="Calibri" w:hAnsi="Calibri"/>
                <w:color w:val="333333"/>
                <w:sz w:val="18"/>
              </w:rPr>
              <w:t>Transporte, materiales, sedes para 460+ docentes</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Agenda Formación FINAL</w:t>
            </w:r>
          </w:p>
        </w:tc>
        <w:tc>
          <w:tcPr>
            <w:tcW w:type="dxa" w:w="2835"/>
          </w:tcPr>
          <w:p>
            <w:r/>
            <w:r>
              <w:rPr>
                <w:rFonts w:ascii="Calibri" w:hAnsi="Calibri"/>
                <w:color w:val="333333"/>
                <w:sz w:val="18"/>
              </w:rPr>
              <w:t>Training Agenda FINAL</w:t>
            </w:r>
          </w:p>
        </w:tc>
        <w:tc>
          <w:tcPr>
            <w:tcW w:type="dxa" w:w="3685"/>
          </w:tcPr>
          <w:p>
            <w:r/>
            <w:r>
              <w:rPr>
                <w:rFonts w:ascii="Calibri" w:hAnsi="Calibri"/>
                <w:color w:val="333333"/>
                <w:sz w:val="18"/>
              </w:rPr>
              <w:t>Agenda maestra de 2 días en UPC</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Guía Train the Trainers</w:t>
            </w:r>
          </w:p>
        </w:tc>
        <w:tc>
          <w:tcPr>
            <w:tcW w:type="dxa" w:w="2835"/>
            <w:shd w:fill="F9F3ED"/>
          </w:tcPr>
          <w:p>
            <w:r/>
            <w:r>
              <w:rPr>
                <w:rFonts w:ascii="Calibri" w:hAnsi="Calibri"/>
                <w:color w:val="333333"/>
                <w:sz w:val="18"/>
              </w:rPr>
              <w:t>Train the Trainers Guide</w:t>
            </w:r>
          </w:p>
        </w:tc>
        <w:tc>
          <w:tcPr>
            <w:tcW w:type="dxa" w:w="3685"/>
            <w:shd w:fill="F9F3ED"/>
          </w:tcPr>
          <w:p>
            <w:r/>
            <w:r>
              <w:rPr>
                <w:rFonts w:ascii="Calibri" w:hAnsi="Calibri"/>
                <w:color w:val="333333"/>
                <w:sz w:val="18"/>
              </w:rPr>
              <w:t>Preparación para 5-6 facilitadores</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Presentación para Directores</w:t>
            </w:r>
          </w:p>
        </w:tc>
        <w:tc>
          <w:tcPr>
            <w:tcW w:type="dxa" w:w="2835"/>
          </w:tcPr>
          <w:p>
            <w:r/>
            <w:r>
              <w:rPr>
                <w:rFonts w:ascii="Calibri" w:hAnsi="Calibri"/>
                <w:color w:val="333333"/>
                <w:sz w:val="18"/>
              </w:rPr>
              <w:t>Director Presentation</w:t>
            </w:r>
          </w:p>
        </w:tc>
        <w:tc>
          <w:tcPr>
            <w:tcW w:type="dxa" w:w="3685"/>
          </w:tcPr>
          <w:p>
            <w:r/>
            <w:r>
              <w:rPr>
                <w:rFonts w:ascii="Calibri" w:hAnsi="Calibri"/>
                <w:color w:val="333333"/>
                <w:sz w:val="18"/>
              </w:rPr>
              <w:t>Slides de sensibilización para directores</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Fotos Campaña Directores</w:t>
            </w:r>
          </w:p>
        </w:tc>
        <w:tc>
          <w:tcPr>
            <w:tcW w:type="dxa" w:w="2835"/>
            <w:shd w:fill="F9F3ED"/>
          </w:tcPr>
          <w:p>
            <w:r/>
            <w:r>
              <w:rPr>
                <w:rFonts w:ascii="Calibri" w:hAnsi="Calibri"/>
                <w:color w:val="333333"/>
                <w:sz w:val="18"/>
              </w:rPr>
              <w:t>Director Campaign Photos</w:t>
            </w:r>
          </w:p>
        </w:tc>
        <w:tc>
          <w:tcPr>
            <w:tcW w:type="dxa" w:w="3685"/>
            <w:shd w:fill="F9F3ED"/>
          </w:tcPr>
          <w:p>
            <w:r/>
            <w:r>
              <w:rPr>
                <w:rFonts w:ascii="Calibri" w:hAnsi="Calibri"/>
                <w:color w:val="333333"/>
                <w:sz w:val="18"/>
              </w:rPr>
              <w:t>Fotos de las reuniones con directores</w:t>
            </w:r>
            <w:r>
              <w:rPr>
                <w:rFonts w:ascii="Calibri" w:hAnsi="Calibri"/>
                <w:color w:val="F57B21"/>
                <w:sz w:val="18"/>
              </w:rPr>
              <w:t xml:space="preserve">  ↗</w:t>
            </w:r>
          </w:p>
        </w:tc>
      </w:tr>
    </w:tbl>
    <w:p>
      <w:pPr>
        <w:spacing w:before="360" w:after="120"/>
        <w:pBdr>
          <w:bottom w:val="single" w:sz="6" w:space="1" w:color="F57B21"/>
        </w:pBdr>
      </w:pPr>
      <w:r>
        <w:rPr>
          <w:rFonts w:ascii="Calibri" w:hAnsi="Calibri"/>
          <w:b/>
          <w:color w:val="F57B21"/>
          <w:sz w:val="28"/>
        </w:rPr>
        <w:t>4. Evaluación / Evaluation  (15 documentos)</w:t>
      </w:r>
    </w:p>
    <w:p>
      <w:pPr>
        <w:spacing w:after="120"/>
      </w:pPr>
      <w:r>
        <w:rPr>
          <w:rFonts w:ascii="Calibri" w:hAnsi="Calibri"/>
          <w:b w:val="0"/>
          <w:i w:val="0"/>
          <w:color w:val="333333"/>
          <w:sz w:val="20"/>
        </w:rPr>
        <w:t>Documentos del ensayo controlado aleatorizado (RCT) y evaluación de impacto: plan de pre-análisis, registro AEA, artículo publicado en AER, aprobación ética IRB, autorizaciones oficiales, instrumentos de medición (exámenes, tests, cuestionarios) y especificaciones técnicas de uDocz. / Randomized controlled trial (RCT) and impact evaluation documents: pre-analysis plan, AEA registry, published AER article, IRB ethical approval, official authorizations, measurement instruments (exams, tests, questionnaires), and uDocz technical specs.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Pre-Analysis Plan</w:t>
            </w:r>
          </w:p>
        </w:tc>
        <w:tc>
          <w:tcPr>
            <w:tcW w:type="dxa" w:w="2835"/>
          </w:tcPr>
          <w:p>
            <w:r/>
            <w:r>
              <w:rPr>
                <w:rFonts w:ascii="Calibri" w:hAnsi="Calibri"/>
                <w:color w:val="333333"/>
                <w:sz w:val="18"/>
              </w:rPr>
              <w:t>Pre-Analysis Plan</w:t>
            </w:r>
          </w:p>
        </w:tc>
        <w:tc>
          <w:tcPr>
            <w:tcW w:type="dxa" w:w="3685"/>
          </w:tcPr>
          <w:p>
            <w:r/>
            <w:r>
              <w:rPr>
                <w:rFonts w:ascii="Calibri" w:hAnsi="Calibri"/>
                <w:color w:val="333333"/>
                <w:sz w:val="18"/>
              </w:rPr>
              <w:t>Plan de pre-análisis registrado del RCT</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AEA RCT Registry (AEARCTR-0012847)</w:t>
            </w:r>
          </w:p>
        </w:tc>
        <w:tc>
          <w:tcPr>
            <w:tcW w:type="dxa" w:w="2835"/>
            <w:shd w:fill="F9F3ED"/>
          </w:tcPr>
          <w:p>
            <w:r/>
            <w:r>
              <w:rPr>
                <w:rFonts w:ascii="Calibri" w:hAnsi="Calibri"/>
                <w:color w:val="333333"/>
                <w:sz w:val="18"/>
              </w:rPr>
              <w:t>AEA RCT Registry</w:t>
            </w:r>
          </w:p>
        </w:tc>
        <w:tc>
          <w:tcPr>
            <w:tcW w:type="dxa" w:w="3685"/>
            <w:shd w:fill="F9F3ED"/>
          </w:tcPr>
          <w:p>
            <w:r/>
            <w:r>
              <w:rPr>
                <w:rFonts w:ascii="Calibri" w:hAnsi="Calibri"/>
                <w:color w:val="333333"/>
                <w:sz w:val="18"/>
              </w:rPr>
              <w:t>Registro público del ensayo controlado aleatorizado</w:t>
            </w:r>
            <w:r>
              <w:rPr>
                <w:rFonts w:ascii="Calibri" w:hAnsi="Calibri"/>
                <w:color w:val="F57B21"/>
                <w:sz w:val="18"/>
              </w:rPr>
              <w:t xml:space="preserve">  ↗</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The Personalization Trap — Resumen</w:t>
            </w:r>
          </w:p>
        </w:tc>
        <w:tc>
          <w:tcPr>
            <w:tcW w:type="dxa" w:w="2835"/>
          </w:tcPr>
          <w:p>
            <w:r/>
            <w:r>
              <w:rPr>
                <w:rFonts w:ascii="Calibri" w:hAnsi="Calibri"/>
                <w:color w:val="333333"/>
                <w:sz w:val="18"/>
              </w:rPr>
              <w:t>Summary</w:t>
            </w:r>
          </w:p>
        </w:tc>
        <w:tc>
          <w:tcPr>
            <w:tcW w:type="dxa" w:w="3685"/>
          </w:tcPr>
          <w:p>
            <w:r/>
            <w:r>
              <w:rPr>
                <w:rFonts w:ascii="Calibri" w:hAnsi="Calibri"/>
                <w:color w:val="333333"/>
                <w:sz w:val="18"/>
              </w:rPr>
              <w:t>Resumen de 2 páginas del artículo</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Artículo Publicado AER</w:t>
            </w:r>
          </w:p>
        </w:tc>
        <w:tc>
          <w:tcPr>
            <w:tcW w:type="dxa" w:w="2835"/>
            <w:shd w:fill="F9F3ED"/>
          </w:tcPr>
          <w:p>
            <w:r/>
            <w:r>
              <w:rPr>
                <w:rFonts w:ascii="Calibri" w:hAnsi="Calibri"/>
                <w:color w:val="333333"/>
                <w:sz w:val="18"/>
              </w:rPr>
              <w:t>Published AER Article</w:t>
            </w:r>
          </w:p>
        </w:tc>
        <w:tc>
          <w:tcPr>
            <w:tcW w:type="dxa" w:w="3685"/>
            <w:shd w:fill="F9F3ED"/>
          </w:tcPr>
          <w:p>
            <w:r/>
            <w:r>
              <w:rPr>
                <w:rFonts w:ascii="Calibri" w:hAnsi="Calibri"/>
                <w:color w:val="333333"/>
                <w:sz w:val="18"/>
              </w:rPr>
              <w:t>AER Vol 117(3): 892-931</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Policy Brief (5 páginas)</w:t>
            </w:r>
          </w:p>
        </w:tc>
        <w:tc>
          <w:tcPr>
            <w:tcW w:type="dxa" w:w="2835"/>
          </w:tcPr>
          <w:p>
            <w:r/>
            <w:r>
              <w:rPr>
                <w:rFonts w:ascii="Calibri" w:hAnsi="Calibri"/>
                <w:color w:val="333333"/>
                <w:sz w:val="18"/>
              </w:rPr>
              <w:t>Policy Brief (5 pages)</w:t>
            </w:r>
          </w:p>
        </w:tc>
        <w:tc>
          <w:tcPr>
            <w:tcW w:type="dxa" w:w="3685"/>
          </w:tcPr>
          <w:p>
            <w:r/>
            <w:r>
              <w:rPr>
                <w:rFonts w:ascii="Calibri" w:hAnsi="Calibri"/>
                <w:color w:val="333333"/>
                <w:sz w:val="18"/>
              </w:rPr>
              <w:t>Resumen ejecutivo para tomadores de decisiones</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IRB Protocol 564</w:t>
            </w:r>
          </w:p>
        </w:tc>
        <w:tc>
          <w:tcPr>
            <w:tcW w:type="dxa" w:w="2835"/>
            <w:shd w:fill="F9F3ED"/>
          </w:tcPr>
          <w:p>
            <w:r/>
            <w:r>
              <w:rPr>
                <w:rFonts w:ascii="Calibri" w:hAnsi="Calibri"/>
                <w:color w:val="333333"/>
                <w:sz w:val="18"/>
              </w:rPr>
              <w:t>IRB Protocol 564</w:t>
            </w:r>
          </w:p>
        </w:tc>
        <w:tc>
          <w:tcPr>
            <w:tcW w:type="dxa" w:w="3685"/>
            <w:shd w:fill="F9F3ED"/>
          </w:tcPr>
          <w:p>
            <w:r/>
            <w:r>
              <w:rPr>
                <w:rFonts w:ascii="Calibri" w:hAnsi="Calibri"/>
                <w:color w:val="333333"/>
                <w:sz w:val="18"/>
              </w:rPr>
              <w:t>Aprobación ética Exempt Cat. 1</w:t>
            </w:r>
          </w:p>
        </w:tc>
      </w:tr>
      <w:tr>
        <w:tc>
          <w:tcPr>
            <w:tcW w:type="dxa" w:w="567"/>
          </w:tcPr>
          <w:p>
            <w:pPr>
              <w:jc w:val="center"/>
            </w:pPr>
            <w:r/>
            <w:r>
              <w:rPr>
                <w:rFonts w:ascii="Calibri" w:hAnsi="Calibri"/>
                <w:color w:val="333333"/>
                <w:sz w:val="18"/>
              </w:rPr>
              <w:t>7</w:t>
            </w:r>
          </w:p>
        </w:tc>
        <w:tc>
          <w:tcPr>
            <w:tcW w:type="dxa" w:w="3118"/>
          </w:tcPr>
          <w:p>
            <w:r/>
            <w:r>
              <w:rPr>
                <w:rFonts w:ascii="Calibri" w:hAnsi="Calibri"/>
                <w:color w:val="333333"/>
                <w:sz w:val="18"/>
              </w:rPr>
              <w:t>Autorización DRELM (Oficio 00012)</w:t>
            </w:r>
          </w:p>
        </w:tc>
        <w:tc>
          <w:tcPr>
            <w:tcW w:type="dxa" w:w="2835"/>
          </w:tcPr>
          <w:p>
            <w:r/>
            <w:r>
              <w:rPr>
                <w:rFonts w:ascii="Calibri" w:hAnsi="Calibri"/>
                <w:color w:val="333333"/>
                <w:sz w:val="18"/>
              </w:rPr>
              <w:t>DRELM Authorization</w:t>
            </w:r>
          </w:p>
        </w:tc>
        <w:tc>
          <w:tcPr>
            <w:tcW w:type="dxa" w:w="3685"/>
          </w:tcPr>
          <w:p>
            <w:r/>
            <w:r>
              <w:rPr>
                <w:rFonts w:ascii="Calibri" w:hAnsi="Calibri"/>
                <w:color w:val="333333"/>
                <w:sz w:val="18"/>
              </w:rPr>
              <w:t>Autorización oficial de la DRELM</w:t>
            </w:r>
          </w:p>
        </w:tc>
      </w:tr>
      <w:tr>
        <w:tc>
          <w:tcPr>
            <w:tcW w:type="dxa" w:w="567"/>
            <w:shd w:fill="F9F3ED"/>
          </w:tcPr>
          <w:p>
            <w:pPr>
              <w:jc w:val="center"/>
            </w:pPr>
            <w:r/>
            <w:r>
              <w:rPr>
                <w:rFonts w:ascii="Calibri" w:hAnsi="Calibri"/>
                <w:color w:val="333333"/>
                <w:sz w:val="18"/>
              </w:rPr>
              <w:t>8</w:t>
            </w:r>
          </w:p>
        </w:tc>
        <w:tc>
          <w:tcPr>
            <w:tcW w:type="dxa" w:w="3118"/>
            <w:shd w:fill="F9F3ED"/>
          </w:tcPr>
          <w:p>
            <w:r/>
            <w:r>
              <w:rPr>
                <w:rFonts w:ascii="Calibri" w:hAnsi="Calibri"/>
                <w:color w:val="333333"/>
                <w:sz w:val="18"/>
              </w:rPr>
              <w:t>Examen Línea Base (30 ítems)</w:t>
            </w:r>
          </w:p>
        </w:tc>
        <w:tc>
          <w:tcPr>
            <w:tcW w:type="dxa" w:w="2835"/>
            <w:shd w:fill="F9F3ED"/>
          </w:tcPr>
          <w:p>
            <w:r/>
            <w:r>
              <w:rPr>
                <w:rFonts w:ascii="Calibri" w:hAnsi="Calibri"/>
                <w:color w:val="333333"/>
                <w:sz w:val="18"/>
              </w:rPr>
              <w:t>Baseline Exam (30 items)</w:t>
            </w:r>
          </w:p>
        </w:tc>
        <w:tc>
          <w:tcPr>
            <w:tcW w:type="dxa" w:w="3685"/>
            <w:shd w:fill="F9F3ED"/>
          </w:tcPr>
          <w:p>
            <w:r/>
            <w:r>
              <w:rPr>
                <w:rFonts w:ascii="Calibri" w:hAnsi="Calibri"/>
                <w:color w:val="333333"/>
                <w:sz w:val="18"/>
              </w:rPr>
              <w:t>Test diagnóstico de línea base</w:t>
            </w:r>
          </w:p>
        </w:tc>
      </w:tr>
      <w:tr>
        <w:tc>
          <w:tcPr>
            <w:tcW w:type="dxa" w:w="567"/>
          </w:tcPr>
          <w:p>
            <w:pPr>
              <w:jc w:val="center"/>
            </w:pPr>
            <w:r/>
            <w:r>
              <w:rPr>
                <w:rFonts w:ascii="Calibri" w:hAnsi="Calibri"/>
                <w:color w:val="333333"/>
                <w:sz w:val="18"/>
              </w:rPr>
              <w:t>9</w:t>
            </w:r>
          </w:p>
        </w:tc>
        <w:tc>
          <w:tcPr>
            <w:tcW w:type="dxa" w:w="3118"/>
          </w:tcPr>
          <w:p>
            <w:r/>
            <w:r>
              <w:rPr>
                <w:rFonts w:ascii="Calibri" w:hAnsi="Calibri"/>
                <w:color w:val="333333"/>
                <w:sz w:val="18"/>
              </w:rPr>
              <w:t>Examen de Contenido (40 ítems)</w:t>
            </w:r>
          </w:p>
        </w:tc>
        <w:tc>
          <w:tcPr>
            <w:tcW w:type="dxa" w:w="2835"/>
          </w:tcPr>
          <w:p>
            <w:r/>
            <w:r>
              <w:rPr>
                <w:rFonts w:ascii="Calibri" w:hAnsi="Calibri"/>
                <w:color w:val="333333"/>
                <w:sz w:val="18"/>
              </w:rPr>
              <w:t>Content Exam (40 items)</w:t>
            </w:r>
          </w:p>
        </w:tc>
        <w:tc>
          <w:tcPr>
            <w:tcW w:type="dxa" w:w="3685"/>
          </w:tcPr>
          <w:p>
            <w:r/>
            <w:r>
              <w:rPr>
                <w:rFonts w:ascii="Calibri" w:hAnsi="Calibri"/>
                <w:color w:val="333333"/>
                <w:sz w:val="18"/>
              </w:rPr>
              <w:t>Cubre temas de la intervención</w:t>
            </w:r>
          </w:p>
        </w:tc>
      </w:tr>
      <w:tr>
        <w:tc>
          <w:tcPr>
            <w:tcW w:type="dxa" w:w="567"/>
            <w:shd w:fill="F9F3ED"/>
          </w:tcPr>
          <w:p>
            <w:pPr>
              <w:jc w:val="center"/>
            </w:pPr>
            <w:r/>
            <w:r>
              <w:rPr>
                <w:rFonts w:ascii="Calibri" w:hAnsi="Calibri"/>
                <w:color w:val="333333"/>
                <w:sz w:val="18"/>
              </w:rPr>
              <w:t>10</w:t>
            </w:r>
          </w:p>
        </w:tc>
        <w:tc>
          <w:tcPr>
            <w:tcW w:type="dxa" w:w="3118"/>
            <w:shd w:fill="F9F3ED"/>
          </w:tcPr>
          <w:p>
            <w:r/>
            <w:r>
              <w:rPr>
                <w:rFonts w:ascii="Calibri" w:hAnsi="Calibri"/>
                <w:color w:val="333333"/>
                <w:sz w:val="18"/>
              </w:rPr>
              <w:t>Test de Transferencia</w:t>
            </w:r>
          </w:p>
        </w:tc>
        <w:tc>
          <w:tcPr>
            <w:tcW w:type="dxa" w:w="2835"/>
            <w:shd w:fill="F9F3ED"/>
          </w:tcPr>
          <w:p>
            <w:r/>
            <w:r>
              <w:rPr>
                <w:rFonts w:ascii="Calibri" w:hAnsi="Calibri"/>
                <w:color w:val="333333"/>
                <w:sz w:val="18"/>
              </w:rPr>
              <w:t>Transfer Test</w:t>
            </w:r>
          </w:p>
        </w:tc>
        <w:tc>
          <w:tcPr>
            <w:tcW w:type="dxa" w:w="3685"/>
            <w:shd w:fill="F9F3ED"/>
          </w:tcPr>
          <w:p>
            <w:r/>
            <w:r>
              <w:rPr>
                <w:rFonts w:ascii="Calibri" w:hAnsi="Calibri"/>
                <w:color w:val="333333"/>
                <w:sz w:val="18"/>
              </w:rPr>
              <w:t>RESULTADO PRIMARIO del estudio</w:t>
            </w:r>
          </w:p>
        </w:tc>
      </w:tr>
      <w:tr>
        <w:tc>
          <w:tcPr>
            <w:tcW w:type="dxa" w:w="567"/>
          </w:tcPr>
          <w:p>
            <w:pPr>
              <w:jc w:val="center"/>
            </w:pPr>
            <w:r/>
            <w:r>
              <w:rPr>
                <w:rFonts w:ascii="Calibri" w:hAnsi="Calibri"/>
                <w:color w:val="333333"/>
                <w:sz w:val="18"/>
              </w:rPr>
              <w:t>11</w:t>
            </w:r>
          </w:p>
        </w:tc>
        <w:tc>
          <w:tcPr>
            <w:tcW w:type="dxa" w:w="3118"/>
          </w:tcPr>
          <w:p>
            <w:r/>
            <w:r>
              <w:rPr>
                <w:rFonts w:ascii="Calibri" w:hAnsi="Calibri"/>
                <w:color w:val="333333"/>
                <w:sz w:val="18"/>
              </w:rPr>
              <w:t>Test Lights Off</w:t>
            </w:r>
          </w:p>
        </w:tc>
        <w:tc>
          <w:tcPr>
            <w:tcW w:type="dxa" w:w="2835"/>
          </w:tcPr>
          <w:p>
            <w:r/>
            <w:r>
              <w:rPr>
                <w:rFonts w:ascii="Calibri" w:hAnsi="Calibri"/>
                <w:color w:val="333333"/>
                <w:sz w:val="18"/>
              </w:rPr>
              <w:t>Lights Off Test</w:t>
            </w:r>
          </w:p>
        </w:tc>
        <w:tc>
          <w:tcPr>
            <w:tcW w:type="dxa" w:w="3685"/>
          </w:tcPr>
          <w:p>
            <w:r/>
            <w:r>
              <w:rPr>
                <w:rFonts w:ascii="Calibri" w:hAnsi="Calibri"/>
                <w:color w:val="333333"/>
                <w:sz w:val="18"/>
              </w:rPr>
              <w:t>Test sorpresa sin acceso a plataforma</w:t>
            </w:r>
          </w:p>
        </w:tc>
      </w:tr>
      <w:tr>
        <w:tc>
          <w:tcPr>
            <w:tcW w:type="dxa" w:w="567"/>
            <w:shd w:fill="F9F3ED"/>
          </w:tcPr>
          <w:p>
            <w:pPr>
              <w:jc w:val="center"/>
            </w:pPr>
            <w:r/>
            <w:r>
              <w:rPr>
                <w:rFonts w:ascii="Calibri" w:hAnsi="Calibri"/>
                <w:color w:val="333333"/>
                <w:sz w:val="18"/>
              </w:rPr>
              <w:t>12</w:t>
            </w:r>
          </w:p>
        </w:tc>
        <w:tc>
          <w:tcPr>
            <w:tcW w:type="dxa" w:w="3118"/>
            <w:shd w:fill="F9F3ED"/>
          </w:tcPr>
          <w:p>
            <w:r/>
            <w:r>
              <w:rPr>
                <w:rFonts w:ascii="Calibri" w:hAnsi="Calibri"/>
                <w:color w:val="333333"/>
                <w:sz w:val="18"/>
              </w:rPr>
              <w:t>Batería Metacognitiva</w:t>
            </w:r>
          </w:p>
        </w:tc>
        <w:tc>
          <w:tcPr>
            <w:tcW w:type="dxa" w:w="2835"/>
            <w:shd w:fill="F9F3ED"/>
          </w:tcPr>
          <w:p>
            <w:r/>
            <w:r>
              <w:rPr>
                <w:rFonts w:ascii="Calibri" w:hAnsi="Calibri"/>
                <w:color w:val="333333"/>
                <w:sz w:val="18"/>
              </w:rPr>
              <w:t>Metacognitive Battery</w:t>
            </w:r>
          </w:p>
        </w:tc>
        <w:tc>
          <w:tcPr>
            <w:tcW w:type="dxa" w:w="3685"/>
            <w:shd w:fill="F9F3ED"/>
          </w:tcPr>
          <w:p>
            <w:r/>
            <w:r>
              <w:rPr>
                <w:rFonts w:ascii="Calibri" w:hAnsi="Calibri"/>
                <w:color w:val="333333"/>
                <w:sz w:val="18"/>
              </w:rPr>
              <w:t>Calibración, persistencia, metacognición</w:t>
            </w:r>
          </w:p>
        </w:tc>
      </w:tr>
      <w:tr>
        <w:tc>
          <w:tcPr>
            <w:tcW w:type="dxa" w:w="567"/>
          </w:tcPr>
          <w:p>
            <w:pPr>
              <w:jc w:val="center"/>
            </w:pPr>
            <w:r/>
            <w:r>
              <w:rPr>
                <w:rFonts w:ascii="Calibri" w:hAnsi="Calibri"/>
                <w:color w:val="333333"/>
                <w:sz w:val="18"/>
              </w:rPr>
              <w:t>13</w:t>
            </w:r>
          </w:p>
        </w:tc>
        <w:tc>
          <w:tcPr>
            <w:tcW w:type="dxa" w:w="3118"/>
          </w:tcPr>
          <w:p>
            <w:r/>
            <w:r>
              <w:rPr>
                <w:rFonts w:ascii="Calibri" w:hAnsi="Calibri"/>
                <w:color w:val="333333"/>
                <w:sz w:val="18"/>
              </w:rPr>
              <w:t>Cuestionarios Estudiantes (v5)</w:t>
            </w:r>
          </w:p>
        </w:tc>
        <w:tc>
          <w:tcPr>
            <w:tcW w:type="dxa" w:w="2835"/>
          </w:tcPr>
          <w:p>
            <w:r/>
            <w:r>
              <w:rPr>
                <w:rFonts w:ascii="Calibri" w:hAnsi="Calibri"/>
                <w:color w:val="333333"/>
                <w:sz w:val="18"/>
              </w:rPr>
              <w:t>Student Questionnaires (v5)</w:t>
            </w:r>
          </w:p>
        </w:tc>
        <w:tc>
          <w:tcPr>
            <w:tcW w:type="dxa" w:w="3685"/>
          </w:tcPr>
          <w:p>
            <w:r/>
            <w:r>
              <w:rPr>
                <w:rFonts w:ascii="Calibri" w:hAnsi="Calibri"/>
                <w:color w:val="333333"/>
                <w:sz w:val="18"/>
              </w:rPr>
              <w:t>Línea base y longitudinal</w:t>
            </w:r>
          </w:p>
        </w:tc>
      </w:tr>
      <w:tr>
        <w:tc>
          <w:tcPr>
            <w:tcW w:type="dxa" w:w="567"/>
            <w:shd w:fill="F9F3ED"/>
          </w:tcPr>
          <w:p>
            <w:pPr>
              <w:jc w:val="center"/>
            </w:pPr>
            <w:r/>
            <w:r>
              <w:rPr>
                <w:rFonts w:ascii="Calibri" w:hAnsi="Calibri"/>
                <w:color w:val="333333"/>
                <w:sz w:val="18"/>
              </w:rPr>
              <w:t>14</w:t>
            </w:r>
          </w:p>
        </w:tc>
        <w:tc>
          <w:tcPr>
            <w:tcW w:type="dxa" w:w="3118"/>
            <w:shd w:fill="F9F3ED"/>
          </w:tcPr>
          <w:p>
            <w:r/>
            <w:r>
              <w:rPr>
                <w:rFonts w:ascii="Calibri" w:hAnsi="Calibri"/>
                <w:color w:val="333333"/>
                <w:sz w:val="18"/>
              </w:rPr>
              <w:t>Cuestionarios Docentes (v5)</w:t>
            </w:r>
          </w:p>
        </w:tc>
        <w:tc>
          <w:tcPr>
            <w:tcW w:type="dxa" w:w="2835"/>
            <w:shd w:fill="F9F3ED"/>
          </w:tcPr>
          <w:p>
            <w:r/>
            <w:r>
              <w:rPr>
                <w:rFonts w:ascii="Calibri" w:hAnsi="Calibri"/>
                <w:color w:val="333333"/>
                <w:sz w:val="18"/>
              </w:rPr>
              <w:t>Teacher Questionnaires (v5)</w:t>
            </w:r>
          </w:p>
        </w:tc>
        <w:tc>
          <w:tcPr>
            <w:tcW w:type="dxa" w:w="3685"/>
            <w:shd w:fill="F9F3ED"/>
          </w:tcPr>
          <w:p>
            <w:r/>
            <w:r>
              <w:rPr>
                <w:rFonts w:ascii="Calibri" w:hAnsi="Calibri"/>
                <w:color w:val="333333"/>
                <w:sz w:val="18"/>
              </w:rPr>
              <w:t>3 perfiles docentes</w:t>
            </w:r>
          </w:p>
        </w:tc>
      </w:tr>
      <w:tr>
        <w:tc>
          <w:tcPr>
            <w:tcW w:type="dxa" w:w="567"/>
          </w:tcPr>
          <w:p>
            <w:pPr>
              <w:jc w:val="center"/>
            </w:pPr>
            <w:r/>
            <w:r>
              <w:rPr>
                <w:rFonts w:ascii="Calibri" w:hAnsi="Calibri"/>
                <w:color w:val="333333"/>
                <w:sz w:val="18"/>
              </w:rPr>
              <w:t>15</w:t>
            </w:r>
          </w:p>
        </w:tc>
        <w:tc>
          <w:tcPr>
            <w:tcW w:type="dxa" w:w="3118"/>
          </w:tcPr>
          <w:p>
            <w:r/>
            <w:r>
              <w:rPr>
                <w:rFonts w:ascii="Calibri" w:hAnsi="Calibri"/>
                <w:color w:val="333333"/>
                <w:sz w:val="18"/>
              </w:rPr>
              <w:t>Especificaciones uDocz</w:t>
            </w:r>
          </w:p>
        </w:tc>
        <w:tc>
          <w:tcPr>
            <w:tcW w:type="dxa" w:w="2835"/>
          </w:tcPr>
          <w:p>
            <w:r/>
            <w:r>
              <w:rPr>
                <w:rFonts w:ascii="Calibri" w:hAnsi="Calibri"/>
                <w:color w:val="333333"/>
                <w:sz w:val="18"/>
              </w:rPr>
              <w:t>uDocz Specifications</w:t>
            </w:r>
          </w:p>
        </w:tc>
        <w:tc>
          <w:tcPr>
            <w:tcW w:type="dxa" w:w="3685"/>
          </w:tcPr>
          <w:p>
            <w:r/>
            <w:r>
              <w:rPr>
                <w:rFonts w:ascii="Calibri" w:hAnsi="Calibri"/>
                <w:color w:val="333333"/>
                <w:sz w:val="18"/>
              </w:rPr>
              <w:t>Especificaciones técnicas de la plataforma</w:t>
            </w:r>
          </w:p>
        </w:tc>
      </w:tr>
    </w:tbl>
    <w:p>
      <w:r>
        <w:br w:type="page"/>
      </w:r>
    </w:p>
    <w:p>
      <w:pPr>
        <w:spacing w:before="360" w:after="120"/>
        <w:pBdr>
          <w:bottom w:val="single" w:sz="6" w:space="1" w:color="F57B21"/>
        </w:pBdr>
      </w:pPr>
      <w:r>
        <w:rPr>
          <w:rFonts w:ascii="Calibri" w:hAnsi="Calibri"/>
          <w:b/>
          <w:color w:val="F57B21"/>
          <w:sz w:val="28"/>
        </w:rPr>
        <w:t>5. Implementación / Implementation  (8 documentos)</w:t>
      </w:r>
    </w:p>
    <w:p>
      <w:pPr>
        <w:spacing w:after="120"/>
      </w:pPr>
      <w:r>
        <w:rPr>
          <w:rFonts w:ascii="Calibri" w:hAnsi="Calibri"/>
          <w:b w:val="0"/>
          <w:i w:val="0"/>
          <w:color w:val="333333"/>
          <w:sz w:val="20"/>
        </w:rPr>
        <w:t>Documentos operativos del piloto: plan DRELM, hub maestro de enlaces, tracker de tareas, hoja de ruta de desarrollo del tutor IA, diseño de capacitación, planes de clase y protocolos de revisión. / Pilot operational documents: DRELM plan, master links hub, task tracker, AI tutor development roadmap, training design, lesson plans, and review protocols.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Plan DRELM</w:t>
            </w:r>
          </w:p>
        </w:tc>
        <w:tc>
          <w:tcPr>
            <w:tcW w:type="dxa" w:w="2835"/>
          </w:tcPr>
          <w:p>
            <w:r/>
            <w:r>
              <w:rPr>
                <w:rFonts w:ascii="Calibri" w:hAnsi="Calibri"/>
                <w:color w:val="333333"/>
                <w:sz w:val="18"/>
              </w:rPr>
              <w:t>DRELM Plan</w:t>
            </w:r>
          </w:p>
        </w:tc>
        <w:tc>
          <w:tcPr>
            <w:tcW w:type="dxa" w:w="3685"/>
          </w:tcPr>
          <w:p>
            <w:r/>
            <w:r>
              <w:rPr>
                <w:rFonts w:ascii="Calibri" w:hAnsi="Calibri"/>
                <w:color w:val="333333"/>
                <w:sz w:val="18"/>
              </w:rPr>
              <w:t>Plan operativo de implementación</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Hub de Links</w:t>
            </w:r>
          </w:p>
        </w:tc>
        <w:tc>
          <w:tcPr>
            <w:tcW w:type="dxa" w:w="2835"/>
            <w:shd w:fill="F9F3ED"/>
          </w:tcPr>
          <w:p>
            <w:r/>
            <w:r>
              <w:rPr>
                <w:rFonts w:ascii="Calibri" w:hAnsi="Calibri"/>
                <w:color w:val="333333"/>
                <w:sz w:val="18"/>
              </w:rPr>
              <w:t>Links Hub</w:t>
            </w:r>
          </w:p>
        </w:tc>
        <w:tc>
          <w:tcPr>
            <w:tcW w:type="dxa" w:w="3685"/>
            <w:shd w:fill="F9F3ED"/>
          </w:tcPr>
          <w:p>
            <w:r/>
            <w:r>
              <w:rPr>
                <w:rFonts w:ascii="Calibri" w:hAnsi="Calibri"/>
                <w:color w:val="333333"/>
                <w:sz w:val="18"/>
              </w:rPr>
              <w:t>Documento maestro con todos los enlaces del programa</w:t>
            </w:r>
            <w:r>
              <w:rPr>
                <w:rFonts w:ascii="Calibri" w:hAnsi="Calibri"/>
                <w:color w:val="F57B21"/>
                <w:sz w:val="18"/>
              </w:rPr>
              <w:t xml:space="preserve">  ↗</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Task Tracker</w:t>
            </w:r>
          </w:p>
        </w:tc>
        <w:tc>
          <w:tcPr>
            <w:tcW w:type="dxa" w:w="2835"/>
          </w:tcPr>
          <w:p>
            <w:r/>
            <w:r>
              <w:rPr>
                <w:rFonts w:ascii="Calibri" w:hAnsi="Calibri"/>
                <w:color w:val="333333"/>
                <w:sz w:val="18"/>
              </w:rPr>
              <w:t>Task Tracker</w:t>
            </w:r>
          </w:p>
        </w:tc>
        <w:tc>
          <w:tcPr>
            <w:tcW w:type="dxa" w:w="3685"/>
          </w:tcPr>
          <w:p>
            <w:r/>
            <w:r>
              <w:rPr>
                <w:rFonts w:ascii="Calibri" w:hAnsi="Calibri"/>
                <w:color w:val="333333"/>
                <w:sz w:val="18"/>
              </w:rPr>
              <w:t>Seguimiento de tareas del equipo</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Hoja de Ruta Tutor IA</w:t>
            </w:r>
          </w:p>
        </w:tc>
        <w:tc>
          <w:tcPr>
            <w:tcW w:type="dxa" w:w="2835"/>
            <w:shd w:fill="F9F3ED"/>
          </w:tcPr>
          <w:p>
            <w:r/>
            <w:r>
              <w:rPr>
                <w:rFonts w:ascii="Calibri" w:hAnsi="Calibri"/>
                <w:color w:val="333333"/>
                <w:sz w:val="18"/>
              </w:rPr>
              <w:t>AI Tutor Roadmap</w:t>
            </w:r>
          </w:p>
        </w:tc>
        <w:tc>
          <w:tcPr>
            <w:tcW w:type="dxa" w:w="3685"/>
            <w:shd w:fill="F9F3ED"/>
          </w:tcPr>
          <w:p>
            <w:r/>
            <w:r>
              <w:rPr>
                <w:rFonts w:ascii="Calibri" w:hAnsi="Calibri"/>
                <w:color w:val="333333"/>
                <w:sz w:val="18"/>
              </w:rPr>
              <w:t>Hoja de ruta de desarrollo del tutor</w:t>
            </w:r>
            <w:r>
              <w:rPr>
                <w:rFonts w:ascii="Calibri" w:hAnsi="Calibri"/>
                <w:color w:val="F57B21"/>
                <w:sz w:val="18"/>
              </w:rPr>
              <w:t xml:space="preserve">  ↗</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Diseño de Capacitación</w:t>
            </w:r>
          </w:p>
        </w:tc>
        <w:tc>
          <w:tcPr>
            <w:tcW w:type="dxa" w:w="2835"/>
          </w:tcPr>
          <w:p>
            <w:r/>
            <w:r>
              <w:rPr>
                <w:rFonts w:ascii="Calibri" w:hAnsi="Calibri"/>
                <w:color w:val="333333"/>
                <w:sz w:val="18"/>
              </w:rPr>
              <w:t>Training Design</w:t>
            </w:r>
          </w:p>
        </w:tc>
        <w:tc>
          <w:tcPr>
            <w:tcW w:type="dxa" w:w="3685"/>
          </w:tcPr>
          <w:p>
            <w:r/>
            <w:r>
              <w:rPr>
                <w:rFonts w:ascii="Calibri" w:hAnsi="Calibri"/>
                <w:color w:val="333333"/>
                <w:sz w:val="18"/>
              </w:rPr>
              <w:t>Documento de diseño original de capacitación</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Plan de Clase Sesión 1</w:t>
            </w:r>
          </w:p>
        </w:tc>
        <w:tc>
          <w:tcPr>
            <w:tcW w:type="dxa" w:w="2835"/>
            <w:shd w:fill="F9F3ED"/>
          </w:tcPr>
          <w:p>
            <w:r/>
            <w:r>
              <w:rPr>
                <w:rFonts w:ascii="Calibri" w:hAnsi="Calibri"/>
                <w:color w:val="333333"/>
                <w:sz w:val="18"/>
              </w:rPr>
              <w:t>Lesson Plan Session 1</w:t>
            </w:r>
          </w:p>
        </w:tc>
        <w:tc>
          <w:tcPr>
            <w:tcW w:type="dxa" w:w="3685"/>
            <w:shd w:fill="F9F3ED"/>
          </w:tcPr>
          <w:p>
            <w:r/>
            <w:r>
              <w:rPr>
                <w:rFonts w:ascii="Calibri" w:hAnsi="Calibri"/>
                <w:color w:val="333333"/>
                <w:sz w:val="18"/>
              </w:rPr>
              <w:t>Plan detallado de la primera sesión</w:t>
            </w:r>
            <w:r>
              <w:rPr>
                <w:rFonts w:ascii="Calibri" w:hAnsi="Calibri"/>
                <w:color w:val="F57B21"/>
                <w:sz w:val="18"/>
              </w:rPr>
              <w:t xml:space="preserve">  ↗</w:t>
            </w:r>
          </w:p>
        </w:tc>
      </w:tr>
      <w:tr>
        <w:tc>
          <w:tcPr>
            <w:tcW w:type="dxa" w:w="567"/>
          </w:tcPr>
          <w:p>
            <w:pPr>
              <w:jc w:val="center"/>
            </w:pPr>
            <w:r/>
            <w:r>
              <w:rPr>
                <w:rFonts w:ascii="Calibri" w:hAnsi="Calibri"/>
                <w:color w:val="333333"/>
                <w:sz w:val="18"/>
              </w:rPr>
              <w:t>7</w:t>
            </w:r>
          </w:p>
        </w:tc>
        <w:tc>
          <w:tcPr>
            <w:tcW w:type="dxa" w:w="3118"/>
          </w:tcPr>
          <w:p>
            <w:r/>
            <w:r>
              <w:rPr>
                <w:rFonts w:ascii="Calibri" w:hAnsi="Calibri"/>
                <w:color w:val="333333"/>
                <w:sz w:val="18"/>
              </w:rPr>
              <w:t>Protocolo Revisión Preguntas</w:t>
            </w:r>
          </w:p>
        </w:tc>
        <w:tc>
          <w:tcPr>
            <w:tcW w:type="dxa" w:w="2835"/>
          </w:tcPr>
          <w:p>
            <w:r/>
            <w:r>
              <w:rPr>
                <w:rFonts w:ascii="Calibri" w:hAnsi="Calibri"/>
                <w:color w:val="333333"/>
                <w:sz w:val="18"/>
              </w:rPr>
              <w:t>Question Review Protocol</w:t>
            </w:r>
          </w:p>
        </w:tc>
        <w:tc>
          <w:tcPr>
            <w:tcW w:type="dxa" w:w="3685"/>
          </w:tcPr>
          <w:p>
            <w:r/>
            <w:r>
              <w:rPr>
                <w:rFonts w:ascii="Calibri" w:hAnsi="Calibri"/>
                <w:color w:val="333333"/>
                <w:sz w:val="18"/>
              </w:rPr>
              <w:t>Protocolo de revisión de calidad de preguntas</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8</w:t>
            </w:r>
          </w:p>
        </w:tc>
        <w:tc>
          <w:tcPr>
            <w:tcW w:type="dxa" w:w="3118"/>
            <w:shd w:fill="F9F3ED"/>
          </w:tcPr>
          <w:p>
            <w:r/>
            <w:r>
              <w:rPr>
                <w:rFonts w:ascii="Calibri" w:hAnsi="Calibri"/>
                <w:color w:val="333333"/>
                <w:sz w:val="18"/>
              </w:rPr>
              <w:t>Invitación Facilitadores</w:t>
            </w:r>
          </w:p>
        </w:tc>
        <w:tc>
          <w:tcPr>
            <w:tcW w:type="dxa" w:w="2835"/>
            <w:shd w:fill="F9F3ED"/>
          </w:tcPr>
          <w:p>
            <w:r/>
            <w:r>
              <w:rPr>
                <w:rFonts w:ascii="Calibri" w:hAnsi="Calibri"/>
                <w:color w:val="333333"/>
                <w:sz w:val="18"/>
              </w:rPr>
              <w:t>Facilitator Invitation</w:t>
            </w:r>
          </w:p>
        </w:tc>
        <w:tc>
          <w:tcPr>
            <w:tcW w:type="dxa" w:w="3685"/>
            <w:shd w:fill="F9F3ED"/>
          </w:tcPr>
          <w:p>
            <w:r/>
            <w:r>
              <w:rPr>
                <w:rFonts w:ascii="Calibri" w:hAnsi="Calibri"/>
                <w:color w:val="333333"/>
                <w:sz w:val="18"/>
              </w:rPr>
              <w:t>Invitación formal a facilitadores</w:t>
            </w:r>
            <w:r>
              <w:rPr>
                <w:rFonts w:ascii="Calibri" w:hAnsi="Calibri"/>
                <w:color w:val="F57B21"/>
                <w:sz w:val="18"/>
              </w:rPr>
              <w:t xml:space="preserve">  ↗</w:t>
            </w:r>
          </w:p>
        </w:tc>
      </w:tr>
    </w:tbl>
    <w:p>
      <w:pPr>
        <w:spacing w:before="360" w:after="120"/>
        <w:pBdr>
          <w:bottom w:val="single" w:sz="6" w:space="1" w:color="F57B21"/>
        </w:pBdr>
      </w:pPr>
      <w:r>
        <w:rPr>
          <w:rFonts w:ascii="Calibri" w:hAnsi="Calibri"/>
          <w:b/>
          <w:color w:val="F57B21"/>
          <w:sz w:val="28"/>
        </w:rPr>
        <w:t>6. Referencia / Reference  (4 documentos + 3 videos)</w:t>
      </w:r>
    </w:p>
    <w:p>
      <w:pPr>
        <w:spacing w:after="120"/>
      </w:pPr>
      <w:r>
        <w:rPr>
          <w:rFonts w:ascii="Calibri" w:hAnsi="Calibri"/>
          <w:b w:val="0"/>
          <w:i w:val="0"/>
          <w:color w:val="333333"/>
          <w:sz w:val="20"/>
        </w:rPr>
        <w:t>Recursos generales del programa: carpeta raíz de Drive, plan del Innovation Award, presentación Beamer, guía de branding y tres videos clave (bienvenida de Jaime Saavedra, demo del tutor IA y demo del coach vocacional). / General program resources: Drive root folder, Innovation Award plan, Beamer presentation, branding guide, and three key videos (Jaime Saavedra welcome, AI tutor demo, and career coach demo).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6"/>
        <w:gridCol w:w="2436"/>
        <w:gridCol w:w="2436"/>
        <w:gridCol w:w="2436"/>
      </w:tblGrid>
      <w:tr>
        <w:tc>
          <w:tcPr>
            <w:tcW w:type="dxa" w:w="567"/>
            <w:shd w:fill="F57B21"/>
          </w:tcPr>
          <w:p>
            <w:pPr>
              <w:jc w:val="center"/>
            </w:pPr>
            <w:r/>
            <w:r>
              <w:rPr>
                <w:rFonts w:ascii="Calibri" w:hAnsi="Calibri"/>
                <w:b/>
                <w:color w:val="FFFFFF"/>
                <w:sz w:val="18"/>
              </w:rPr>
              <w:t>#</w:t>
            </w:r>
          </w:p>
        </w:tc>
        <w:tc>
          <w:tcPr>
            <w:tcW w:type="dxa" w:w="3118"/>
            <w:shd w:fill="F57B21"/>
          </w:tcPr>
          <w:p>
            <w:pPr>
              <w:jc w:val="center"/>
            </w:pPr>
            <w:r/>
            <w:r>
              <w:rPr>
                <w:rFonts w:ascii="Calibri" w:hAnsi="Calibri"/>
                <w:b/>
                <w:color w:val="FFFFFF"/>
                <w:sz w:val="18"/>
              </w:rPr>
              <w:t>Documento (ES)</w:t>
            </w:r>
          </w:p>
        </w:tc>
        <w:tc>
          <w:tcPr>
            <w:tcW w:type="dxa" w:w="2835"/>
            <w:shd w:fill="F57B21"/>
          </w:tcPr>
          <w:p>
            <w:pPr>
              <w:jc w:val="center"/>
            </w:pPr>
            <w:r/>
            <w:r>
              <w:rPr>
                <w:rFonts w:ascii="Calibri" w:hAnsi="Calibri"/>
                <w:b/>
                <w:color w:val="FFFFFF"/>
                <w:sz w:val="18"/>
              </w:rPr>
              <w:t>Document (EN)</w:t>
            </w:r>
          </w:p>
        </w:tc>
        <w:tc>
          <w:tcPr>
            <w:tcW w:type="dxa" w:w="3685"/>
            <w:shd w:fill="F57B21"/>
          </w:tcPr>
          <w:p>
            <w:pPr>
              <w:jc w:val="center"/>
            </w:pPr>
            <w:r/>
            <w:r>
              <w:rPr>
                <w:rFonts w:ascii="Calibri" w:hAnsi="Calibri"/>
                <w:b/>
                <w:color w:val="FFFFFF"/>
                <w:sz w:val="18"/>
              </w:rPr>
              <w:t>Descripción / Description</w:t>
            </w:r>
          </w:p>
        </w:tc>
      </w:tr>
      <w:tr>
        <w:tc>
          <w:tcPr>
            <w:tcW w:type="dxa" w:w="567"/>
          </w:tcPr>
          <w:p>
            <w:pPr>
              <w:jc w:val="center"/>
            </w:pPr>
            <w:r/>
            <w:r>
              <w:rPr>
                <w:rFonts w:ascii="Calibri" w:hAnsi="Calibri"/>
                <w:color w:val="333333"/>
                <w:sz w:val="18"/>
              </w:rPr>
              <w:t>1</w:t>
            </w:r>
          </w:p>
        </w:tc>
        <w:tc>
          <w:tcPr>
            <w:tcW w:type="dxa" w:w="3118"/>
          </w:tcPr>
          <w:p>
            <w:r/>
            <w:r>
              <w:rPr>
                <w:rFonts w:ascii="Calibri" w:hAnsi="Calibri"/>
                <w:color w:val="333333"/>
                <w:sz w:val="18"/>
              </w:rPr>
              <w:t>Carpeta Principal del Programa</w:t>
            </w:r>
          </w:p>
        </w:tc>
        <w:tc>
          <w:tcPr>
            <w:tcW w:type="dxa" w:w="2835"/>
          </w:tcPr>
          <w:p>
            <w:r/>
            <w:r>
              <w:rPr>
                <w:rFonts w:ascii="Calibri" w:hAnsi="Calibri"/>
                <w:color w:val="333333"/>
                <w:sz w:val="18"/>
              </w:rPr>
              <w:t>Main Program Folder</w:t>
            </w:r>
          </w:p>
        </w:tc>
        <w:tc>
          <w:tcPr>
            <w:tcW w:type="dxa" w:w="3685"/>
          </w:tcPr>
          <w:p>
            <w:r/>
            <w:r>
              <w:rPr>
                <w:rFonts w:ascii="Calibri" w:hAnsi="Calibri"/>
                <w:color w:val="333333"/>
                <w:sz w:val="18"/>
              </w:rPr>
              <w:t>Carpeta raíz en Google Drive</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2</w:t>
            </w:r>
          </w:p>
        </w:tc>
        <w:tc>
          <w:tcPr>
            <w:tcW w:type="dxa" w:w="3118"/>
            <w:shd w:fill="F9F3ED"/>
          </w:tcPr>
          <w:p>
            <w:r/>
            <w:r>
              <w:rPr>
                <w:rFonts w:ascii="Calibri" w:hAnsi="Calibri"/>
                <w:color w:val="333333"/>
                <w:sz w:val="18"/>
              </w:rPr>
              <w:t>Innovation Award Implementation Plan</w:t>
            </w:r>
          </w:p>
        </w:tc>
        <w:tc>
          <w:tcPr>
            <w:tcW w:type="dxa" w:w="2835"/>
            <w:shd w:fill="F9F3ED"/>
          </w:tcPr>
          <w:p>
            <w:r/>
            <w:r>
              <w:rPr>
                <w:rFonts w:ascii="Calibri" w:hAnsi="Calibri"/>
                <w:color w:val="333333"/>
                <w:sz w:val="18"/>
              </w:rPr>
              <w:t>Innovation Award Implementation Plan</w:t>
            </w:r>
          </w:p>
        </w:tc>
        <w:tc>
          <w:tcPr>
            <w:tcW w:type="dxa" w:w="3685"/>
            <w:shd w:fill="F9F3ED"/>
          </w:tcPr>
          <w:p>
            <w:r/>
            <w:r>
              <w:rPr>
                <w:rFonts w:ascii="Calibri" w:hAnsi="Calibri"/>
                <w:color w:val="333333"/>
                <w:sz w:val="18"/>
              </w:rPr>
              <w:t>Plan presentado al WBG Innovation Award</w:t>
            </w:r>
          </w:p>
        </w:tc>
      </w:tr>
      <w:tr>
        <w:tc>
          <w:tcPr>
            <w:tcW w:type="dxa" w:w="567"/>
          </w:tcPr>
          <w:p>
            <w:pPr>
              <w:jc w:val="center"/>
            </w:pPr>
            <w:r/>
            <w:r>
              <w:rPr>
                <w:rFonts w:ascii="Calibri" w:hAnsi="Calibri"/>
                <w:color w:val="333333"/>
                <w:sz w:val="18"/>
              </w:rPr>
              <w:t>3</w:t>
            </w:r>
          </w:p>
        </w:tc>
        <w:tc>
          <w:tcPr>
            <w:tcW w:type="dxa" w:w="3118"/>
          </w:tcPr>
          <w:p>
            <w:r/>
            <w:r>
              <w:rPr>
                <w:rFonts w:ascii="Calibri" w:hAnsi="Calibri"/>
                <w:color w:val="333333"/>
                <w:sz w:val="18"/>
              </w:rPr>
              <w:t>Beamer Slides del Programa</w:t>
            </w:r>
          </w:p>
        </w:tc>
        <w:tc>
          <w:tcPr>
            <w:tcW w:type="dxa" w:w="2835"/>
          </w:tcPr>
          <w:p>
            <w:r/>
            <w:r>
              <w:rPr>
                <w:rFonts w:ascii="Calibri" w:hAnsi="Calibri"/>
                <w:color w:val="333333"/>
                <w:sz w:val="18"/>
              </w:rPr>
              <w:t>Program Beamer Slides</w:t>
            </w:r>
          </w:p>
        </w:tc>
        <w:tc>
          <w:tcPr>
            <w:tcW w:type="dxa" w:w="3685"/>
          </w:tcPr>
          <w:p>
            <w:r/>
            <w:r>
              <w:rPr>
                <w:rFonts w:ascii="Calibri" w:hAnsi="Calibri"/>
                <w:color w:val="333333"/>
                <w:sz w:val="18"/>
              </w:rPr>
              <w:t>Presentación completa del piloto</w:t>
            </w:r>
          </w:p>
        </w:tc>
      </w:tr>
      <w:tr>
        <w:tc>
          <w:tcPr>
            <w:tcW w:type="dxa" w:w="567"/>
            <w:shd w:fill="F9F3ED"/>
          </w:tcPr>
          <w:p>
            <w:pPr>
              <w:jc w:val="center"/>
            </w:pPr>
            <w:r/>
            <w:r>
              <w:rPr>
                <w:rFonts w:ascii="Calibri" w:hAnsi="Calibri"/>
                <w:color w:val="333333"/>
                <w:sz w:val="18"/>
              </w:rPr>
              <w:t>4</w:t>
            </w:r>
          </w:p>
        </w:tc>
        <w:tc>
          <w:tcPr>
            <w:tcW w:type="dxa" w:w="3118"/>
            <w:shd w:fill="F9F3ED"/>
          </w:tcPr>
          <w:p>
            <w:r/>
            <w:r>
              <w:rPr>
                <w:rFonts w:ascii="Calibri" w:hAnsi="Calibri"/>
                <w:color w:val="333333"/>
                <w:sz w:val="18"/>
              </w:rPr>
              <w:t>Guía de Branding EMC</w:t>
            </w:r>
          </w:p>
        </w:tc>
        <w:tc>
          <w:tcPr>
            <w:tcW w:type="dxa" w:w="2835"/>
            <w:shd w:fill="F9F3ED"/>
          </w:tcPr>
          <w:p>
            <w:r/>
            <w:r>
              <w:rPr>
                <w:rFonts w:ascii="Calibri" w:hAnsi="Calibri"/>
                <w:color w:val="333333"/>
                <w:sz w:val="18"/>
              </w:rPr>
              <w:t>EMC Branding Guide</w:t>
            </w:r>
          </w:p>
        </w:tc>
        <w:tc>
          <w:tcPr>
            <w:tcW w:type="dxa" w:w="3685"/>
            <w:shd w:fill="F9F3ED"/>
          </w:tcPr>
          <w:p>
            <w:r/>
            <w:r>
              <w:rPr>
                <w:rFonts w:ascii="Calibri" w:hAnsi="Calibri"/>
                <w:color w:val="333333"/>
                <w:sz w:val="18"/>
              </w:rPr>
              <w:t>Identidad visual del programa</w:t>
            </w:r>
          </w:p>
        </w:tc>
      </w:tr>
      <w:tr>
        <w:tc>
          <w:tcPr>
            <w:tcW w:type="dxa" w:w="567"/>
          </w:tcPr>
          <w:p>
            <w:pPr>
              <w:jc w:val="center"/>
            </w:pPr>
            <w:r/>
            <w:r>
              <w:rPr>
                <w:rFonts w:ascii="Calibri" w:hAnsi="Calibri"/>
                <w:color w:val="333333"/>
                <w:sz w:val="18"/>
              </w:rPr>
              <w:t>5</w:t>
            </w:r>
          </w:p>
        </w:tc>
        <w:tc>
          <w:tcPr>
            <w:tcW w:type="dxa" w:w="3118"/>
          </w:tcPr>
          <w:p>
            <w:r/>
            <w:r>
              <w:rPr>
                <w:rFonts w:ascii="Calibri" w:hAnsi="Calibri"/>
                <w:color w:val="333333"/>
                <w:sz w:val="18"/>
              </w:rPr>
              <w:t>Video: Jaime Saavedra Bienvenida</w:t>
            </w:r>
          </w:p>
        </w:tc>
        <w:tc>
          <w:tcPr>
            <w:tcW w:type="dxa" w:w="2835"/>
          </w:tcPr>
          <w:p>
            <w:r/>
            <w:r>
              <w:rPr>
                <w:rFonts w:ascii="Calibri" w:hAnsi="Calibri"/>
                <w:color w:val="333333"/>
                <w:sz w:val="18"/>
              </w:rPr>
              <w:t>Video: Jaime Saavedra Welcome</w:t>
            </w:r>
          </w:p>
        </w:tc>
        <w:tc>
          <w:tcPr>
            <w:tcW w:type="dxa" w:w="3685"/>
          </w:tcPr>
          <w:p>
            <w:r/>
            <w:r>
              <w:rPr>
                <w:rFonts w:ascii="Calibri" w:hAnsi="Calibri"/>
                <w:color w:val="333333"/>
                <w:sz w:val="18"/>
              </w:rPr>
              <w:t>Director de Educación del Banco Mundial</w:t>
            </w:r>
            <w:r>
              <w:rPr>
                <w:rFonts w:ascii="Calibri" w:hAnsi="Calibri"/>
                <w:color w:val="F57B21"/>
                <w:sz w:val="18"/>
              </w:rPr>
              <w:t xml:space="preserve">  ↗</w:t>
            </w:r>
          </w:p>
        </w:tc>
      </w:tr>
      <w:tr>
        <w:tc>
          <w:tcPr>
            <w:tcW w:type="dxa" w:w="567"/>
            <w:shd w:fill="F9F3ED"/>
          </w:tcPr>
          <w:p>
            <w:pPr>
              <w:jc w:val="center"/>
            </w:pPr>
            <w:r/>
            <w:r>
              <w:rPr>
                <w:rFonts w:ascii="Calibri" w:hAnsi="Calibri"/>
                <w:color w:val="333333"/>
                <w:sz w:val="18"/>
              </w:rPr>
              <w:t>6</w:t>
            </w:r>
          </w:p>
        </w:tc>
        <w:tc>
          <w:tcPr>
            <w:tcW w:type="dxa" w:w="3118"/>
            <w:shd w:fill="F9F3ED"/>
          </w:tcPr>
          <w:p>
            <w:r/>
            <w:r>
              <w:rPr>
                <w:rFonts w:ascii="Calibri" w:hAnsi="Calibri"/>
                <w:color w:val="333333"/>
                <w:sz w:val="18"/>
              </w:rPr>
              <w:t>Video: Demo Tutor IA Matemáticas</w:t>
            </w:r>
          </w:p>
        </w:tc>
        <w:tc>
          <w:tcPr>
            <w:tcW w:type="dxa" w:w="2835"/>
            <w:shd w:fill="F9F3ED"/>
          </w:tcPr>
          <w:p>
            <w:r/>
            <w:r>
              <w:rPr>
                <w:rFonts w:ascii="Calibri" w:hAnsi="Calibri"/>
                <w:color w:val="333333"/>
                <w:sz w:val="18"/>
              </w:rPr>
              <w:t>Video: AI Math Tutor Demo</w:t>
            </w:r>
          </w:p>
        </w:tc>
        <w:tc>
          <w:tcPr>
            <w:tcW w:type="dxa" w:w="3685"/>
            <w:shd w:fill="F9F3ED"/>
          </w:tcPr>
          <w:p>
            <w:r/>
            <w:r>
              <w:rPr>
                <w:rFonts w:ascii="Calibri" w:hAnsi="Calibri"/>
                <w:color w:val="333333"/>
                <w:sz w:val="18"/>
              </w:rPr>
              <w:t>Demostración del tutor de matemáticas</w:t>
            </w:r>
            <w:r>
              <w:rPr>
                <w:rFonts w:ascii="Calibri" w:hAnsi="Calibri"/>
                <w:color w:val="F57B21"/>
                <w:sz w:val="18"/>
              </w:rPr>
              <w:t xml:space="preserve">  ↗</w:t>
            </w:r>
          </w:p>
        </w:tc>
      </w:tr>
      <w:tr>
        <w:tc>
          <w:tcPr>
            <w:tcW w:type="dxa" w:w="567"/>
          </w:tcPr>
          <w:p>
            <w:pPr>
              <w:jc w:val="center"/>
            </w:pPr>
            <w:r/>
            <w:r>
              <w:rPr>
                <w:rFonts w:ascii="Calibri" w:hAnsi="Calibri"/>
                <w:color w:val="333333"/>
                <w:sz w:val="18"/>
              </w:rPr>
              <w:t>7</w:t>
            </w:r>
          </w:p>
        </w:tc>
        <w:tc>
          <w:tcPr>
            <w:tcW w:type="dxa" w:w="3118"/>
          </w:tcPr>
          <w:p>
            <w:r/>
            <w:r>
              <w:rPr>
                <w:rFonts w:ascii="Calibri" w:hAnsi="Calibri"/>
                <w:color w:val="333333"/>
                <w:sz w:val="18"/>
              </w:rPr>
              <w:t>Video: Demo Coach IA Vocacional</w:t>
            </w:r>
          </w:p>
        </w:tc>
        <w:tc>
          <w:tcPr>
            <w:tcW w:type="dxa" w:w="2835"/>
          </w:tcPr>
          <w:p>
            <w:r/>
            <w:r>
              <w:rPr>
                <w:rFonts w:ascii="Calibri" w:hAnsi="Calibri"/>
                <w:color w:val="333333"/>
                <w:sz w:val="18"/>
              </w:rPr>
              <w:t>Video: AI Career Coach Demo</w:t>
            </w:r>
          </w:p>
        </w:tc>
        <w:tc>
          <w:tcPr>
            <w:tcW w:type="dxa" w:w="3685"/>
          </w:tcPr>
          <w:p>
            <w:r/>
            <w:r>
              <w:rPr>
                <w:rFonts w:ascii="Calibri" w:hAnsi="Calibri"/>
                <w:color w:val="333333"/>
                <w:sz w:val="18"/>
              </w:rPr>
              <w:t>Demostración del coach vocacional</w:t>
            </w:r>
            <w:r>
              <w:rPr>
                <w:rFonts w:ascii="Calibri" w:hAnsi="Calibri"/>
                <w:color w:val="F57B21"/>
                <w:sz w:val="18"/>
              </w:rPr>
              <w:t xml:space="preserve">  ↗</w:t>
            </w:r>
          </w:p>
        </w:tc>
      </w:tr>
    </w:tbl>
    <w:p>
      <w:r>
        <w:br w:type="page"/>
      </w:r>
    </w:p>
    <w:p>
      <w:pPr>
        <w:spacing w:before="360" w:after="120"/>
        <w:pBdr>
          <w:bottom w:val="single" w:sz="6" w:space="1" w:color="F57B21"/>
        </w:pBdr>
      </w:pPr>
      <w:r>
        <w:rPr>
          <w:rFonts w:ascii="Calibri" w:hAnsi="Calibri"/>
          <w:b/>
          <w:color w:val="F57B21"/>
          <w:sz w:val="28"/>
        </w:rPr>
        <w:t>Para Replicar EMC / To Replicate EMC</w:t>
      </w:r>
    </w:p>
    <w:p>
      <w:pPr>
        <w:spacing w:after="120"/>
      </w:pPr>
      <w:r>
        <w:rPr>
          <w:rFonts w:ascii="Calibri" w:hAnsi="Calibri"/>
          <w:b w:val="0"/>
          <w:i w:val="0"/>
          <w:color w:val="333333"/>
          <w:sz w:val="22"/>
        </w:rPr>
        <w:t>Si usted es un TTL del Banco Mundial u otro socio interesado en replicar Eligiendo Mi Camino en otro país o contexto, los siguientes documentos constituyen el kit mínimo de replicación, en orden de prioridad:</w:t>
      </w:r>
    </w:p>
    <w:p>
      <w:pPr>
        <w:spacing w:after="120"/>
      </w:pPr>
      <w:r>
        <w:rPr>
          <w:rFonts w:ascii="Calibri" w:hAnsi="Calibri"/>
          <w:b w:val="0"/>
          <w:i/>
          <w:color w:val="333333"/>
          <w:sz w:val="22"/>
        </w:rPr>
        <w:t>If you are a World Bank TTL or other partner interested in replicating Eligiendo Mi Camino in another country or context, the following documents constitute the minimum replication kit, in order of priority:</w:t>
      </w:r>
    </w:p>
    <w:p>
      <w:pPr>
        <w:spacing w:after="80"/>
        <w:ind w:left="283"/>
      </w:pPr>
      <w:r>
        <w:rPr>
          <w:rFonts w:ascii="Calibri" w:hAnsi="Calibri"/>
          <w:b/>
          <w:color w:val="F57B21"/>
          <w:sz w:val="22"/>
        </w:rPr>
        <w:t xml:space="preserve">1. </w:t>
      </w:r>
      <w:r>
        <w:rPr>
          <w:rFonts w:ascii="Calibri" w:hAnsi="Calibri"/>
          <w:b/>
          <w:color w:val="333333"/>
          <w:sz w:val="22"/>
        </w:rPr>
        <w:t>Guía de Replicación (ES/EN) / Replication Guide</w:t>
      </w:r>
    </w:p>
    <w:p>
      <w:pPr>
        <w:spacing w:after="120"/>
        <w:ind w:left="567"/>
      </w:pPr>
      <w:r>
        <w:rPr>
          <w:rFonts w:ascii="Calibri" w:hAnsi="Calibri"/>
          <w:color w:val="333333"/>
          <w:sz w:val="20"/>
        </w:rPr>
        <w:t>Paso a paso detallado para recrear el banco de preguntas y adaptar el tutor IA a otro currículo nacional. / Step-by-step guide to recreate the question bank and adapt the AI tutor to another national curriculum.</w:t>
      </w:r>
    </w:p>
    <w:p>
      <w:pPr>
        <w:spacing w:after="80"/>
        <w:ind w:left="283"/>
      </w:pPr>
      <w:r>
        <w:rPr>
          <w:rFonts w:ascii="Calibri" w:hAnsi="Calibri"/>
          <w:b/>
          <w:color w:val="F57B21"/>
          <w:sz w:val="22"/>
        </w:rPr>
        <w:t xml:space="preserve">2. </w:t>
      </w:r>
      <w:r>
        <w:rPr>
          <w:rFonts w:ascii="Calibri" w:hAnsi="Calibri"/>
          <w:b/>
          <w:color w:val="333333"/>
          <w:sz w:val="22"/>
        </w:rPr>
        <w:t>Guía Docente Matemáticas MEJORADA / Improved Math Teacher Guide</w:t>
      </w:r>
    </w:p>
    <w:p>
      <w:pPr>
        <w:spacing w:after="120"/>
        <w:ind w:left="567"/>
      </w:pPr>
      <w:r>
        <w:rPr>
          <w:rFonts w:ascii="Calibri" w:hAnsi="Calibri"/>
          <w:color w:val="333333"/>
          <w:sz w:val="20"/>
        </w:rPr>
        <w:t>Modelo de guía docente que puede adaptarse a las necesidades locales. / Teacher guide template adaptable to local needs.</w:t>
      </w:r>
    </w:p>
    <w:p>
      <w:pPr>
        <w:spacing w:after="80"/>
        <w:ind w:left="283"/>
      </w:pPr>
      <w:r>
        <w:rPr>
          <w:rFonts w:ascii="Calibri" w:hAnsi="Calibri"/>
          <w:b/>
          <w:color w:val="F57B21"/>
          <w:sz w:val="22"/>
        </w:rPr>
        <w:t xml:space="preserve">3. </w:t>
      </w:r>
      <w:r>
        <w:rPr>
          <w:rFonts w:ascii="Calibri" w:hAnsi="Calibri"/>
          <w:b/>
          <w:color w:val="333333"/>
          <w:sz w:val="22"/>
        </w:rPr>
        <w:t>Diseño Coach Vocacional / Career Coach Design</w:t>
      </w:r>
    </w:p>
    <w:p>
      <w:pPr>
        <w:spacing w:after="120"/>
        <w:ind w:left="567"/>
      </w:pPr>
      <w:r>
        <w:rPr>
          <w:rFonts w:ascii="Calibri" w:hAnsi="Calibri"/>
          <w:color w:val="333333"/>
          <w:sz w:val="20"/>
        </w:rPr>
        <w:t>Arquitectura del coach IA vocacional, incluyendo prompts y flujos de conversación. / AI career coach architecture, including prompts and conversation flows.</w:t>
      </w:r>
    </w:p>
    <w:p>
      <w:pPr>
        <w:spacing w:after="80"/>
        <w:ind w:left="283"/>
      </w:pPr>
      <w:r>
        <w:rPr>
          <w:rFonts w:ascii="Calibri" w:hAnsi="Calibri"/>
          <w:b/>
          <w:color w:val="F57B21"/>
          <w:sz w:val="22"/>
        </w:rPr>
        <w:t xml:space="preserve">4. </w:t>
      </w:r>
      <w:r>
        <w:rPr>
          <w:rFonts w:ascii="Calibri" w:hAnsi="Calibri"/>
          <w:b/>
          <w:color w:val="333333"/>
          <w:sz w:val="22"/>
        </w:rPr>
        <w:t>Sesiones 12×90min + Fichas de Trabajo / 12 Sessions + Worksheets</w:t>
      </w:r>
    </w:p>
    <w:p>
      <w:pPr>
        <w:spacing w:after="120"/>
        <w:ind w:left="567"/>
      </w:pPr>
      <w:r>
        <w:rPr>
          <w:rFonts w:ascii="Calibri" w:hAnsi="Calibri"/>
          <w:color w:val="333333"/>
          <w:sz w:val="20"/>
        </w:rPr>
        <w:t>Diseño instruccional completo y materiales para estudiantes. / Complete instructional design and student materials.</w:t>
      </w:r>
    </w:p>
    <w:p>
      <w:pPr>
        <w:spacing w:after="80"/>
        <w:ind w:left="283"/>
      </w:pPr>
      <w:r>
        <w:rPr>
          <w:rFonts w:ascii="Calibri" w:hAnsi="Calibri"/>
          <w:b/>
          <w:color w:val="F57B21"/>
          <w:sz w:val="22"/>
        </w:rPr>
        <w:t xml:space="preserve">5. </w:t>
      </w:r>
      <w:r>
        <w:rPr>
          <w:rFonts w:ascii="Calibri" w:hAnsi="Calibri"/>
          <w:b/>
          <w:color w:val="333333"/>
          <w:sz w:val="22"/>
        </w:rPr>
        <w:t>Pre-Analysis Plan + Instrumentos de Evaluación / Instruments</w:t>
      </w:r>
    </w:p>
    <w:p>
      <w:pPr>
        <w:spacing w:after="120"/>
        <w:ind w:left="567"/>
      </w:pPr>
      <w:r>
        <w:rPr>
          <w:rFonts w:ascii="Calibri" w:hAnsi="Calibri"/>
          <w:color w:val="333333"/>
          <w:sz w:val="20"/>
        </w:rPr>
        <w:t>Para diseñar una evaluación de impacto rigurosa. / To design a rigorous impact evaluation.</w:t>
      </w:r>
    </w:p>
    <w:p>
      <w:pPr>
        <w:spacing w:after="80"/>
        <w:ind w:left="283"/>
      </w:pPr>
      <w:r>
        <w:rPr>
          <w:rFonts w:ascii="Calibri" w:hAnsi="Calibri"/>
          <w:b/>
          <w:color w:val="F57B21"/>
          <w:sz w:val="22"/>
        </w:rPr>
        <w:t xml:space="preserve">6. </w:t>
      </w:r>
      <w:r>
        <w:rPr>
          <w:rFonts w:ascii="Calibri" w:hAnsi="Calibri"/>
          <w:b/>
          <w:color w:val="333333"/>
          <w:sz w:val="22"/>
        </w:rPr>
        <w:t>Guía Train the Trainers + Sílabos / Train the Trainers Guide + Syllabi</w:t>
      </w:r>
    </w:p>
    <w:p>
      <w:pPr>
        <w:spacing w:after="120"/>
        <w:ind w:left="567"/>
      </w:pPr>
      <w:r>
        <w:rPr>
          <w:rFonts w:ascii="Calibri" w:hAnsi="Calibri"/>
          <w:color w:val="333333"/>
          <w:sz w:val="20"/>
        </w:rPr>
        <w:t>Para capacitar al equipo local. / To train the local team.</w:t>
      </w:r>
    </w:p>
    <w:p>
      <w:pPr>
        <w:spacing w:after="80"/>
        <w:ind w:left="283"/>
      </w:pPr>
      <w:r>
        <w:rPr>
          <w:rFonts w:ascii="Calibri" w:hAnsi="Calibri"/>
          <w:b/>
          <w:color w:val="F57B21"/>
          <w:sz w:val="22"/>
        </w:rPr>
        <w:t xml:space="preserve">7. </w:t>
      </w:r>
      <w:r>
        <w:rPr>
          <w:rFonts w:ascii="Calibri" w:hAnsi="Calibri"/>
          <w:b/>
          <w:color w:val="333333"/>
          <w:sz w:val="22"/>
        </w:rPr>
        <w:t>Plan Logístico + Plan DRELM / Logistics Plan + DRELM Plan</w:t>
      </w:r>
    </w:p>
    <w:p>
      <w:pPr>
        <w:spacing w:after="120"/>
        <w:ind w:left="567"/>
      </w:pPr>
      <w:r>
        <w:rPr>
          <w:rFonts w:ascii="Calibri" w:hAnsi="Calibri"/>
          <w:color w:val="333333"/>
          <w:sz w:val="20"/>
        </w:rPr>
        <w:t>Plantillas operativas adaptables al contexto institucional local. / Operational templates adaptable to the local institutional context.</w:t>
      </w:r>
    </w:p>
    <w:p>
      <w:pPr>
        <w:spacing w:after="80"/>
        <w:ind w:left="283"/>
      </w:pPr>
      <w:r>
        <w:rPr>
          <w:rFonts w:ascii="Calibri" w:hAnsi="Calibri"/>
          <w:b/>
          <w:color w:val="F57B21"/>
          <w:sz w:val="22"/>
        </w:rPr>
        <w:t xml:space="preserve">8. </w:t>
      </w:r>
      <w:r>
        <w:rPr>
          <w:rFonts w:ascii="Calibri" w:hAnsi="Calibri"/>
          <w:b/>
          <w:color w:val="333333"/>
          <w:sz w:val="22"/>
        </w:rPr>
        <w:t>Guía de Branding EMC / EMC Branding Guide</w:t>
      </w:r>
    </w:p>
    <w:p>
      <w:pPr>
        <w:spacing w:after="120"/>
        <w:ind w:left="567"/>
      </w:pPr>
      <w:r>
        <w:rPr>
          <w:rFonts w:ascii="Calibri" w:hAnsi="Calibri"/>
          <w:color w:val="333333"/>
          <w:sz w:val="20"/>
        </w:rPr>
        <w:t>Para mantener coherencia visual o adaptar la identidad. / To maintain visual coherence or adapt the brand identity.</w:t>
      </w:r>
    </w:p>
    <w:p>
      <w:pPr>
        <w:spacing w:after="120"/>
      </w:pPr>
      <w:r>
        <w:rPr>
          <w:rFonts w:ascii="Calibri" w:hAnsi="Calibri"/>
          <w:b w:val="0"/>
          <w:i w:val="0"/>
          <w:color w:val="333333"/>
          <w:sz w:val="22"/>
        </w:rPr>
      </w:r>
    </w:p>
    <w:p>
      <w:pPr>
        <w:spacing w:after="120"/>
      </w:pPr>
      <w:r>
        <w:rPr>
          <w:rFonts w:ascii="Calibri" w:hAnsi="Calibri"/>
          <w:b w:val="0"/>
          <w:i w:val="0"/>
          <w:color w:val="333333"/>
          <w:sz w:val="20"/>
        </w:rPr>
        <w:t>Adicionalmente, se recomienda revisar el artículo publicado en AER y el Policy Brief para comprender la evidencia de impacto, así como los videos de demostración para visualizar el producto final. El Hub de Links contiene enlaces directos a todos los recursos en Google Drive.</w:t>
      </w:r>
    </w:p>
    <w:p>
      <w:pPr>
        <w:spacing w:after="120"/>
      </w:pPr>
      <w:r>
        <w:rPr>
          <w:rFonts w:ascii="Calibri" w:hAnsi="Calibri"/>
          <w:b w:val="0"/>
          <w:i/>
          <w:color w:val="333333"/>
          <w:sz w:val="20"/>
        </w:rPr>
        <w:t>Additionally, reviewing the published AER article and Policy Brief to understand the impact evidence, as well as the demo videos to visualize the final product, is recommended. The Links Hub contains direct links to all resources on Google Drive.</w:t>
      </w:r>
    </w:p>
    <w:p>
      <w:pPr>
        <w:spacing w:after="120"/>
      </w:pPr>
      <w:r>
        <w:rPr>
          <w:rFonts w:ascii="Calibri" w:hAnsi="Calibri"/>
          <w:b w:val="0"/>
          <w:i w:val="0"/>
          <w:color w:val="333333"/>
          <w:sz w:val="22"/>
        </w:rPr>
      </w:r>
    </w:p>
    <w:tbl>
      <w:tblPr>
        <w:tblW w:type="auto" w:w="0"/>
        <w:jc w:val="center"/>
        <w:tblLook w:firstColumn="1" w:firstRow="1" w:lastColumn="0" w:lastRow="0" w:noHBand="0" w:noVBand="1" w:val="04A0"/>
        <w:tblBorders>
          <w:top w:val="single" w:sz="8" w:space="0" w:color="F57B21"/>
          <w:left w:val="single" w:sz="8" w:space="0" w:color="F57B21"/>
          <w:bottom w:val="single" w:sz="8" w:space="0" w:color="F57B21"/>
          <w:right w:val="single" w:sz="8" w:space="0" w:color="F57B21"/>
        </w:tblBorders>
      </w:tblPr>
      <w:tblGrid>
        <w:gridCol w:w="9746"/>
      </w:tblGrid>
      <w:tr>
        <w:tc>
          <w:tcPr>
            <w:tcW w:type="dxa" w:w="6803"/>
            <w:shd w:fill="FFF3E6"/>
          </w:tcPr>
          <w:p>
            <w:pPr>
              <w:spacing w:before="160" w:after="40"/>
              <w:jc w:val="center"/>
            </w:pPr>
            <w:r/>
            <w:r>
              <w:rPr>
                <w:sz w:val="24"/>
              </w:rPr>
              <w:t xml:space="preserve">🔒  </w:t>
            </w:r>
            <w:r>
              <w:rPr>
                <w:rFonts w:ascii="Calibri" w:hAnsi="Calibri"/>
                <w:b/>
                <w:color w:val="333333"/>
                <w:sz w:val="22"/>
              </w:rPr>
              <w:t xml:space="preserve">Contraseña del Hub / Hub Password: </w:t>
            </w:r>
            <w:r>
              <w:rPr>
                <w:rFonts w:ascii="Calibri" w:hAnsi="Calibri"/>
                <w:b/>
                <w:color w:val="F57B21"/>
                <w:sz w:val="26"/>
              </w:rPr>
              <w:t>emcwb2026</w:t>
            </w:r>
          </w:p>
          <w:p>
            <w:pPr>
              <w:spacing w:after="160"/>
              <w:jc w:val="center"/>
            </w:pPr>
            <w:r>
              <w:rPr>
                <w:rFonts w:ascii="Calibri" w:hAnsi="Calibri"/>
                <w:i/>
                <w:color w:val="333333"/>
                <w:sz w:val="18"/>
              </w:rPr>
              <w:t>No comparta esta contraseña fuera del equipo autorizado. / Do not share this password outside the authorized team.</w:t>
            </w:r>
          </w:p>
        </w:tc>
      </w:tr>
    </w:tbl>
    <w:p>
      <w:pPr>
        <w:spacing w:after="120"/>
      </w:pPr>
      <w:r>
        <w:rPr>
          <w:rFonts w:ascii="Calibri" w:hAnsi="Calibri"/>
          <w:b w:val="0"/>
          <w:i w:val="0"/>
          <w:color w:val="333333"/>
          <w:sz w:val="22"/>
        </w:rPr>
      </w:r>
    </w:p>
    <w:p>
      <w:pPr>
        <w:spacing w:before="400"/>
        <w:jc w:val="center"/>
      </w:pPr>
      <w:r>
        <w:rPr>
          <w:rFonts w:ascii="Calibri" w:hAnsi="Calibri"/>
          <w:i/>
          <w:color w:val="A0A0A0"/>
          <w:sz w:val="18"/>
        </w:rPr>
        <w:t>Eligiendo Mi Camino — Banco Mundial × uDocz — Lima, Perú — 2025-2026</w:t>
        <w:br/>
        <w:t>Para consultas: contactar al TTL del programa</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