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PERSONAL VEHICLE CUSTODY AGREEMENT (PVCA)</w:t>
      </w:r>
    </w:p>
    <w:p>
      <w:pPr>
        <w:jc w:val="center"/>
      </w:pPr>
      <w:r>
        <w:rPr>
          <w:i/>
          <w:sz w:val="20"/>
        </w:rPr>
        <w:t>Unit ID: [UNIT_ID_PERSONAL]  •  Date: 2025-11-03</w:t>
      </w:r>
    </w:p>
    <w:p>
      <w:pPr>
        <w:pStyle w:val="Heading1"/>
      </w:pPr>
      <w:r>
        <w:t>1. Purpose</w:t>
      </w:r>
    </w:p>
    <w:p>
      <w:pPr>
        <w:spacing w:after="120"/>
      </w:pPr>
      <w:r>
        <w:t>Consignee holds the Personal Vehicle for safekeeping only. It is not for sale.</w:t>
      </w:r>
    </w:p>
    <w:p>
      <w:pPr>
        <w:pStyle w:val="Heading1"/>
      </w:pPr>
      <w:r>
        <w:t>2. Custody; Location</w:t>
      </w:r>
    </w:p>
    <w:p>
      <w:pPr>
        <w:spacing w:after="120"/>
      </w:pPr>
      <w:r>
        <w:t>Stored at [STORAGE_ADDRESS] with [SECURITY_MEASURES]. Off‑site movement requires Consignor’s prior written consent.</w:t>
      </w:r>
    </w:p>
    <w:p>
      <w:pPr>
        <w:pStyle w:val="Heading1"/>
      </w:pPr>
      <w:r>
        <w:t>3. Usage Ban &amp; Insurance</w:t>
      </w:r>
    </w:p>
    <w:p>
      <w:pPr>
        <w:spacing w:after="120"/>
      </w:pPr>
      <w:r>
        <w:t>No rental, loan, demo, or personal use by Consignee staff. Only insured drivers may move the vehicle for maintenance/security. Insurance must list Consignor as loss payee; certificate due within three (3) days.</w:t>
      </w:r>
    </w:p>
    <w:p>
      <w:pPr>
        <w:pStyle w:val="Heading1"/>
      </w:pPr>
      <w:r>
        <w:t>4. Condition &amp; Reporting</w:t>
      </w:r>
    </w:p>
    <w:p>
      <w:pPr>
        <w:spacing w:after="120"/>
      </w:pPr>
      <w:r>
        <w:t>Schedule 1 (Intake Inspection) with photos attached. Monthly reports include odometer, battery, fluids, tire pressures, and any incidents. Incidents reported within 24 hours.</w:t>
      </w:r>
    </w:p>
    <w:p>
      <w:pPr>
        <w:pStyle w:val="Heading1"/>
      </w:pPr>
      <w:r>
        <w:t>5. Liability &amp; Indemnity</w:t>
      </w:r>
    </w:p>
    <w:p>
      <w:pPr>
        <w:spacing w:after="120"/>
      </w:pPr>
      <w:r>
        <w:t>Consignee is fully liable for damage, loss, theft, or deterioration due to negligence, misuse, or storage failure. Indemnity equals Fair Market Value at time of loss or the Agreed Value in Schedule 2, whichever is higher; payment due within five (5) business days of demand.</w:t>
      </w:r>
    </w:p>
    <w:p>
      <w:pPr>
        <w:pStyle w:val="Heading1"/>
      </w:pPr>
      <w:r>
        <w:t>6. Maintenance</w:t>
      </w:r>
    </w:p>
    <w:p>
      <w:pPr>
        <w:spacing w:after="120"/>
      </w:pPr>
      <w:r>
        <w:t>Essential preservation only (battery maintenance, tire rotation, start‑run schedule). Any spend over USD $[CAP_AMOUNT] requires prior written approval.</w:t>
      </w:r>
    </w:p>
    <w:p>
      <w:pPr>
        <w:pStyle w:val="Heading1"/>
      </w:pPr>
      <w:r>
        <w:t>7. Return on Demand</w:t>
      </w:r>
    </w:p>
    <w:p>
      <w:pPr>
        <w:spacing w:after="120"/>
      </w:pPr>
      <w:r>
        <w:t>Consignor may demand immediate return with 48 hours’ notice. Return at Consignee’s cost, washed, with all keys/accessories, and a no‑damage certificate.</w:t>
      </w:r>
    </w:p>
    <w:p>
      <w:pPr>
        <w:pStyle w:val="Heading1"/>
      </w:pPr>
      <w:r>
        <w:t>8. Separate Agreement</w:t>
      </w:r>
    </w:p>
    <w:p>
      <w:pPr>
        <w:spacing w:after="120"/>
      </w:pPr>
      <w:r>
        <w:t>This agreement is separate and does not modify the Master Consignment Agreement; if any conflict arises, this PVCA governs only for the Personal Vehicle.</w:t>
      </w:r>
    </w:p>
    <w:p>
      <w:pPr>
        <w:pStyle w:val="Heading2"/>
      </w:pPr>
      <w:r>
        <w:t>Signatures</w:t>
      </w:r>
    </w:p>
    <w:p>
      <w:pPr>
        <w:spacing w:after="120"/>
      </w:pPr>
      <w:r>
        <w:t>Executed in Roatán, Islas de la Bahía, Honduras, on this ___ day of __________, 2025.</w:t>
      </w:r>
    </w:p>
    <w:tbl>
      <w:tblPr>
        <w:tblStyle w:val="TableGrid"/>
        <w:tblW w:type="auto" w:w="0"/>
        <w:tblLook w:firstColumn="1" w:firstRow="1" w:lastColumn="0" w:lastRow="0" w:noHBand="0" w:noVBand="1" w:val="04A0"/>
      </w:tblPr>
      <w:tblGrid>
        <w:gridCol w:w="4320"/>
        <w:gridCol w:w="4320"/>
      </w:tblGrid>
      <w:tr>
        <w:tc>
          <w:tcPr>
            <w:tcW w:type="dxa" w:w="4320"/>
          </w:tcPr>
          <w:p>
            <w:r>
              <w:t>CONSIGNOR</w:t>
              <w:br/>
              <w:t>Dominick Scipione</w:t>
              <w:br/>
              <w:t>Passport No.: [PASSPORT_NO]</w:t>
              <w:br/>
              <w:t>Signature: _______________________</w:t>
            </w:r>
          </w:p>
        </w:tc>
        <w:tc>
          <w:tcPr>
            <w:tcW w:type="dxa" w:w="4320"/>
          </w:tcPr>
          <w:p>
            <w:r>
              <w:t>CONSIGNEE</w:t>
              <w:br/>
              <w:t>[Representative’s Name], for Anderson Rental</w:t>
              <w:br/>
              <w:t>Honduran ID No.: [REP_ID]</w:t>
              <w:br/>
              <w:t>Title: [REP_TITLE]</w:t>
              <w:br/>
              <w:t>Signature: _______________________</w:t>
            </w:r>
          </w:p>
        </w:tc>
      </w:tr>
      <w:tr>
        <w:tc>
          <w:tcPr>
            <w:tcW w:type="dxa" w:w="8640"/>
            <w:gridSpan w:val="2"/>
          </w:tcPr>
          <w:p>
            <w:r/>
          </w:p>
        </w:tc>
      </w:tr>
      <w:tr>
        <w:tc>
          <w:tcPr>
            <w:tcW w:type="dxa" w:w="8640"/>
            <w:gridSpan w:val="2"/>
          </w:tcPr>
          <w:p>
            <w:r/>
          </w:p>
        </w:tc>
      </w:tr>
    </w:tbl>
    <w:p>
      <w:pPr>
        <w:pStyle w:val="Heading2"/>
      </w:pPr>
      <w:r>
        <w:t>Schedule 1 — Intake Inspection (Attach Photos)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Status/Notes</w:t>
            </w:r>
          </w:p>
        </w:tc>
      </w:tr>
      <w:tr>
        <w:tc>
          <w:tcPr>
            <w:tcW w:type="dxa" w:w="4320"/>
          </w:tcPr>
          <w:p>
            <w:r>
              <w:t>Exterior</w:t>
            </w:r>
          </w:p>
        </w:tc>
        <w:tc>
          <w:tcPr>
            <w:tcW w:type="dxa" w:w="4320"/>
          </w:tcPr>
          <w:p>
            <w:r>
              <w:t>[__________]</w:t>
            </w:r>
          </w:p>
        </w:tc>
      </w:tr>
      <w:tr>
        <w:tc>
          <w:tcPr>
            <w:tcW w:type="dxa" w:w="4320"/>
          </w:tcPr>
          <w:p>
            <w:r>
              <w:t>Interior</w:t>
            </w:r>
          </w:p>
        </w:tc>
        <w:tc>
          <w:tcPr>
            <w:tcW w:type="dxa" w:w="4320"/>
          </w:tcPr>
          <w:p>
            <w:r>
              <w:t>[__________]</w:t>
            </w:r>
          </w:p>
        </w:tc>
      </w:tr>
      <w:tr>
        <w:tc>
          <w:tcPr>
            <w:tcW w:type="dxa" w:w="4320"/>
          </w:tcPr>
          <w:p>
            <w:r>
              <w:t>Mechanical</w:t>
            </w:r>
          </w:p>
        </w:tc>
        <w:tc>
          <w:tcPr>
            <w:tcW w:type="dxa" w:w="4320"/>
          </w:tcPr>
          <w:p>
            <w:r>
              <w:t>[__________]</w:t>
            </w:r>
          </w:p>
        </w:tc>
      </w:tr>
      <w:tr>
        <w:tc>
          <w:tcPr>
            <w:tcW w:type="dxa" w:w="4320"/>
          </w:tcPr>
          <w:p>
            <w:r>
              <w:t>Tires/Spare</w:t>
            </w:r>
          </w:p>
        </w:tc>
        <w:tc>
          <w:tcPr>
            <w:tcW w:type="dxa" w:w="4320"/>
          </w:tcPr>
          <w:p>
            <w:r>
              <w:t>[__________]</w:t>
            </w:r>
          </w:p>
        </w:tc>
      </w:tr>
      <w:tr>
        <w:tc>
          <w:tcPr>
            <w:tcW w:type="dxa" w:w="4320"/>
          </w:tcPr>
          <w:p>
            <w:r>
              <w:t>Odometer Reading</w:t>
            </w:r>
          </w:p>
        </w:tc>
        <w:tc>
          <w:tcPr>
            <w:tcW w:type="dxa" w:w="4320"/>
          </w:tcPr>
          <w:p>
            <w:r>
              <w:t>[__________]</w:t>
            </w:r>
          </w:p>
        </w:tc>
      </w:tr>
      <w:tr>
        <w:tc>
          <w:tcPr>
            <w:tcW w:type="dxa" w:w="4320"/>
          </w:tcPr>
          <w:p>
            <w:r>
              <w:t>Accessories/Keys</w:t>
            </w:r>
          </w:p>
        </w:tc>
        <w:tc>
          <w:tcPr>
            <w:tcW w:type="dxa" w:w="4320"/>
          </w:tcPr>
          <w:p>
            <w:r>
              <w:t>[__________]</w:t>
            </w:r>
          </w:p>
        </w:tc>
      </w:tr>
    </w:tbl>
    <w:p>
      <w:pPr>
        <w:pStyle w:val="Heading2"/>
      </w:pPr>
      <w:r>
        <w:t>Schedule 2 — Agreed Value</w:t>
      </w:r>
    </w:p>
    <w:p>
      <w:pPr>
        <w:spacing w:after="120"/>
      </w:pPr>
      <w:r>
        <w:t>Agreed Value (USD): $[AGREED_VALUE]  •  Effective 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