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PER‑VEHICLE SALE CLOSURE &amp; LIQUIDATION AGREEMENT (PSCL)</w:t>
      </w:r>
    </w:p>
    <w:p>
      <w:pPr>
        <w:jc w:val="center"/>
      </w:pPr>
      <w:r>
        <w:rPr>
          <w:i/>
          <w:sz w:val="20"/>
        </w:rPr>
        <w:t>Deal ID: [DEAL_ID]  •  Unit ID: [UNIT_ID]  •  Sale Date: [SALE_DATE]</w:t>
      </w:r>
    </w:p>
    <w:p>
      <w:pPr>
        <w:pStyle w:val="Heading1"/>
      </w:pPr>
      <w:r>
        <w:t>1. Buyer &amp; Vehicle</w:t>
      </w:r>
    </w:p>
    <w:p>
      <w:pPr>
        <w:spacing w:after="120"/>
      </w:pPr>
      <w:r>
        <w:t>Buyer: [BUYER_NAME], ID/Tax No.: [BUYER_ID], Address: [BUYER_ADDRESS]</w:t>
      </w:r>
    </w:p>
    <w:p>
      <w:pPr>
        <w:spacing w:after="120"/>
      </w:pPr>
      <w:r>
        <w:t>Vehicle: Make [MAKE], Model [MODEL], Year [YEAR], VIN [VIN]</w:t>
      </w:r>
    </w:p>
    <w:p>
      <w:pPr>
        <w:pStyle w:val="Heading1"/>
      </w:pPr>
      <w:r>
        <w:t>2. Price Compliance</w:t>
      </w:r>
    </w:p>
    <w:p>
      <w:pPr>
        <w:spacing w:after="120"/>
      </w:pPr>
      <w:r>
        <w:t>Buyer Price (USD): $[BUYER_PRICE]. This price is ≥ 95% of the Agreed Sale Price per Annex D of the MIPA, or the Consignor’s written price authorization is attached.</w:t>
      </w:r>
    </w:p>
    <w:p>
      <w:pPr>
        <w:pStyle w:val="Heading1"/>
      </w:pPr>
      <w:r>
        <w:t>3. Settlement Math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 (USD)</w:t>
            </w:r>
          </w:p>
        </w:tc>
      </w:tr>
      <w:tr>
        <w:tc>
          <w:tcPr>
            <w:tcW w:type="dxa" w:w="4320"/>
          </w:tcPr>
          <w:p>
            <w:r>
              <w:t>Buyer Price</w:t>
            </w:r>
          </w:p>
        </w:tc>
        <w:tc>
          <w:tcPr>
            <w:tcW w:type="dxa" w:w="4320"/>
          </w:tcPr>
          <w:p>
            <w:r>
              <w:t>[BUYER_PRICE]</w:t>
            </w:r>
          </w:p>
        </w:tc>
      </w:tr>
      <w:tr>
        <w:tc>
          <w:tcPr>
            <w:tcW w:type="dxa" w:w="4320"/>
          </w:tcPr>
          <w:p>
            <w:r>
              <w:t>Less: Commission ([COMMISSION_PERCENT]%)</w:t>
            </w:r>
          </w:p>
        </w:tc>
        <w:tc>
          <w:tcPr>
            <w:tcW w:type="dxa" w:w="4320"/>
          </w:tcPr>
          <w:p>
            <w:r>
              <w:t>[COMMISSION_AMOUNT]</w:t>
            </w:r>
          </w:p>
        </w:tc>
      </w:tr>
      <w:tr>
        <w:tc>
          <w:tcPr>
            <w:tcW w:type="dxa" w:w="4320"/>
          </w:tcPr>
          <w:p>
            <w:r>
              <w:t>Less: Pre‑Approved Direct Costs</w:t>
            </w:r>
          </w:p>
        </w:tc>
        <w:tc>
          <w:tcPr>
            <w:tcW w:type="dxa" w:w="4320"/>
          </w:tcPr>
          <w:p>
            <w:r>
              <w:t>[DIRECT_COSTS]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[NET_PROFIT]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spacing w:after="120"/>
      </w:pPr>
      <w:r>
        <w:t>Distribution (select per MIPA Clause 10):</w:t>
      </w:r>
    </w:p>
    <w:p>
      <w:pPr>
        <w:spacing w:after="120"/>
      </w:pPr>
      <w:r>
        <w:t>□ Pre‑Trigger: 60% of Net Profit retained to the Joint Reserve; 40% paid to Consignor.</w:t>
      </w:r>
    </w:p>
    <w:p>
      <w:pPr>
        <w:spacing w:after="120"/>
      </w:pPr>
      <w:r>
        <w:t>□ Post‑Trigger: Net Profit distributed 60% to Consignor / 40% to Consignee.</w:t>
      </w:r>
    </w:p>
    <w:p>
      <w:pPr>
        <w:spacing w:after="120"/>
      </w:pPr>
      <w:r>
        <w:t>Wire confirmations attached (Annex B).</w:t>
      </w:r>
    </w:p>
    <w:p>
      <w:pPr>
        <w:pStyle w:val="Heading1"/>
      </w:pPr>
      <w:r>
        <w:t>4. Title &amp; Transfer</w:t>
      </w:r>
    </w:p>
    <w:p>
      <w:pPr>
        <w:spacing w:after="120"/>
      </w:pPr>
      <w:r>
        <w:t>Attached: buyer invoice/factura, title/registration transfer, and customs/export (DUA) if applicable. All taxes/fees due on the sale are paid.</w:t>
      </w:r>
    </w:p>
    <w:p>
      <w:pPr>
        <w:pStyle w:val="Heading1"/>
      </w:pPr>
      <w:r>
        <w:t>5. Unit‑Specific Release</w:t>
      </w:r>
    </w:p>
    <w:p>
      <w:pPr>
        <w:spacing w:after="120"/>
      </w:pPr>
      <w:r>
        <w:t>Upon completion of settlement above, the parties release each other with respect to this vehicle only, except for fraud, chargebacks, or post‑sale government assessments.</w:t>
      </w:r>
    </w:p>
    <w:p>
      <w:pPr>
        <w:pStyle w:val="Heading1"/>
      </w:pPr>
      <w:r>
        <w:t>6. 60‑Day Compliance</w:t>
      </w:r>
    </w:p>
    <w:p>
      <w:pPr>
        <w:spacing w:after="120"/>
      </w:pPr>
      <w:r>
        <w:t>If the 60‑day period elapsed without sale, the parties confirm Sell‑or‑Pay was satisfied before or at this closing.</w:t>
      </w:r>
    </w:p>
    <w:p>
      <w:pPr>
        <w:pStyle w:val="Heading2"/>
      </w:pPr>
      <w:r>
        <w:t>Signatures</w:t>
      </w:r>
    </w:p>
    <w:p>
      <w:pPr>
        <w:spacing w:after="120"/>
      </w:pPr>
      <w:r>
        <w:t>Executed in Roatán, Islas de la Bahía, Honduras, on this ___ day of __________, 2025.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CONSIGNOR</w:t>
              <w:br/>
              <w:t>Dominick Scipione</w:t>
              <w:br/>
              <w:t>Passport No.: [PASSPORT_NO]</w:t>
              <w:br/>
              <w:t>Signature: _______________________</w:t>
            </w:r>
          </w:p>
        </w:tc>
        <w:tc>
          <w:tcPr>
            <w:tcW w:type="dxa" w:w="4320"/>
          </w:tcPr>
          <w:p>
            <w:r>
              <w:t>CONSIGNEE</w:t>
              <w:br/>
              <w:t>[Representative’s Name], for Anderson Rental</w:t>
              <w:br/>
              <w:t>Honduran ID No.: [REP_ID]</w:t>
              <w:br/>
              <w:t>Title: [REP_TITLE]</w:t>
              <w:br/>
              <w:t>Signature: _______________________</w:t>
            </w:r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