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430cb7b3d0de4050df3f10a05701f6b55601a3"/>
    <w:p>
      <w:pPr>
        <w:pStyle w:val="Heading1"/>
      </w:pPr>
      <w:r>
        <w:t xml:space="preserve">Elektrikli Araçlarda Sürücü Bilişsel Yükünü Dikkate Alan Çok Amaçlı Rota Planlaması</w:t>
      </w:r>
    </w:p>
    <w:bookmarkStart w:id="9" w:name="X45e2b6a41d15c89ea8106378f8c5b358e94247e"/>
    <w:p>
      <w:pPr>
        <w:pStyle w:val="Heading2"/>
      </w:pPr>
      <w:r>
        <w:t xml:space="preserve">Multi-Objective Route Planning Considering Driver Cognitive Load in Electric Vehicles</w:t>
      </w:r>
    </w:p>
    <w:p>
      <w:pPr>
        <w:pStyle w:val="FirstParagraph"/>
      </w:pPr>
      <w:r>
        <w:rPr>
          <w:b/>
          <w:bCs/>
        </w:rPr>
        <w:t xml:space="preserve">Ezgi Yiğit 1, Özlem Feyza Erkan 2</w:t>
      </w:r>
      <w:r>
        <w:t xml:space="preserve"> </w:t>
      </w:r>
      <w:r>
        <w:t xml:space="preserve">1 Bilgisayar Mühendisliği Bölümü Beykoz Üniversitesi, 34810, İstanbul</w:t>
      </w:r>
      <w:r>
        <w:t xml:space="preserve"> </w:t>
      </w:r>
      <w:r>
        <w:t xml:space="preserve">{ezgiyigit}</w:t>
      </w:r>
      <w:r>
        <w:t xml:space="preserve">@ogrenci.beykoz.edu.tr</w:t>
      </w:r>
      <w:r>
        <w:t xml:space="preserve">, {feyzaerkan}</w:t>
      </w:r>
      <w:r>
        <w:t xml:space="preserve">@beykoz.edu.tr</w:t>
      </w:r>
    </w:p>
    <w:bookmarkEnd w:id="9"/>
    <w:bookmarkStart w:id="10" w:name="özetçe"/>
    <w:p>
      <w:pPr>
        <w:pStyle w:val="Heading2"/>
      </w:pPr>
      <w:r>
        <w:t xml:space="preserve">Özetçe</w:t>
      </w:r>
    </w:p>
    <w:p>
      <w:pPr>
        <w:pStyle w:val="FirstParagraph"/>
      </w:pPr>
      <w:r>
        <w:t xml:space="preserve">Elektrikli araç (EA) ekosisteminin hızla yaygınlaşmasıyla birlikte, seyir esnasında enerji verimliliği, batarya yönetimi ve rota optimizasyonu kritik bir araştırma problemi haline gelmiştir. Mevcut navigasyon sistemleri çoğunlukla yalnızca süre, mesafe veya enerji minimizasyonuna odaklanmakta; sürücünün anlık bilişsel ve psikolojik durumunu karar mekanizmalarına dahil etmemektedir. Bu çalışmada, sürücünün bilişsel durumunu da dikkate alan çok amaçlı bir rota planlama ve optimizasyon çerçevesi (AffectEV) önerilmektedir. Sistem, Bilişsel Yük Skoru (CLS) parametresini kontrollü bir girdi olarak alıp rota tercihlerini dinamik olarak uyarlamaktadır. Rota üretim aşamasında, enerji tüketimi, seyahat süresi ve sürüş konforu kriterleri Pareto-optimal tabanlı Dinamik NSGA-II yaklaşımı ile eşzamanlı olarak optimize edilmektedir. Ayrıca sistem, sürücü tercihlerine uyum sağlayabilmek adına sentetik bir kullanıcı modeli üzerinden Q-Learning tabanlı pekiştirmeli öğrenme mekanizması ile desteklenmiştir. Ankara şehir içi ulaşım ağı üzerinde yapılan benzetim sonuçları, önerilen yaklaşımın yüksek bilişsel yük altındaki sürücüler için artan enerji tüketimi ve uzayan mesafe ödünleşimi (%84 ve %91) pahasına sürüş konforunu %41 oranında artırabildiğini ve menzil kısıtlarını güvenli sınırlar içerisinde yönetebildiğini göstermektedir.</w:t>
      </w:r>
    </w:p>
    <w:bookmarkEnd w:id="10"/>
    <w:bookmarkStart w:id="11" w:name="abstract"/>
    <w:p>
      <w:pPr>
        <w:pStyle w:val="Heading2"/>
      </w:pPr>
      <w:r>
        <w:t xml:space="preserve">Abstract</w:t>
      </w:r>
    </w:p>
    <w:p>
      <w:pPr>
        <w:pStyle w:val="FirstParagraph"/>
      </w:pPr>
      <w:r>
        <w:t xml:space="preserve">With the rapid expansion of the electric vehicle (EV) ecosystem, energy efficiency, battery management, and route optimization during driving have become critical research challenges. Existing navigation systems primarily focus on minimizing travel time, distance, or energy consumption, while largely ignoring the driver’s instantaneous cognitive and psychological state in decision-making processes. This study proposes AffectEV, a multi-objective route planning and optimization framework that incorporates the driver’s cognitive state into the decision mechanism. The system takes the Cognitive Load Score (CLS) as a controlled input to dynamically adapt route preferences. During the route generation stage, energy consumption, travel time, and driving comfort are simultaneously optimized using a Pareto-optimal Dynamic NSGA-II approach. In addition, a Q-Learning-based reinforcement learning module operating on a synthetic user model is integrated to continuously adapt to driver preferences. Simulation experiments conducted on the Ankara urban transportation network demonstrate that the proposed framework can improve driving comfort by 41% for drivers under high cognitive load, at the cost of increased energy consumption (84%) and extended travel distance (91%), while safely managing range constraints.</w:t>
      </w:r>
    </w:p>
    <w:p>
      <w:r>
        <w:pict>
          <v:rect style="width:0;height:1.5pt" o:hralign="center" o:hrstd="t" o:hr="t"/>
        </w:pict>
      </w:r>
    </w:p>
    <w:bookmarkEnd w:id="11"/>
    <w:bookmarkStart w:id="12" w:name="giriş"/>
    <w:p>
      <w:pPr>
        <w:pStyle w:val="Heading2"/>
      </w:pPr>
      <w:r>
        <w:t xml:space="preserve">1. Giriş</w:t>
      </w:r>
    </w:p>
    <w:p>
      <w:pPr>
        <w:pStyle w:val="FirstParagraph"/>
      </w:pPr>
      <w:r>
        <w:t xml:space="preserve">Küresel ulaşım paradigmasının elektrikli araçlara (EA) doğru evrilmesi, güzergah belirleme algoritmalarında köklü bir revizyonu zorunlu kılmıştır. İçten yanmalı motora sahip geleneksel araçların aksine, EA’lar katı batarya kısıtlarına ve şarj istasyonlarının homojen olmayan mekansal dağılımına tabidir [1], [2]. Güncel literatürdeki ticari ve akademik navigasyon çözümleri; trafik yoğunluğu, topografik eğim ve seyir hızını analiz ederek enerji tüketimini minimize etmeye odaklanmaktadır. Ancak bu tek boyutlu yaklaşım, sürüş eyleminin temel aktörü olan insanın duygu durumunu ve zihinsel kapasitesini denklem dışında bırakmaktadır.</w:t>
      </w:r>
    </w:p>
    <w:p>
      <w:pPr>
        <w:pStyle w:val="BodyText"/>
      </w:pPr>
      <w:r>
        <w:t xml:space="preserve">Sürüş, mekanik bir taşıma eyleminden ziyade; sürekli dikkat, anlık karar alma ve çevresel uyarıcılara karşı reaksiyon gerektiren dinamik bir zihinsel süreçtir [3], [4]. Özellikle yorgunluk emareleri gösteren veya yüksek bilişsel yüke maruz kalan bir sürücü için, trafik yoğunluğunun yüksek olduğu karmaşık bir kavşak ağı, rotayı teorik olarak kısaltmasına rağmen kaza riskini ve stresi dramatik biçimde artırabilmektedir. Günümüzde literatürde kişiselleştirilmiş EA rota planlaması yapan (örn. Houalef vd. [5]) veya duygu farkındalıklı rota üreten (örn. HappyRouting [6]) çeşitli çalışmalar bulunmaktadır. Ancak mevcut sistemler, araç batarya dinamiklerini, şarj kısıtlarını ve insan merkezli sürüş deneyimini çok amaçlı bir optimizasyon çerçevesinde aynı potada eritmeme eğilimindedir. AffectEV sistemi, bu iki boyutu birleştirerek literatürdeki eksikliği gidermeyi amaçlamaktadır.</w:t>
      </w:r>
    </w:p>
    <w:p>
      <w:pPr>
        <w:pStyle w:val="BodyText"/>
      </w:pPr>
      <w:r>
        <w:t xml:space="preserve">Bu çalışmada,</w:t>
      </w:r>
      <w:r>
        <w:t xml:space="preserve"> </w:t>
      </w:r>
      <w:r>
        <w:t xml:space="preserve">“AffectEV”</w:t>
      </w:r>
      <w:r>
        <w:t xml:space="preserve"> </w:t>
      </w:r>
      <w:r>
        <w:t xml:space="preserve">adı verilen akıllı bir rota planlama çatısı tanıtılmaktadır. Geliştirilen sistem; sürücünün anlık bilişsel yük durumuna (CLS) göre enerji kısıtlarını hesaplayan dinamik tüketim modeli, çelişen hedefleri dengeleyen D-NSGA-II çok amaçlı optimizasyon motoru [7], [8] ve sentetik kullanıcı tercihlerine zamanla adapte olan Q-Learning algoritmasını [9] tek bir platformda birleştirmektedir.</w:t>
      </w:r>
    </w:p>
    <w:bookmarkEnd w:id="12"/>
    <w:bookmarkStart w:id="15" w:name="sistem-modeli-ve-bilişsel-çerçeve"/>
    <w:p>
      <w:pPr>
        <w:pStyle w:val="Heading2"/>
      </w:pPr>
      <w:r>
        <w:t xml:space="preserve">2. Sistem Modeli ve Bilişsel Çerçeve</w:t>
      </w:r>
    </w:p>
    <w:p>
      <w:pPr>
        <w:pStyle w:val="FirstParagraph"/>
      </w:pPr>
      <w:r>
        <w:t xml:space="preserve">Geliştirilen AffectEV prototipi; sürücü bilişsel yük durumunun entegrasyonu ve enerji tüketiminin modellenmesi olmak üzere iki ana bileşenden oluşur.</w:t>
      </w:r>
    </w:p>
    <w:bookmarkStart w:id="13" w:name="Xcbcb39a68372bc3f79ffd76279b3f5dc9a78b21"/>
    <w:p>
      <w:pPr>
        <w:pStyle w:val="Heading3"/>
      </w:pPr>
      <w:r>
        <w:t xml:space="preserve">2.1. Bilişsel Yük ve Sürüş Konforu Modellemesi</w:t>
      </w:r>
    </w:p>
    <w:p>
      <w:pPr>
        <w:pStyle w:val="FirstParagraph"/>
      </w:pPr>
      <w:r>
        <w:t xml:space="preserve">Araç içerisindeki bireyin anlık profili; duygusal değerlik (V), yorgunluk katsayısı (F) ve ölçümlenen bilişsel yük (C) verilerinden oluşan bir vektör olarak tanımlanır. Bu değişkenlerin sentezlenmesi neticesinde, sürücünün o anki durumunu tekil bir skora indirgeyen ve tüm sistemi süren</w:t>
      </w:r>
      <w:r>
        <w:t xml:space="preserve"> </w:t>
      </w:r>
      <w:r>
        <w:rPr>
          <w:b/>
          <w:bCs/>
        </w:rPr>
        <w:t xml:space="preserve">Bilişsel Yük Skoru (CLS)</w:t>
      </w:r>
      <w:r>
        <w:t xml:space="preserve"> </w:t>
      </w:r>
      <w:r>
        <w:t xml:space="preserve">formüle edilmiştir:</w:t>
      </w:r>
    </w:p>
    <w:p>
      <w:pPr>
        <w:pStyle w:val="BodyText"/>
      </w:pPr>
      <m:oMathPara>
        <m:oMathParaPr>
          <m:jc m:val="center"/>
        </m:oMathParaPr>
        <m:oMath>
          <m:r>
            <m:t>C</m:t>
          </m:r>
          <m:r>
            <m:t>L</m:t>
          </m:r>
          <m:r>
            <m:t>S</m:t>
          </m:r>
          <m:r>
            <m:rPr>
              <m:sty m:val="p"/>
            </m:rPr>
            <m:t>=</m:t>
          </m:r>
          <m:sSub>
            <m:e>
              <m:r>
                <m:t>λ</m:t>
              </m:r>
            </m:e>
            <m:sub>
              <m:r>
                <m:t>f</m:t>
              </m:r>
            </m:sub>
          </m:sSub>
          <m:r>
            <m:rPr>
              <m:sty m:val="p"/>
            </m:rPr>
            <m:t>⋅</m:t>
          </m:r>
          <m:r>
            <m:t>F</m:t>
          </m:r>
          <m:r>
            <m:rPr>
              <m:sty m:val="p"/>
            </m:rPr>
            <m:t>+</m:t>
          </m:r>
          <m:sSub>
            <m:e>
              <m:r>
                <m:t>λ</m:t>
              </m:r>
            </m:e>
            <m:sub>
              <m:r>
                <m:t>c</m:t>
              </m:r>
            </m:sub>
          </m:sSub>
          <m:r>
            <m:rPr>
              <m:sty m:val="p"/>
            </m:rPr>
            <m:t>⋅</m:t>
          </m:r>
          <m:r>
            <m:t>C</m:t>
          </m:r>
          <m:r>
            <m:rPr>
              <m:sty m:val="p"/>
            </m:rPr>
            <m:t>+</m:t>
          </m:r>
          <m:sSub>
            <m:e>
              <m:r>
                <m:t>λ</m:t>
              </m:r>
            </m:e>
            <m:sub>
              <m:r>
                <m:t>v</m:t>
              </m:r>
            </m:sub>
          </m:sSub>
          <m:r>
            <m:rPr>
              <m:sty m:val="p"/>
            </m:rPr>
            <m:t>⋅</m:t>
          </m:r>
          <m:r>
            <m:t>V</m:t>
          </m:r>
          <m:r>
            <m:t> </m:t>
          </m:r>
          <m:r>
            <m:rPr>
              <m:sty m:val="p"/>
            </m:rPr>
            <m:t>(</m:t>
          </m:r>
          <m:r>
            <m:t>1</m:t>
          </m:r>
          <m:r>
            <m:rPr>
              <m:sty m:val="p"/>
            </m:rPr>
            <m:t>)</m:t>
          </m:r>
        </m:oMath>
      </m:oMathPara>
    </w:p>
    <w:p>
      <w:pPr>
        <w:pStyle w:val="FirstParagraph"/>
      </w:pPr>
      <w:r>
        <w:t xml:space="preserve">Burada</w:t>
      </w:r>
      <w:r>
        <w:t xml:space="preserve"> </w:t>
      </w:r>
      <m:oMath>
        <m:sSub>
          <m:e>
            <m:r>
              <m:t>λ</m:t>
            </m:r>
          </m:e>
          <m:sub>
            <m:r>
              <m:t>f</m:t>
            </m:r>
          </m:sub>
        </m:sSub>
      </m:oMath>
      <w:r>
        <w:t xml:space="preserve">,</w:t>
      </w:r>
      <w:r>
        <w:t xml:space="preserve"> </w:t>
      </w:r>
      <m:oMath>
        <m:sSub>
          <m:e>
            <m:r>
              <m:t>λ</m:t>
            </m:r>
          </m:e>
          <m:sub>
            <m:r>
              <m:t>c</m:t>
            </m:r>
          </m:sub>
        </m:sSub>
      </m:oMath>
      <w:r>
        <w:t xml:space="preserve"> </w:t>
      </w:r>
      <w:r>
        <w:t xml:space="preserve">ve</w:t>
      </w:r>
      <w:r>
        <w:t xml:space="preserve"> </w:t>
      </w:r>
      <m:oMath>
        <m:sSub>
          <m:e>
            <m:r>
              <m:t>λ</m:t>
            </m:r>
          </m:e>
          <m:sub>
            <m:r>
              <m:t>v</m:t>
            </m:r>
          </m:sub>
        </m:sSub>
      </m:oMath>
      <w:r>
        <w:t xml:space="preserve"> </w:t>
      </w:r>
      <w:r>
        <w:t xml:space="preserve">katsayıları ağırlıkları ifade etmektedir. Bu çalışmada algoritmik karar mekanizmasını test etmek amacıyla CLS değerleri kontrollü senaryo parametresi olarak (0-100 aralığında) atanmıştır; biyometrik sensörlerden gerçek zamanlı çıkarım yapan kestirim modülünün eğitimi ve doğrulanması kapsam dışı bırakılmıştır.</w:t>
      </w:r>
    </w:p>
    <w:p>
      <w:pPr>
        <w:pStyle w:val="BodyText"/>
      </w:pPr>
      <w:r>
        <w:t xml:space="preserve">Dairesel ölçümleri önlemek adına, güzergahın sürücüye sunacağı</w:t>
      </w:r>
      <w:r>
        <w:t xml:space="preserve"> </w:t>
      </w:r>
      <w:r>
        <w:rPr>
          <w:i/>
          <w:iCs/>
        </w:rPr>
        <w:t xml:space="preserve">nesnel</w:t>
      </w:r>
      <w:r>
        <w:t xml:space="preserve"> </w:t>
      </w:r>
      <w:r>
        <w:t xml:space="preserve">sürüş konforu skoru (</w:t>
      </w:r>
      <m:oMath>
        <m:r>
          <m:t>K</m:t>
        </m:r>
        <m:r>
          <m:t>o</m:t>
        </m:r>
        <m:r>
          <m:t>n</m:t>
        </m:r>
        <m:r>
          <m:t>f</m:t>
        </m:r>
        <m:r>
          <m:t>o</m:t>
        </m:r>
        <m:sSub>
          <m:e>
            <m:r>
              <m:t>r</m:t>
            </m:r>
          </m:e>
          <m:sub>
            <m:r>
              <m:t>r</m:t>
            </m:r>
            <m:r>
              <m:t>o</m:t>
            </m:r>
            <m:r>
              <m:t>t</m:t>
            </m:r>
            <m:r>
              <m:t>a</m:t>
            </m:r>
          </m:sub>
        </m:sSub>
      </m:oMath>
      <w:r>
        <w:t xml:space="preserve">), bağımsız trafik metrikleri üzerinden aşağıdaki matematiksel bağıntı ile sayısallaştırılmaktadır:</w:t>
      </w:r>
    </w:p>
    <w:p>
      <w:pPr>
        <w:pStyle w:val="BodyText"/>
      </w:pPr>
      <m:oMathPara>
        <m:oMathParaPr>
          <m:jc m:val="center"/>
        </m:oMathParaPr>
        <m:oMath>
          <m:r>
            <m:t>K</m:t>
          </m:r>
          <m:r>
            <m:t>o</m:t>
          </m:r>
          <m:r>
            <m:t>n</m:t>
          </m:r>
          <m:r>
            <m:t>f</m:t>
          </m:r>
          <m:r>
            <m:t>o</m:t>
          </m:r>
          <m:sSub>
            <m:e>
              <m:r>
                <m:t>r</m:t>
              </m:r>
            </m:e>
            <m:sub>
              <m:r>
                <m:t>r</m:t>
              </m:r>
              <m:r>
                <m:t>o</m:t>
              </m:r>
              <m:r>
                <m:t>t</m:t>
              </m:r>
              <m:r>
                <m:t>a</m:t>
              </m:r>
            </m:sub>
          </m:sSub>
          <m:r>
            <m:rPr>
              <m:sty m:val="p"/>
            </m:rPr>
            <m:t>=</m:t>
          </m:r>
          <m:r>
            <m:t>100</m:t>
          </m:r>
          <m:r>
            <m:rPr>
              <m:sty m:val="p"/>
            </m:rPr>
            <m:t>−</m:t>
          </m:r>
          <m:r>
            <m:rPr>
              <m:sty m:val="p"/>
            </m:rPr>
            <m:t>(</m:t>
          </m:r>
          <m:sSub>
            <m:e>
              <m:r>
                <m:t>w</m:t>
              </m:r>
            </m:e>
            <m:sub>
              <m:r>
                <m:t>k</m:t>
              </m:r>
              <m:r>
                <m:t>a</m:t>
              </m:r>
              <m:r>
                <m:t>v</m:t>
              </m:r>
              <m:r>
                <m:t>s</m:t>
              </m:r>
              <m:r>
                <m:t>a</m:t>
              </m:r>
              <m:r>
                <m:t>k</m:t>
              </m:r>
            </m:sub>
          </m:sSub>
          <m:r>
            <m:rPr>
              <m:sty m:val="p"/>
            </m:rPr>
            <m:t>×</m:t>
          </m:r>
          <m:sSub>
            <m:e>
              <m:r>
                <m:t>N</m:t>
              </m:r>
            </m:e>
            <m:sub>
              <m:r>
                <m:t>k</m:t>
              </m:r>
              <m:r>
                <m:t>a</m:t>
              </m:r>
              <m:r>
                <m:t>v</m:t>
              </m:r>
              <m:r>
                <m:t>s</m:t>
              </m:r>
              <m:r>
                <m:t>a</m:t>
              </m:r>
              <m:r>
                <m:t>k</m:t>
              </m:r>
            </m:sub>
          </m:sSub>
          <m:r>
            <m:rPr>
              <m:sty m:val="p"/>
            </m:rPr>
            <m:t>+</m:t>
          </m:r>
          <m:sSub>
            <m:e>
              <m:r>
                <m:t>w</m:t>
              </m:r>
            </m:e>
            <m:sub>
              <m:r>
                <m:t>d</m:t>
              </m:r>
              <m:r>
                <m:t>u</m:t>
              </m:r>
              <m:r>
                <m:t>r</m:t>
              </m:r>
              <m:r>
                <m:t>a</m:t>
              </m:r>
              <m:r>
                <m:t>k</m:t>
              </m:r>
            </m:sub>
          </m:sSub>
          <m:r>
            <m:rPr>
              <m:sty m:val="p"/>
            </m:rPr>
            <m:t>×</m:t>
          </m:r>
          <m:sSub>
            <m:e>
              <m:r>
                <m:t>N</m:t>
              </m:r>
            </m:e>
            <m:sub>
              <m:r>
                <m:t>d</m:t>
              </m:r>
              <m:r>
                <m:t>u</m:t>
              </m:r>
              <m:r>
                <m:t>r</m:t>
              </m:r>
              <m:r>
                <m:t>a</m:t>
              </m:r>
              <m:r>
                <m:t>k</m:t>
              </m:r>
            </m:sub>
          </m:sSub>
          <m:r>
            <m:rPr>
              <m:sty m:val="p"/>
            </m:rPr>
            <m:t>+</m:t>
          </m:r>
          <m:sSub>
            <m:e>
              <m:r>
                <m:t>w</m:t>
              </m:r>
            </m:e>
            <m:sub>
              <m:r>
                <m:t>t</m:t>
              </m:r>
              <m:r>
                <m:t>r</m:t>
              </m:r>
              <m:r>
                <m:t>a</m:t>
              </m:r>
              <m:r>
                <m:t>f</m:t>
              </m:r>
              <m:r>
                <m:t>i</m:t>
              </m:r>
              <m:r>
                <m:t>k</m:t>
              </m:r>
            </m:sub>
          </m:sSub>
          <m:r>
            <m:rPr>
              <m:sty m:val="p"/>
            </m:rPr>
            <m:t>×</m:t>
          </m:r>
          <m:sSub>
            <m:e>
              <m:r>
                <m:t>D</m:t>
              </m:r>
            </m:e>
            <m:sub>
              <m:r>
                <m:t>t</m:t>
              </m:r>
              <m:r>
                <m:t>r</m:t>
              </m:r>
              <m:r>
                <m:t>a</m:t>
              </m:r>
              <m:r>
                <m:t>f</m:t>
              </m:r>
              <m:r>
                <m:t>i</m:t>
              </m:r>
              <m:r>
                <m:t>k</m:t>
              </m:r>
            </m:sub>
          </m:sSub>
          <m:r>
            <m:rPr>
              <m:sty m:val="p"/>
            </m:rPr>
            <m:t>)</m:t>
          </m:r>
          <m:r>
            <m:t> </m:t>
          </m:r>
          <m:r>
            <m:rPr>
              <m:sty m:val="p"/>
            </m:rPr>
            <m:t>(</m:t>
          </m:r>
          <m:r>
            <m:t>2</m:t>
          </m:r>
          <m:r>
            <m:rPr>
              <m:sty m:val="p"/>
            </m:rPr>
            <m:t>)</m:t>
          </m:r>
        </m:oMath>
      </m:oMathPara>
    </w:p>
    <w:p>
      <w:pPr>
        <w:pStyle w:val="FirstParagraph"/>
      </w:pPr>
      <w:r>
        <w:t xml:space="preserve">Burada</w:t>
      </w:r>
      <w:r>
        <w:t xml:space="preserve"> </w:t>
      </w:r>
      <m:oMath>
        <m:sSub>
          <m:e>
            <m:r>
              <m:t>N</m:t>
            </m:r>
          </m:e>
          <m:sub>
            <m:r>
              <m:t>k</m:t>
            </m:r>
            <m:r>
              <m:t>a</m:t>
            </m:r>
            <m:r>
              <m:t>v</m:t>
            </m:r>
            <m:r>
              <m:t>s</m:t>
            </m:r>
            <m:r>
              <m:t>a</m:t>
            </m:r>
            <m:r>
              <m:t>k</m:t>
            </m:r>
          </m:sub>
        </m:sSub>
      </m:oMath>
      <w:r>
        <w:t xml:space="preserve"> </w:t>
      </w:r>
      <w:r>
        <w:t xml:space="preserve">ve</w:t>
      </w:r>
      <w:r>
        <w:t xml:space="preserve"> </w:t>
      </w:r>
      <m:oMath>
        <m:sSub>
          <m:e>
            <m:r>
              <m:t>N</m:t>
            </m:r>
          </m:e>
          <m:sub>
            <m:r>
              <m:t>d</m:t>
            </m:r>
            <m:r>
              <m:t>u</m:t>
            </m:r>
            <m:r>
              <m:t>r</m:t>
            </m:r>
            <m:r>
              <m:t>a</m:t>
            </m:r>
            <m:r>
              <m:t>k</m:t>
            </m:r>
          </m:sub>
        </m:sSub>
      </m:oMath>
      <w:r>
        <w:t xml:space="preserve"> </w:t>
      </w:r>
      <w:r>
        <w:t xml:space="preserve">rotadaki sinyalize kavşak ve durak sayılarını,</w:t>
      </w:r>
      <w:r>
        <w:t xml:space="preserve"> </w:t>
      </w:r>
      <m:oMath>
        <m:sSub>
          <m:e>
            <m:r>
              <m:t>D</m:t>
            </m:r>
          </m:e>
          <m:sub>
            <m:r>
              <m:t>t</m:t>
            </m:r>
            <m:r>
              <m:t>r</m:t>
            </m:r>
            <m:r>
              <m:t>a</m:t>
            </m:r>
            <m:r>
              <m:t>f</m:t>
            </m:r>
            <m:r>
              <m:t>i</m:t>
            </m:r>
            <m:r>
              <m:t>k</m:t>
            </m:r>
          </m:sub>
        </m:sSub>
      </m:oMath>
      <w:r>
        <w:t xml:space="preserve"> </w:t>
      </w:r>
      <w:r>
        <w:t xml:space="preserve">ise normalize edilmiş trafik yoğunluğunu ifade etmektedir.</w:t>
      </w:r>
    </w:p>
    <w:bookmarkEnd w:id="13"/>
    <w:bookmarkStart w:id="14" w:name="kinetik-enerji-ve-şarj-dinamikleri"/>
    <w:p>
      <w:pPr>
        <w:pStyle w:val="Heading3"/>
      </w:pPr>
      <w:r>
        <w:t xml:space="preserve">2.2. Kinetik Enerji ve Şarj Dinamikleri</w:t>
      </w:r>
    </w:p>
    <w:p>
      <w:pPr>
        <w:pStyle w:val="FirstParagraph"/>
      </w:pPr>
      <w:r>
        <w:t xml:space="preserve">Rota adaylarının fizibilitesi test edilirken Batarya Şarj Durumu (SoC) aşılmaz bir kısıt olarak işleme alınmaktadır. Seyahat edilecek bir yol segmentinin toplam tahmini enerji sarfiyatı (</w:t>
      </w:r>
      <m:oMath>
        <m:sSub>
          <m:e>
            <m:r>
              <m:t>E</m:t>
            </m:r>
          </m:e>
          <m:sub>
            <m:r>
              <m:t>t</m:t>
            </m:r>
            <m:r>
              <m:t>o</m:t>
            </m:r>
            <m:r>
              <m:t>p</m:t>
            </m:r>
            <m:r>
              <m:t>l</m:t>
            </m:r>
            <m:r>
              <m:t>a</m:t>
            </m:r>
            <m:r>
              <m:t>m</m:t>
            </m:r>
          </m:sub>
        </m:sSub>
      </m:oMath>
      <w:r>
        <w:t xml:space="preserve">), aerodinamik sürüklenme, zeminden kaynaklı yuvarlanma direnci, anlık ivmelenme ve yardımcı sistemlerin harcadığı gücün toplanmasıyla elde edilir [10], [11]:</w:t>
      </w:r>
    </w:p>
    <w:p>
      <w:pPr>
        <w:pStyle w:val="BodyText"/>
      </w:pPr>
      <m:oMathPara>
        <m:oMathParaPr>
          <m:jc m:val="center"/>
        </m:oMathParaPr>
        <m:oMath>
          <m:sSub>
            <m:e>
              <m:r>
                <m:t>E</m:t>
              </m:r>
            </m:e>
            <m:sub>
              <m:r>
                <m:t>t</m:t>
              </m:r>
              <m:r>
                <m:t>o</m:t>
              </m:r>
              <m:r>
                <m:t>p</m:t>
              </m:r>
              <m:r>
                <m:t>l</m:t>
              </m:r>
              <m:r>
                <m:t>a</m:t>
              </m:r>
              <m:r>
                <m:t>m</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E</m:t>
              </m:r>
            </m:e>
            <m:sub>
              <m:r>
                <m:t>a</m:t>
              </m:r>
              <m:r>
                <m:t>e</m:t>
              </m:r>
              <m:r>
                <m:t>r</m:t>
              </m:r>
              <m:r>
                <m:t>o</m:t>
              </m:r>
              <m:r>
                <m:rPr>
                  <m:sty m:val="p"/>
                </m:rPr>
                <m:t>,</m:t>
              </m:r>
              <m:r>
                <m:t>i</m:t>
              </m:r>
            </m:sub>
          </m:sSub>
          <m:r>
            <m:rPr>
              <m:sty m:val="p"/>
            </m:rPr>
            <m:t>+</m:t>
          </m:r>
          <m:sSub>
            <m:e>
              <m:r>
                <m:t>E</m:t>
              </m:r>
            </m:e>
            <m:sub>
              <m:r>
                <m:t>y</m:t>
              </m:r>
              <m:r>
                <m:t>u</m:t>
              </m:r>
              <m:r>
                <m:t>v</m:t>
              </m:r>
              <m:r>
                <m:t>a</m:t>
              </m:r>
              <m:r>
                <m:t>r</m:t>
              </m:r>
              <m:r>
                <m:t>l</m:t>
              </m:r>
              <m:r>
                <m:t>a</m:t>
              </m:r>
              <m:r>
                <m:t>n</m:t>
              </m:r>
              <m:r>
                <m:t>m</m:t>
              </m:r>
              <m:r>
                <m:t>a</m:t>
              </m:r>
              <m:r>
                <m:rPr>
                  <m:sty m:val="p"/>
                </m:rPr>
                <m:t>,</m:t>
              </m:r>
              <m:r>
                <m:t>i</m:t>
              </m:r>
            </m:sub>
          </m:sSub>
          <m:r>
            <m:rPr>
              <m:sty m:val="p"/>
            </m:rPr>
            <m:t>+</m:t>
          </m:r>
          <m:sSub>
            <m:e>
              <m:r>
                <m:t>E</m:t>
              </m:r>
            </m:e>
            <m:sub>
              <m:r>
                <m:t>i</m:t>
              </m:r>
              <m:r>
                <m:t>v</m:t>
              </m:r>
              <m:r>
                <m:t>m</m:t>
              </m:r>
              <m:r>
                <m:t>e</m:t>
              </m:r>
              <m:r>
                <m:rPr>
                  <m:sty m:val="p"/>
                </m:rPr>
                <m:t>,</m:t>
              </m:r>
              <m:r>
                <m:t>i</m:t>
              </m:r>
            </m:sub>
          </m:sSub>
          <m:r>
            <m:rPr>
              <m:sty m:val="p"/>
            </m:rPr>
            <m:t>+</m:t>
          </m:r>
          <m:sSub>
            <m:e>
              <m:r>
                <m:t>E</m:t>
              </m:r>
            </m:e>
            <m:sub>
              <m:r>
                <m:t>y</m:t>
              </m:r>
              <m:r>
                <m:t>a</m:t>
              </m:r>
              <m:r>
                <m:t>r</m:t>
              </m:r>
              <m:r>
                <m:t>d</m:t>
              </m:r>
              <m:r>
                <m:t>i</m:t>
              </m:r>
              <m:r>
                <m:t>m</m:t>
              </m:r>
              <m:r>
                <m:t>c</m:t>
              </m:r>
              <m:r>
                <m:t>i</m:t>
              </m:r>
              <m:r>
                <m:rPr>
                  <m:sty m:val="p"/>
                </m:rPr>
                <m:t>,</m:t>
              </m:r>
              <m:r>
                <m:t>i</m:t>
              </m:r>
            </m:sub>
          </m:sSub>
          <m:r>
            <m:rPr>
              <m:sty m:val="p"/>
            </m:rPr>
            <m:t>)</m:t>
          </m:r>
          <m:r>
            <m:t> </m:t>
          </m:r>
          <m:r>
            <m:rPr>
              <m:sty m:val="p"/>
            </m:rPr>
            <m:t>(</m:t>
          </m:r>
          <m:r>
            <m:t>3</m:t>
          </m:r>
          <m:r>
            <m:rPr>
              <m:sty m:val="p"/>
            </m:rPr>
            <m:t>)</m:t>
          </m:r>
        </m:oMath>
      </m:oMathPara>
    </w:p>
    <w:p>
      <w:pPr>
        <w:pStyle w:val="FirstParagraph"/>
      </w:pPr>
      <w:r>
        <w:t xml:space="preserve">Burada</w:t>
      </w:r>
      <w:r>
        <w:t xml:space="preserve"> </w:t>
      </w:r>
      <m:oMath>
        <m:r>
          <m:t>n</m:t>
        </m:r>
      </m:oMath>
      <w:r>
        <w:t xml:space="preserve"> </w:t>
      </w:r>
      <w:r>
        <w:t xml:space="preserve">rota üzerindeki toplam segment sayısını ifade etmektedir. Kinetik alt bileşenler, standart fiziksel modellere göre aşağıdaki şekilde formüle edilmiştir:</w:t>
      </w:r>
      <w:r>
        <w:t xml:space="preserve"> </w:t>
      </w:r>
      <w:r>
        <w:t xml:space="preserve">- Aerodinamik sürüklenme:</w:t>
      </w:r>
      <w:r>
        <w:t xml:space="preserve"> </w:t>
      </w:r>
      <m:oMath>
        <m:sSub>
          <m:e>
            <m:r>
              <m:t>E</m:t>
            </m:r>
          </m:e>
          <m:sub>
            <m:r>
              <m:t>a</m:t>
            </m:r>
            <m:r>
              <m:t>e</m:t>
            </m:r>
            <m:r>
              <m:t>r</m:t>
            </m:r>
            <m:r>
              <m:t>o</m:t>
            </m:r>
            <m:r>
              <m:rPr>
                <m:sty m:val="p"/>
              </m:rPr>
              <m:t>,</m:t>
            </m:r>
            <m:r>
              <m:t>i</m:t>
            </m:r>
          </m:sub>
        </m:sSub>
        <m:r>
          <m:rPr>
            <m:sty m:val="p"/>
          </m:rPr>
          <m:t>=</m:t>
        </m:r>
        <m:f>
          <m:fPr>
            <m:type m:val="bar"/>
          </m:fPr>
          <m:num>
            <m:r>
              <m:t>1</m:t>
            </m:r>
          </m:num>
          <m:den>
            <m:r>
              <m:t>2</m:t>
            </m:r>
          </m:den>
        </m:f>
        <m:r>
          <m:t>ρ</m:t>
        </m:r>
        <m:sSub>
          <m:e>
            <m:r>
              <m:t>C</m:t>
            </m:r>
          </m:e>
          <m:sub>
            <m:r>
              <m:t>d</m:t>
            </m:r>
          </m:sub>
        </m:sSub>
        <m:r>
          <m:t>A</m:t>
        </m:r>
        <m:sSubSup>
          <m:e>
            <m:r>
              <m:t>v</m:t>
            </m:r>
          </m:e>
          <m:sub>
            <m:r>
              <m:t>i</m:t>
            </m:r>
          </m:sub>
          <m:sup>
            <m:r>
              <m:t>2</m:t>
            </m:r>
          </m:sup>
        </m:sSubSup>
        <m:sSub>
          <m:e>
            <m:r>
              <m:t>d</m:t>
            </m:r>
          </m:e>
          <m:sub>
            <m:r>
              <m:t>i</m:t>
            </m:r>
          </m:sub>
        </m:sSub>
      </m:oMath>
      <w:r>
        <w:t xml:space="preserve"> </w:t>
      </w:r>
      <w:r>
        <w:t xml:space="preserve">- Yuvarlanma direnci:</w:t>
      </w:r>
      <w:r>
        <w:t xml:space="preserve"> </w:t>
      </w:r>
      <m:oMath>
        <m:sSub>
          <m:e>
            <m:r>
              <m:t>E</m:t>
            </m:r>
          </m:e>
          <m:sub>
            <m:r>
              <m:t>y</m:t>
            </m:r>
            <m:r>
              <m:t>u</m:t>
            </m:r>
            <m:r>
              <m:t>v</m:t>
            </m:r>
            <m:r>
              <m:t>a</m:t>
            </m:r>
            <m:r>
              <m:t>r</m:t>
            </m:r>
            <m:r>
              <m:t>l</m:t>
            </m:r>
            <m:r>
              <m:t>a</m:t>
            </m:r>
            <m:r>
              <m:t>n</m:t>
            </m:r>
            <m:r>
              <m:t>m</m:t>
            </m:r>
            <m:r>
              <m:t>a</m:t>
            </m:r>
            <m:r>
              <m:rPr>
                <m:sty m:val="p"/>
              </m:rPr>
              <m:t>,</m:t>
            </m:r>
            <m:r>
              <m:t>i</m:t>
            </m:r>
          </m:sub>
        </m:sSub>
        <m:r>
          <m:rPr>
            <m:sty m:val="p"/>
          </m:rPr>
          <m:t>=</m:t>
        </m:r>
        <m:sSub>
          <m:e>
            <m:r>
              <m:t>C</m:t>
            </m:r>
          </m:e>
          <m:sub>
            <m:r>
              <m:t>r</m:t>
            </m:r>
          </m:sub>
        </m:sSub>
        <m:r>
          <m:t>m</m:t>
        </m:r>
        <m:r>
          <m:t>g</m:t>
        </m:r>
        <m:r>
          <m:rPr>
            <m:sty m:val="p"/>
          </m:rPr>
          <m:t>cos</m:t>
        </m:r>
        <m:r>
          <m:rPr>
            <m:sty m:val="p"/>
          </m:rPr>
          <m:t>(</m:t>
        </m:r>
        <m:sSub>
          <m:e>
            <m:r>
              <m:t>α</m:t>
            </m:r>
          </m:e>
          <m:sub>
            <m:r>
              <m:t>i</m:t>
            </m:r>
          </m:sub>
        </m:sSub>
        <m:r>
          <m:rPr>
            <m:sty m:val="p"/>
          </m:rPr>
          <m:t>)</m:t>
        </m:r>
        <m:sSub>
          <m:e>
            <m:r>
              <m:t>d</m:t>
            </m:r>
          </m:e>
          <m:sub>
            <m:r>
              <m:t>i</m:t>
            </m:r>
          </m:sub>
        </m:sSub>
      </m:oMath>
      <w:r>
        <w:t xml:space="preserve"> </w:t>
      </w:r>
      <w:r>
        <w:t xml:space="preserve">- İvmelenme enerjisi:</w:t>
      </w:r>
      <w:r>
        <w:t xml:space="preserve"> </w:t>
      </w:r>
      <m:oMath>
        <m:sSub>
          <m:e>
            <m:r>
              <m:t>E</m:t>
            </m:r>
          </m:e>
          <m:sub>
            <m:r>
              <m:t>i</m:t>
            </m:r>
            <m:r>
              <m:t>v</m:t>
            </m:r>
            <m:r>
              <m:t>m</m:t>
            </m:r>
            <m:r>
              <m:t>e</m:t>
            </m:r>
            <m:r>
              <m:rPr>
                <m:sty m:val="p"/>
              </m:rPr>
              <m:t>,</m:t>
            </m:r>
            <m:r>
              <m:t>i</m:t>
            </m:r>
          </m:sub>
        </m:sSub>
        <m:r>
          <m:rPr>
            <m:sty m:val="p"/>
          </m:rPr>
          <m:t>=</m:t>
        </m:r>
        <m:r>
          <m:t>m</m:t>
        </m:r>
        <m:sSub>
          <m:e>
            <m:r>
              <m:t>a</m:t>
            </m:r>
          </m:e>
          <m:sub>
            <m:r>
              <m:t>i</m:t>
            </m:r>
          </m:sub>
        </m:sSub>
        <m:sSub>
          <m:e>
            <m:r>
              <m:t>d</m:t>
            </m:r>
          </m:e>
          <m:sub>
            <m:r>
              <m:t>i</m:t>
            </m:r>
          </m:sub>
        </m:sSub>
      </m:oMath>
      <w:r>
        <w:t xml:space="preserve"> </w:t>
      </w:r>
      <w:r>
        <w:t xml:space="preserve">- Yardımcı sistemler:</w:t>
      </w:r>
      <w:r>
        <w:t xml:space="preserve"> </w:t>
      </w:r>
      <m:oMath>
        <m:sSub>
          <m:e>
            <m:r>
              <m:t>E</m:t>
            </m:r>
          </m:e>
          <m:sub>
            <m:r>
              <m:t>y</m:t>
            </m:r>
            <m:r>
              <m:t>a</m:t>
            </m:r>
            <m:r>
              <m:t>r</m:t>
            </m:r>
            <m:r>
              <m:t>d</m:t>
            </m:r>
            <m:r>
              <m:t>i</m:t>
            </m:r>
            <m:r>
              <m:t>m</m:t>
            </m:r>
            <m:r>
              <m:t>c</m:t>
            </m:r>
            <m:r>
              <m:t>i</m:t>
            </m:r>
            <m:r>
              <m:rPr>
                <m:sty m:val="p"/>
              </m:rPr>
              <m:t>,</m:t>
            </m:r>
            <m:r>
              <m:t>i</m:t>
            </m:r>
          </m:sub>
        </m:sSub>
        <m:r>
          <m:rPr>
            <m:sty m:val="p"/>
          </m:rPr>
          <m:t>=</m:t>
        </m:r>
        <m:f>
          <m:fPr>
            <m:type m:val="bar"/>
          </m:fPr>
          <m:num>
            <m:sSub>
              <m:e>
                <m:r>
                  <m:t>P</m:t>
                </m:r>
              </m:e>
              <m:sub>
                <m:r>
                  <m:t>y</m:t>
                </m:r>
                <m:r>
                  <m:t>a</m:t>
                </m:r>
                <m:r>
                  <m:t>r</m:t>
                </m:r>
                <m:r>
                  <m:t>d</m:t>
                </m:r>
                <m:r>
                  <m:t>i</m:t>
                </m:r>
                <m:r>
                  <m:t>m</m:t>
                </m:r>
                <m:r>
                  <m:t>c</m:t>
                </m:r>
                <m:r>
                  <m:t>i</m:t>
                </m:r>
              </m:sub>
            </m:sSub>
          </m:num>
          <m:den>
            <m:sSub>
              <m:e>
                <m:r>
                  <m:t>v</m:t>
                </m:r>
              </m:e>
              <m:sub>
                <m:r>
                  <m:t>i</m:t>
                </m:r>
              </m:sub>
            </m:sSub>
          </m:den>
        </m:f>
        <m:sSub>
          <m:e>
            <m:r>
              <m:t>d</m:t>
            </m:r>
          </m:e>
          <m:sub>
            <m:r>
              <m:t>i</m:t>
            </m:r>
          </m:sub>
        </m:sSub>
      </m:oMath>
    </w:p>
    <w:p>
      <w:pPr>
        <w:pStyle w:val="BodyText"/>
      </w:pPr>
      <w:r>
        <w:t xml:space="preserve">Eğer algoritma, seçilen rota dizilimi sonunda batarya seviyesinin güvenlik eşiğinin (</w:t>
      </w:r>
      <m:oMath>
        <m:r>
          <m:t>S</m:t>
        </m:r>
        <m:r>
          <m:t>o</m:t>
        </m:r>
        <m:sSub>
          <m:e>
            <m:r>
              <m:t>C</m:t>
            </m:r>
          </m:e>
          <m:sub>
            <m:r>
              <m:t>m</m:t>
            </m:r>
            <m:r>
              <m:t>i</m:t>
            </m:r>
            <m:r>
              <m:t>n</m:t>
            </m:r>
          </m:sub>
        </m:sSub>
      </m:oMath>
      <w:r>
        <w:t xml:space="preserve">) altına düşeceğini öngörürse, sistem otomatik bir müdahale ile güzergah üzerindeki uygun şarj istasyonlarını rotaya dahil eder:</w:t>
      </w:r>
    </w:p>
    <w:p>
      <w:pPr>
        <w:pStyle w:val="BodyText"/>
      </w:pPr>
      <m:oMathPara>
        <m:oMathParaPr>
          <m:jc m:val="center"/>
        </m:oMathParaPr>
        <m:oMath>
          <m:r>
            <m:t>S</m:t>
          </m:r>
          <m:r>
            <m:t>o</m:t>
          </m:r>
          <m:sSub>
            <m:e>
              <m:r>
                <m:t>C</m:t>
              </m:r>
            </m:e>
            <m:sub>
              <m:r>
                <m:t>s</m:t>
              </m:r>
              <m:r>
                <m:t>o</m:t>
              </m:r>
              <m:r>
                <m:t>n</m:t>
              </m:r>
            </m:sub>
          </m:sSub>
          <m:r>
            <m:rPr>
              <m:sty m:val="p"/>
            </m:rPr>
            <m:t>=</m:t>
          </m:r>
          <m:r>
            <m:t>S</m:t>
          </m:r>
          <m:r>
            <m:t>o</m:t>
          </m:r>
          <m:sSub>
            <m:e>
              <m:r>
                <m:t>C</m:t>
              </m:r>
            </m:e>
            <m:sub>
              <m:r>
                <m:t>i</m:t>
              </m:r>
              <m:r>
                <m:t>l</m:t>
              </m:r>
              <m:r>
                <m:t>k</m:t>
              </m:r>
            </m:sub>
          </m:sSub>
          <m:r>
            <m:rPr>
              <m:sty m:val="p"/>
            </m:rPr>
            <m:t>−</m:t>
          </m:r>
          <m:f>
            <m:fPr>
              <m:type m:val="bar"/>
            </m:fPr>
            <m:num>
              <m:nary>
                <m:naryPr>
                  <m:chr m:val="∑"/>
                  <m:limLoc m:val="undOvr"/>
                  <m:subHide m:val="off"/>
                  <m:supHide m:val="off"/>
                </m:naryPr>
                <m:sub>
                  <m:r>
                    <m:t>j</m:t>
                  </m:r>
                  <m:r>
                    <m:rPr>
                      <m:sty m:val="p"/>
                    </m:rPr>
                    <m:t>=</m:t>
                  </m:r>
                  <m:r>
                    <m:t>1</m:t>
                  </m:r>
                </m:sub>
                <m:sup>
                  <m:r>
                    <m:t>k</m:t>
                  </m:r>
                </m:sup>
                <m:e>
                  <m:sSub>
                    <m:e>
                      <m:r>
                        <m:t>E</m:t>
                      </m:r>
                    </m:e>
                    <m:sub>
                      <m:r>
                        <m:t>j</m:t>
                      </m:r>
                    </m:sub>
                  </m:sSub>
                </m:e>
              </m:nary>
            </m:num>
            <m:den>
              <m:sSub>
                <m:e>
                  <m:r>
                    <m:t>C</m:t>
                  </m:r>
                </m:e>
                <m:sub>
                  <m:r>
                    <m:t>b</m:t>
                  </m:r>
                  <m:r>
                    <m:t>a</m:t>
                  </m:r>
                  <m:r>
                    <m:t>t</m:t>
                  </m:r>
                  <m:r>
                    <m:t>a</m:t>
                  </m:r>
                  <m:r>
                    <m:t>r</m:t>
                  </m:r>
                  <m:r>
                    <m:t>y</m:t>
                  </m:r>
                  <m:r>
                    <m:t>a</m:t>
                  </m:r>
                </m:sub>
              </m:sSub>
            </m:den>
          </m:f>
          <m:r>
            <m:rPr>
              <m:sty m:val="p"/>
            </m:rPr>
            <m:t>+</m:t>
          </m:r>
          <m:nary>
            <m:naryPr>
              <m:chr m:val="∑"/>
              <m:limLoc m:val="undOvr"/>
              <m:subHide m:val="off"/>
              <m:supHide m:val="on"/>
            </m:naryPr>
            <m:sub>
              <m:r>
                <m:t>c</m:t>
              </m:r>
              <m:r>
                <m:rPr>
                  <m:sty m:val="p"/>
                </m:rPr>
                <m:t>∈</m:t>
              </m:r>
              <m:sSub>
                <m:e>
                  <m:r>
                    <m:t>C</m:t>
                  </m:r>
                </m:e>
                <m:sub>
                  <m:r>
                    <m:t>d</m:t>
                  </m:r>
                  <m:r>
                    <m:t>u</m:t>
                  </m:r>
                  <m:r>
                    <m:t>r</m:t>
                  </m:r>
                  <m:r>
                    <m:t>a</m:t>
                  </m:r>
                  <m:r>
                    <m:t>k</m:t>
                  </m:r>
                  <m:r>
                    <m:t>l</m:t>
                  </m:r>
                  <m:r>
                    <m:t>a</m:t>
                  </m:r>
                  <m:r>
                    <m:t>r</m:t>
                  </m:r>
                </m:sub>
              </m:sSub>
            </m:sub>
            <m:sup>
              <m:r>
                <m:t>​</m:t>
              </m:r>
            </m:sup>
            <m:e>
              <m:r>
                <m:rPr>
                  <m:sty m:val="p"/>
                </m:rPr>
                <m:t>Δ</m:t>
              </m:r>
            </m:e>
          </m:nary>
          <m:r>
            <m:t>S</m:t>
          </m:r>
          <m:r>
            <m:t>o</m:t>
          </m:r>
          <m:sSub>
            <m:e>
              <m:r>
                <m:t>C</m:t>
              </m:r>
            </m:e>
            <m:sub>
              <m:r>
                <m:t>c</m:t>
              </m:r>
            </m:sub>
          </m:sSub>
          <m:r>
            <m:t> </m:t>
          </m:r>
          <m:r>
            <m:rPr>
              <m:sty m:val="p"/>
            </m:rPr>
            <m:t>(</m:t>
          </m:r>
          <m:r>
            <m:t>4</m:t>
          </m:r>
          <m:r>
            <m:rPr>
              <m:sty m:val="p"/>
            </m:rPr>
            <m:t>)</m:t>
          </m:r>
        </m:oMath>
      </m:oMathPara>
    </w:p>
    <w:p>
      <w:pPr>
        <w:pStyle w:val="FirstParagraph"/>
      </w:pPr>
      <w:r>
        <w:t xml:space="preserve">Burada</w:t>
      </w:r>
      <w:r>
        <w:t xml:space="preserve"> </w:t>
      </w:r>
      <m:oMath>
        <m:r>
          <m:t>S</m:t>
        </m:r>
        <m:r>
          <m:t>o</m:t>
        </m:r>
        <m:sSub>
          <m:e>
            <m:r>
              <m:t>C</m:t>
            </m:r>
          </m:e>
          <m:sub>
            <m:r>
              <m:t>i</m:t>
            </m:r>
            <m:r>
              <m:t>l</m:t>
            </m:r>
            <m:r>
              <m:t>k</m:t>
            </m:r>
          </m:sub>
        </m:sSub>
      </m:oMath>
      <w:r>
        <w:t xml:space="preserve"> </w:t>
      </w:r>
      <w:r>
        <w:t xml:space="preserve">başlangıç şarj seviyesini,</w:t>
      </w:r>
      <w:r>
        <w:t xml:space="preserve"> </w:t>
      </w:r>
      <m:oMath>
        <m:sSub>
          <m:e>
            <m:r>
              <m:t>C</m:t>
            </m:r>
          </m:e>
          <m:sub>
            <m:r>
              <m:t>b</m:t>
            </m:r>
            <m:r>
              <m:t>a</m:t>
            </m:r>
            <m:r>
              <m:t>t</m:t>
            </m:r>
            <m:r>
              <m:t>a</m:t>
            </m:r>
            <m:r>
              <m:t>r</m:t>
            </m:r>
            <m:r>
              <m:t>y</m:t>
            </m:r>
            <m:r>
              <m:t>a</m:t>
            </m:r>
          </m:sub>
        </m:sSub>
      </m:oMath>
      <w:r>
        <w:t xml:space="preserve"> </w:t>
      </w:r>
      <w:r>
        <w:t xml:space="preserve">batarya kapasitesini,</w:t>
      </w:r>
      <w:r>
        <w:t xml:space="preserve"> </w:t>
      </w:r>
      <m:oMath>
        <m:sSub>
          <m:e>
            <m:r>
              <m:t>C</m:t>
            </m:r>
          </m:e>
          <m:sub>
            <m:r>
              <m:t>d</m:t>
            </m:r>
            <m:r>
              <m:t>u</m:t>
            </m:r>
            <m:r>
              <m:t>r</m:t>
            </m:r>
            <m:r>
              <m:t>a</m:t>
            </m:r>
            <m:r>
              <m:t>k</m:t>
            </m:r>
            <m:r>
              <m:t>l</m:t>
            </m:r>
            <m:r>
              <m:t>a</m:t>
            </m:r>
            <m:r>
              <m:t>r</m:t>
            </m:r>
          </m:sub>
        </m:sSub>
      </m:oMath>
      <w:r>
        <w:t xml:space="preserve"> </w:t>
      </w:r>
      <w:r>
        <w:t xml:space="preserve">şarj duraklarının kümesini ve</w:t>
      </w:r>
      <w:r>
        <w:t xml:space="preserve"> </w:t>
      </w:r>
      <m:oMath>
        <m:r>
          <m:rPr>
            <m:sty m:val="p"/>
          </m:rPr>
          <m:t>Δ</m:t>
        </m:r>
        <m:r>
          <m:t>S</m:t>
        </m:r>
        <m:r>
          <m:t>o</m:t>
        </m:r>
        <m:sSub>
          <m:e>
            <m:r>
              <m:t>C</m:t>
            </m:r>
          </m:e>
          <m:sub>
            <m:r>
              <m:t>c</m:t>
            </m:r>
          </m:sub>
        </m:sSub>
      </m:oMath>
      <w:r>
        <w:t xml:space="preserve"> </w:t>
      </w:r>
      <w:r>
        <w:t xml:space="preserve">c. durakta kazanılan şarj miktarını ifade etmektedir. İstasyonlarda geçirilecek gecikme süresi (</w:t>
      </w:r>
      <m:oMath>
        <m:r>
          <m:rPr>
            <m:sty m:val="p"/>
          </m:rPr>
          <m:t>Δ</m:t>
        </m:r>
        <m:sSub>
          <m:e>
            <m:r>
              <m:t>t</m:t>
            </m:r>
          </m:e>
          <m:sub>
            <m:r>
              <m:t>s</m:t>
            </m:r>
            <m:r>
              <m:t>a</m:t>
            </m:r>
            <m:r>
              <m:t>r</m:t>
            </m:r>
            <m:r>
              <m:t>j</m:t>
            </m:r>
          </m:sub>
        </m:sSub>
      </m:oMath>
      <w:r>
        <w:t xml:space="preserve">) ise hedef şarj seviyesine (</w:t>
      </w:r>
      <m:oMath>
        <m:r>
          <m:t>S</m:t>
        </m:r>
        <m:r>
          <m:t>o</m:t>
        </m:r>
        <m:sSub>
          <m:e>
            <m:r>
              <m:t>C</m:t>
            </m:r>
          </m:e>
          <m:sub>
            <m:r>
              <m:t>h</m:t>
            </m:r>
            <m:r>
              <m:t>e</m:t>
            </m:r>
            <m:r>
              <m:t>d</m:t>
            </m:r>
            <m:r>
              <m:t>e</m:t>
            </m:r>
            <m:r>
              <m:t>f</m:t>
            </m:r>
          </m:sub>
        </m:sSub>
      </m:oMath>
      <w:r>
        <w:t xml:space="preserve">) ulaşmak için gereken enerjiye bağlıdır:</w:t>
      </w:r>
    </w:p>
    <w:p>
      <w:pPr>
        <w:pStyle w:val="BodyText"/>
      </w:pPr>
      <m:oMathPara>
        <m:oMathParaPr>
          <m:jc m:val="center"/>
        </m:oMathParaPr>
        <m:oMath>
          <m:r>
            <m:rPr>
              <m:sty m:val="p"/>
            </m:rPr>
            <m:t>Δ</m:t>
          </m:r>
          <m:sSub>
            <m:e>
              <m:r>
                <m:t>t</m:t>
              </m:r>
            </m:e>
            <m:sub>
              <m:r>
                <m:t>s</m:t>
              </m:r>
              <m:r>
                <m:t>a</m:t>
              </m:r>
              <m:r>
                <m:t>r</m:t>
              </m:r>
              <m:r>
                <m:t>j</m:t>
              </m:r>
            </m:sub>
          </m:sSub>
          <m:r>
            <m:rPr>
              <m:sty m:val="p"/>
            </m:rPr>
            <m:t>=</m:t>
          </m:r>
          <m:f>
            <m:fPr>
              <m:type m:val="bar"/>
            </m:fPr>
            <m:num>
              <m:r>
                <m:rPr>
                  <m:sty m:val="p"/>
                </m:rPr>
                <m:t>(</m:t>
              </m:r>
              <m:r>
                <m:t>S</m:t>
              </m:r>
              <m:r>
                <m:t>o</m:t>
              </m:r>
              <m:sSub>
                <m:e>
                  <m:r>
                    <m:t>C</m:t>
                  </m:r>
                </m:e>
                <m:sub>
                  <m:r>
                    <m:t>h</m:t>
                  </m:r>
                  <m:r>
                    <m:t>e</m:t>
                  </m:r>
                  <m:r>
                    <m:t>d</m:t>
                  </m:r>
                  <m:r>
                    <m:t>e</m:t>
                  </m:r>
                  <m:r>
                    <m:t>f</m:t>
                  </m:r>
                </m:sub>
              </m:sSub>
              <m:r>
                <m:rPr>
                  <m:sty m:val="p"/>
                </m:rPr>
                <m:t>−</m:t>
              </m:r>
              <m:r>
                <m:t>S</m:t>
              </m:r>
              <m:r>
                <m:t>o</m:t>
              </m:r>
              <m:sSub>
                <m:e>
                  <m:r>
                    <m:t>C</m:t>
                  </m:r>
                </m:e>
                <m:sub>
                  <m:r>
                    <m:t>a</m:t>
                  </m:r>
                  <m:r>
                    <m:t>n</m:t>
                  </m:r>
                  <m:r>
                    <m:t>l</m:t>
                  </m:r>
                  <m:r>
                    <m:t>i</m:t>
                  </m:r>
                  <m:r>
                    <m:t>k</m:t>
                  </m:r>
                </m:sub>
              </m:sSub>
              <m:r>
                <m:rPr>
                  <m:sty m:val="p"/>
                </m:rPr>
                <m:t>)</m:t>
              </m:r>
              <m:r>
                <m:rPr>
                  <m:sty m:val="p"/>
                </m:rPr>
                <m:t>×</m:t>
              </m:r>
              <m:sSub>
                <m:e>
                  <m:r>
                    <m:t>C</m:t>
                  </m:r>
                </m:e>
                <m:sub>
                  <m:r>
                    <m:t>b</m:t>
                  </m:r>
                  <m:r>
                    <m:t>a</m:t>
                  </m:r>
                  <m:r>
                    <m:t>t</m:t>
                  </m:r>
                  <m:r>
                    <m:t>a</m:t>
                  </m:r>
                  <m:r>
                    <m:t>r</m:t>
                  </m:r>
                  <m:r>
                    <m:t>y</m:t>
                  </m:r>
                  <m:r>
                    <m:t>a</m:t>
                  </m:r>
                </m:sub>
              </m:sSub>
            </m:num>
            <m:den>
              <m:sSub>
                <m:e>
                  <m:r>
                    <m:t>P</m:t>
                  </m:r>
                </m:e>
                <m:sub>
                  <m:r>
                    <m:t>s</m:t>
                  </m:r>
                  <m:r>
                    <m:t>a</m:t>
                  </m:r>
                  <m:r>
                    <m:t>r</m:t>
                  </m:r>
                  <m:r>
                    <m:t>j</m:t>
                  </m:r>
                </m:sub>
              </m:sSub>
            </m:den>
          </m:f>
          <m:r>
            <m:t> </m:t>
          </m:r>
          <m:r>
            <m:rPr>
              <m:sty m:val="p"/>
            </m:rPr>
            <m:t>(</m:t>
          </m:r>
          <m:r>
            <m:t>5</m:t>
          </m:r>
          <m:r>
            <m:rPr>
              <m:sty m:val="p"/>
            </m:rPr>
            <m:t>)</m:t>
          </m:r>
        </m:oMath>
      </m:oMathPara>
    </w:p>
    <w:p>
      <w:pPr>
        <w:pStyle w:val="FirstParagraph"/>
      </w:pPr>
      <w:r>
        <w:t xml:space="preserve">Kullanılan sistem ve araç parametreleri Tablo 1’de sunulmuştur.</w:t>
      </w:r>
    </w:p>
    <w:p>
      <w:pPr>
        <w:pStyle w:val="BodyText"/>
      </w:pPr>
      <w:r>
        <w:rPr>
          <w:b/>
          <w:bCs/>
        </w:rPr>
        <w:t xml:space="preserve">Tablo 1: Simülasyon ve Sistem Parametreleri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Parametre</w:t>
            </w:r>
          </w:p>
        </w:tc>
        <w:tc>
          <w:tcPr/>
          <w:p>
            <w:pPr>
              <w:pStyle w:val="Compact"/>
              <w:jc w:val="left"/>
            </w:pPr>
            <w:r>
              <w:t xml:space="preserve">Değer / Açıklama</w:t>
            </w:r>
          </w:p>
        </w:tc>
      </w:tr>
      <w:tr>
        <w:tc>
          <w:tcPr/>
          <w:p>
            <w:pPr>
              <w:pStyle w:val="Compact"/>
              <w:jc w:val="left"/>
            </w:pPr>
            <w:r>
              <w:t xml:space="preserve">Araç Tipi</w:t>
            </w:r>
          </w:p>
        </w:tc>
        <w:tc>
          <w:tcPr/>
          <w:p>
            <w:pPr>
              <w:pStyle w:val="Compact"/>
              <w:jc w:val="left"/>
            </w:pPr>
            <w:r>
              <w:t xml:space="preserve">Tesla Model 3 Standart Range</w:t>
            </w:r>
          </w:p>
        </w:tc>
      </w:tr>
      <w:tr>
        <w:tc>
          <w:tcPr/>
          <w:p>
            <w:pPr>
              <w:pStyle w:val="Compact"/>
              <w:jc w:val="left"/>
            </w:pPr>
            <w:r>
              <w:t xml:space="preserve">Sürüklenme Katsayısı (</w:t>
            </w:r>
            <m:oMath>
              <m:sSub>
                <m:e>
                  <m:r>
                    <m:t>C</m:t>
                  </m:r>
                </m:e>
                <m:sub>
                  <m:r>
                    <m:t>d</m:t>
                  </m:r>
                </m:sub>
              </m:sSub>
            </m:oMath>
            <w:r>
              <w:t xml:space="preserve">)</w:t>
            </w:r>
          </w:p>
        </w:tc>
        <w:tc>
          <w:tcPr/>
          <w:p>
            <w:pPr>
              <w:pStyle w:val="Compact"/>
              <w:jc w:val="left"/>
            </w:pPr>
            <w:r>
              <w:t xml:space="preserve">0.23</w:t>
            </w:r>
          </w:p>
        </w:tc>
      </w:tr>
      <w:tr>
        <w:tc>
          <w:tcPr/>
          <w:p>
            <w:pPr>
              <w:pStyle w:val="Compact"/>
              <w:jc w:val="left"/>
            </w:pPr>
            <w:r>
              <w:t xml:space="preserve">Araç Kütlesi (</w:t>
            </w:r>
            <m:oMath>
              <m:r>
                <m:t>m</m:t>
              </m:r>
            </m:oMath>
            <w:r>
              <w:t xml:space="preserve">)</w:t>
            </w:r>
          </w:p>
        </w:tc>
        <w:tc>
          <w:tcPr/>
          <w:p>
            <w:pPr>
              <w:pStyle w:val="Compact"/>
              <w:jc w:val="left"/>
            </w:pPr>
            <w:r>
              <w:t xml:space="preserve">1847 kg</w:t>
            </w:r>
          </w:p>
        </w:tc>
      </w:tr>
      <w:tr>
        <w:tc>
          <w:tcPr/>
          <w:p>
            <w:pPr>
              <w:pStyle w:val="Compact"/>
              <w:jc w:val="left"/>
            </w:pPr>
            <w:r>
              <w:t xml:space="preserve">Ön Kesit Alanı (</w:t>
            </w:r>
            <m:oMath>
              <m:r>
                <m:t>A</m:t>
              </m:r>
            </m:oMath>
            <w:r>
              <w:t xml:space="preserve">)</w:t>
            </w:r>
          </w:p>
        </w:tc>
        <w:tc>
          <w:tcPr/>
          <w:p>
            <w:pPr>
              <w:pStyle w:val="Compact"/>
              <w:jc w:val="left"/>
            </w:pPr>
            <w:r>
              <w:t xml:space="preserve">2.22 m²</w:t>
            </w:r>
          </w:p>
        </w:tc>
      </w:tr>
      <w:tr>
        <w:tc>
          <w:tcPr/>
          <w:p>
            <w:pPr>
              <w:pStyle w:val="Compact"/>
              <w:jc w:val="left"/>
            </w:pPr>
            <w:r>
              <w:t xml:space="preserve">Yuvarlanma Direnci (</w:t>
            </w:r>
            <m:oMath>
              <m:sSub>
                <m:e>
                  <m:r>
                    <m:t>C</m:t>
                  </m:r>
                </m:e>
                <m:sub>
                  <m:r>
                    <m:t>r</m:t>
                  </m:r>
                </m:sub>
              </m:sSub>
            </m:oMath>
            <w:r>
              <w:t xml:space="preserve">)</w:t>
            </w:r>
          </w:p>
        </w:tc>
        <w:tc>
          <w:tcPr/>
          <w:p>
            <w:pPr>
              <w:pStyle w:val="Compact"/>
              <w:jc w:val="left"/>
            </w:pPr>
            <w:r>
              <w:t xml:space="preserve">0.01</w:t>
            </w:r>
          </w:p>
        </w:tc>
      </w:tr>
      <w:tr>
        <w:tc>
          <w:tcPr/>
          <w:p>
            <w:pPr>
              <w:pStyle w:val="Compact"/>
              <w:jc w:val="left"/>
            </w:pPr>
            <w:r>
              <w:t xml:space="preserve">Minimum SoC Eşiği (</w:t>
            </w:r>
            <m:oMath>
              <m:r>
                <m:t>S</m:t>
              </m:r>
              <m:r>
                <m:t>o</m:t>
              </m:r>
              <m:sSub>
                <m:e>
                  <m:r>
                    <m:t>C</m:t>
                  </m:r>
                </m:e>
                <m:sub>
                  <m:r>
                    <m:t>m</m:t>
                  </m:r>
                  <m:r>
                    <m:t>i</m:t>
                  </m:r>
                  <m:r>
                    <m:t>n</m:t>
                  </m:r>
                </m:sub>
              </m:sSub>
            </m:oMath>
            <w:r>
              <w:t xml:space="preserve">)</w:t>
            </w:r>
          </w:p>
        </w:tc>
        <w:tc>
          <w:tcPr/>
          <w:p>
            <w:pPr>
              <w:pStyle w:val="Compact"/>
              <w:jc w:val="left"/>
            </w:pPr>
            <w:r>
              <w:t xml:space="preserve">%20</w:t>
            </w:r>
          </w:p>
        </w:tc>
      </w:tr>
      <w:tr>
        <w:tc>
          <w:tcPr/>
          <w:p>
            <w:pPr>
              <w:pStyle w:val="Compact"/>
              <w:jc w:val="left"/>
            </w:pPr>
            <w:r>
              <w:t xml:space="preserve">NSGA-II Popülasyon/Nesil</w:t>
            </w:r>
          </w:p>
        </w:tc>
        <w:tc>
          <w:tcPr/>
          <w:p>
            <w:pPr>
              <w:pStyle w:val="Compact"/>
              <w:jc w:val="left"/>
            </w:pPr>
            <w:r>
              <w:t xml:space="preserve">100 / 50</w:t>
            </w:r>
          </w:p>
        </w:tc>
      </w:tr>
      <w:tr>
        <w:tc>
          <w:tcPr/>
          <w:p>
            <w:pPr>
              <w:pStyle w:val="Compact"/>
              <w:jc w:val="left"/>
            </w:pPr>
            <w:r>
              <w:t xml:space="preserve">NSGA-II Çaprazlama/Mutasyon</w:t>
            </w:r>
          </w:p>
        </w:tc>
        <w:tc>
          <w:tcPr/>
          <w:p>
            <w:pPr>
              <w:pStyle w:val="Compact"/>
              <w:jc w:val="left"/>
            </w:pPr>
            <w:r>
              <w:t xml:space="preserve">0.8 / 0.1</w:t>
            </w:r>
          </w:p>
        </w:tc>
      </w:tr>
      <w:tr>
        <w:tc>
          <w:tcPr/>
          <w:p>
            <w:pPr>
              <w:pStyle w:val="Compact"/>
              <w:jc w:val="left"/>
            </w:pPr>
            <w:r>
              <w:t xml:space="preserve">Q-Learning (</w:t>
            </w:r>
            <m:oMath>
              <m:r>
                <m:t>α</m:t>
              </m:r>
            </m:oMath>
            <w:r>
              <w:t xml:space="preserve">,</w:t>
            </w:r>
            <w:r>
              <w:t xml:space="preserve"> </w:t>
            </w:r>
            <m:oMath>
              <m:r>
                <m:t>γ</m:t>
              </m:r>
            </m:oMath>
            <w:r>
              <w:t xml:space="preserve">,</w:t>
            </w:r>
            <w:r>
              <w:t xml:space="preserve"> </w:t>
            </w:r>
            <m:oMath>
              <m:r>
                <m:t>ϵ</m:t>
              </m:r>
            </m:oMath>
            <w:r>
              <w:t xml:space="preserve">)</w:t>
            </w:r>
          </w:p>
        </w:tc>
        <w:tc>
          <w:tcPr/>
          <w:p>
            <w:pPr>
              <w:pStyle w:val="Compact"/>
              <w:jc w:val="left"/>
            </w:pPr>
            <w:r>
              <w:t xml:space="preserve">0.1, 0.9, 0.1</w:t>
            </w:r>
          </w:p>
        </w:tc>
      </w:tr>
      <w:tr>
        <w:tc>
          <w:tcPr/>
          <w:p>
            <w:pPr>
              <w:pStyle w:val="Compact"/>
              <w:jc w:val="left"/>
            </w:pPr>
            <w:r>
              <w:t xml:space="preserve">Bilişsel Yük Ağırlıkları (</w:t>
            </w:r>
            <m:oMath>
              <m:sSub>
                <m:e>
                  <m:r>
                    <m:t>λ</m:t>
                  </m:r>
                </m:e>
                <m:sub>
                  <m:r>
                    <m:t>f</m:t>
                  </m:r>
                </m:sub>
              </m:sSub>
              <m:r>
                <m:rPr>
                  <m:sty m:val="p"/>
                </m:rPr>
                <m:t>,</m:t>
              </m:r>
              <m:sSub>
                <m:e>
                  <m:r>
                    <m:t>λ</m:t>
                  </m:r>
                </m:e>
                <m:sub>
                  <m:r>
                    <m:t>c</m:t>
                  </m:r>
                </m:sub>
              </m:sSub>
              <m:r>
                <m:rPr>
                  <m:sty m:val="p"/>
                </m:rPr>
                <m:t>,</m:t>
              </m:r>
              <m:sSub>
                <m:e>
                  <m:r>
                    <m:t>λ</m:t>
                  </m:r>
                </m:e>
                <m:sub>
                  <m:r>
                    <m:t>v</m:t>
                  </m:r>
                </m:sub>
              </m:sSub>
            </m:oMath>
            <w:r>
              <w:t xml:space="preserve">)</w:t>
            </w:r>
          </w:p>
        </w:tc>
        <w:tc>
          <w:tcPr/>
          <w:p>
            <w:pPr>
              <w:pStyle w:val="Compact"/>
              <w:jc w:val="left"/>
            </w:pPr>
            <w:r>
              <w:t xml:space="preserve">0.40, 0.40, 0.20</w:t>
            </w:r>
          </w:p>
        </w:tc>
      </w:tr>
      <w:tr>
        <w:tc>
          <w:tcPr/>
          <w:p>
            <w:pPr>
              <w:pStyle w:val="Compact"/>
              <w:jc w:val="left"/>
            </w:pPr>
            <w:r>
              <w:t xml:space="preserve">Konfor Ağırlıkları (</w:t>
            </w:r>
            <m:oMath>
              <m:sSub>
                <m:e>
                  <m:r>
                    <m:t>w</m:t>
                  </m:r>
                </m:e>
                <m:sub>
                  <m:r>
                    <m:t>k</m:t>
                  </m:r>
                  <m:r>
                    <m:t>a</m:t>
                  </m:r>
                  <m:r>
                    <m:t>v</m:t>
                  </m:r>
                  <m:r>
                    <m:t>s</m:t>
                  </m:r>
                  <m:r>
                    <m:t>a</m:t>
                  </m:r>
                  <m:r>
                    <m:t>k</m:t>
                  </m:r>
                </m:sub>
              </m:sSub>
              <m:r>
                <m:rPr>
                  <m:sty m:val="p"/>
                </m:rPr>
                <m:t>,</m:t>
              </m:r>
              <m:sSub>
                <m:e>
                  <m:r>
                    <m:t>w</m:t>
                  </m:r>
                </m:e>
                <m:sub>
                  <m:r>
                    <m:t>d</m:t>
                  </m:r>
                  <m:r>
                    <m:t>u</m:t>
                  </m:r>
                  <m:r>
                    <m:t>r</m:t>
                  </m:r>
                  <m:r>
                    <m:t>a</m:t>
                  </m:r>
                  <m:r>
                    <m:t>k</m:t>
                  </m:r>
                </m:sub>
              </m:sSub>
              <m:r>
                <m:rPr>
                  <m:sty m:val="p"/>
                </m:rPr>
                <m:t>,</m:t>
              </m:r>
              <m:sSub>
                <m:e>
                  <m:r>
                    <m:t>w</m:t>
                  </m:r>
                </m:e>
                <m:sub>
                  <m:r>
                    <m:t>t</m:t>
                  </m:r>
                  <m:r>
                    <m:t>r</m:t>
                  </m:r>
                  <m:r>
                    <m:t>a</m:t>
                  </m:r>
                  <m:r>
                    <m:t>f</m:t>
                  </m:r>
                  <m:r>
                    <m:t>i</m:t>
                  </m:r>
                  <m:r>
                    <m:t>k</m:t>
                  </m:r>
                </m:sub>
              </m:sSub>
            </m:oMath>
            <w:r>
              <w:t xml:space="preserve">)</w:t>
            </w:r>
          </w:p>
        </w:tc>
        <w:tc>
          <w:tcPr/>
          <w:p>
            <w:pPr>
              <w:pStyle w:val="Compact"/>
              <w:jc w:val="left"/>
            </w:pPr>
            <w:r>
              <w:t xml:space="preserve">0.50, 0.30, 0.20</w:t>
            </w:r>
          </w:p>
        </w:tc>
      </w:tr>
      <w:tr>
        <w:tc>
          <w:tcPr/>
          <w:p>
            <w:pPr>
              <w:pStyle w:val="Compact"/>
              <w:jc w:val="left"/>
            </w:pPr>
            <w:r>
              <w:t xml:space="preserve">Ödül Fonksiyonu Katsayıları (</w:t>
            </w:r>
            <m:oMath>
              <m:sSub>
                <m:e>
                  <m:r>
                    <m:t>θ</m:t>
                  </m:r>
                </m:e>
                <m:sub>
                  <m:r>
                    <m:t>1</m:t>
                  </m:r>
                </m:sub>
              </m:sSub>
              <m:r>
                <m:rPr>
                  <m:sty m:val="p"/>
                </m:rPr>
                <m:t>,</m:t>
              </m:r>
              <m:sSub>
                <m:e>
                  <m:r>
                    <m:t>θ</m:t>
                  </m:r>
                </m:e>
                <m:sub>
                  <m:r>
                    <m:t>2</m:t>
                  </m:r>
                </m:sub>
              </m:sSub>
              <m:r>
                <m:rPr>
                  <m:sty m:val="p"/>
                </m:rPr>
                <m:t>,</m:t>
              </m:r>
              <m:sSub>
                <m:e>
                  <m:r>
                    <m:t>θ</m:t>
                  </m:r>
                </m:e>
                <m:sub>
                  <m:r>
                    <m:t>3</m:t>
                  </m:r>
                </m:sub>
              </m:sSub>
            </m:oMath>
            <w:r>
              <w:t xml:space="preserve">)</w:t>
            </w:r>
          </w:p>
        </w:tc>
        <w:tc>
          <w:tcPr/>
          <w:p>
            <w:pPr>
              <w:pStyle w:val="Compact"/>
              <w:jc w:val="left"/>
            </w:pPr>
            <w:r>
              <w:t xml:space="preserve">10, 5, 5</w:t>
            </w:r>
          </w:p>
        </w:tc>
      </w:tr>
    </w:tbl>
    <w:bookmarkEnd w:id="14"/>
    <w:bookmarkEnd w:id="15"/>
    <w:bookmarkStart w:id="19" w:name="X8f7bc4fc71186f57801be81bb1ab325928ca626"/>
    <w:p>
      <w:pPr>
        <w:pStyle w:val="Heading2"/>
      </w:pPr>
      <w:r>
        <w:t xml:space="preserve">3. D-NSGA-II İle Rota Optimizasyonu ve Q-Learning Adaptasyonu</w:t>
      </w:r>
    </w:p>
    <w:p>
      <w:pPr>
        <w:pStyle w:val="FirstParagraph"/>
      </w:pPr>
      <w:r>
        <w:t xml:space="preserve">Taşıt yönlendirmede kullanılan standart algoritmalar genellikle maliyet fonksiyonunda tek bir parametreyi minimize etmeye programlıdır (Dijkstra - mesafe maliyetli [12], A* - süre maliyetli [13]). Ancak elektrikli araç seyir koşullarında süre, enerji ve konfor birbiriyle çelişen hedeflerdir.</w:t>
      </w:r>
    </w:p>
    <w:p>
      <w:pPr>
        <w:pStyle w:val="BodyText"/>
      </w:pPr>
      <w:r>
        <w:t xml:space="preserve">Bu çelişkiyi çözümlemek adına Dinamik NSGA-II tercih edilmiştir [7], [14]. Optimizasyon süreci, kullanıcıya</w:t>
      </w:r>
      <w:r>
        <w:t xml:space="preserve"> </w:t>
      </w:r>
      <w:r>
        <w:t xml:space="preserve">“mutlak tek bir rota”</w:t>
      </w:r>
      <w:r>
        <w:t xml:space="preserve"> </w:t>
      </w:r>
      <w:r>
        <w:t xml:space="preserve">dayatmak yerine; Konfor Odaklı, Dengeli ve Verimlilik Odaklı olmak üzere Pareto-optimal cephesinde yer alan bir çözüm kümesi sunmaktadır (Şekil 1).</w:t>
      </w:r>
    </w:p>
    <w:p>
      <w:pPr>
        <w:pStyle w:val="BodyText"/>
      </w:pPr>
      <w:r>
        <w:drawing>
          <wp:inline>
            <wp:extent cx="3009262" cy="2608639"/>
            <wp:effectExtent b="0" l="0" r="0" t="0"/>
            <wp:docPr descr="Şekil 1: Pareto-Optimal Çözüm Cephesi" title="" id="17" name="Picture"/>
            <a:graphic>
              <a:graphicData uri="http://schemas.openxmlformats.org/drawingml/2006/picture">
                <pic:pic>
                  <pic:nvPicPr>
                    <pic:cNvPr descr="C:\Projects\RoutingPlaning\figA_pareto.png" id="18" name="Picture"/>
                    <pic:cNvPicPr>
                      <a:picLocks noChangeArrowheads="1" noChangeAspect="1"/>
                    </pic:cNvPicPr>
                  </pic:nvPicPr>
                  <pic:blipFill>
                    <a:blip r:embed="rId16"/>
                    <a:stretch>
                      <a:fillRect/>
                    </a:stretch>
                  </pic:blipFill>
                  <pic:spPr bwMode="auto">
                    <a:xfrm>
                      <a:off x="0" y="0"/>
                      <a:ext cx="3009262" cy="2608639"/>
                    </a:xfrm>
                    <a:prstGeom prst="rect">
                      <a:avLst/>
                    </a:prstGeom>
                    <a:noFill/>
                    <a:ln w="9525">
                      <a:noFill/>
                      <a:headEnd/>
                      <a:tailEnd/>
                    </a:ln>
                  </pic:spPr>
                </pic:pic>
              </a:graphicData>
            </a:graphic>
          </wp:inline>
        </w:drawing>
      </w:r>
      <w:r>
        <w:t xml:space="preserve"> </w:t>
      </w:r>
      <w:r>
        <w:rPr>
          <w:b/>
          <w:bCs/>
        </w:rPr>
        <w:t xml:space="preserve">Şekil 1:</w:t>
      </w:r>
      <w:r>
        <w:t xml:space="preserve"> </w:t>
      </w:r>
      <w:r>
        <w:t xml:space="preserve">Enerji ve Seyahat Süresi Düzleminde Pareto-Optimal Çözüm Cephesi ve Seçenek Dağılımları</w:t>
      </w:r>
    </w:p>
    <w:p>
      <w:pPr>
        <w:pStyle w:val="BodyText"/>
      </w:pPr>
      <w:r>
        <w:t xml:space="preserve">Kullanıcıya sunulan bu alternatifler arasından yapılan nihai seçimler ve seyir sonrasındaki sentetik memnuniyet oranları, Markov Karar Süreci modeline dayalı bir Q-Learning altyapısını beslemektedir [8]. Algoritmanın karar mekanizmasını şekillendiren anlık durum uzayı (state space)</w:t>
      </w:r>
      <w:r>
        <w:t xml:space="preserve"> </w:t>
      </w:r>
      <m:oMath>
        <m:r>
          <m:t>s</m:t>
        </m:r>
      </m:oMath>
      <w:r>
        <w:t xml:space="preserve">, sürücü ve araç dinamiklerini bütüncül temsil edecek biçimde formüle edilmiştir:</w:t>
      </w:r>
    </w:p>
    <w:p>
      <w:pPr>
        <w:pStyle w:val="BodyText"/>
      </w:pPr>
      <m:oMathPara>
        <m:oMathParaPr>
          <m:jc m:val="center"/>
        </m:oMathParaPr>
        <m:oMath>
          <m:r>
            <m:t>s</m:t>
          </m:r>
          <m:r>
            <m:rPr>
              <m:sty m:val="p"/>
            </m:rPr>
            <m:t>=</m:t>
          </m:r>
          <m:r>
            <m:rPr>
              <m:sty m:val="p"/>
            </m:rPr>
            <m:t>(</m:t>
          </m:r>
          <m:r>
            <m:t>C</m:t>
          </m:r>
          <m:r>
            <m:t>L</m:t>
          </m:r>
          <m:r>
            <m:t>S</m:t>
          </m:r>
          <m:r>
            <m:rPr>
              <m:sty m:val="p"/>
            </m:rPr>
            <m:t>,</m:t>
          </m:r>
          <m:r>
            <m:t>S</m:t>
          </m:r>
          <m:r>
            <m:t>o</m:t>
          </m:r>
          <m:sSub>
            <m:e>
              <m:r>
                <m:t>C</m:t>
              </m:r>
            </m:e>
            <m:sub>
              <m:r>
                <m:t>s</m:t>
              </m:r>
              <m:r>
                <m:t>e</m:t>
              </m:r>
              <m:r>
                <m:t>v</m:t>
              </m:r>
              <m:r>
                <m:t>i</m:t>
              </m:r>
              <m:r>
                <m:t>y</m:t>
              </m:r>
              <m:r>
                <m:t>e</m:t>
              </m:r>
              <m:r>
                <m:t>s</m:t>
              </m:r>
              <m:r>
                <m:t>i</m:t>
              </m:r>
            </m:sub>
          </m:sSub>
          <m:r>
            <m:rPr>
              <m:sty m:val="p"/>
            </m:rPr>
            <m:t>,</m:t>
          </m:r>
          <m:r>
            <m:t>T</m:t>
          </m:r>
          <m:r>
            <m:t>r</m:t>
          </m:r>
          <m:r>
            <m:t>a</m:t>
          </m:r>
          <m:r>
            <m:t>f</m:t>
          </m:r>
          <m:r>
            <m:t>i</m:t>
          </m:r>
          <m:sSub>
            <m:e>
              <m:r>
                <m:t>k</m:t>
              </m:r>
            </m:e>
            <m:sub>
              <m:r>
                <m:t>y</m:t>
              </m:r>
              <m:r>
                <m:t>o</m:t>
              </m:r>
              <m:r>
                <m:t>g</m:t>
              </m:r>
              <m:r>
                <m:t>u</m:t>
              </m:r>
              <m:r>
                <m:t>n</m:t>
              </m:r>
              <m:r>
                <m:t>l</m:t>
              </m:r>
              <m:r>
                <m:t>u</m:t>
              </m:r>
              <m:r>
                <m:t>g</m:t>
              </m:r>
              <m:r>
                <m:t>u</m:t>
              </m:r>
            </m:sub>
          </m:sSub>
          <m:r>
            <m:rPr>
              <m:sty m:val="p"/>
            </m:rPr>
            <m:t>,</m:t>
          </m:r>
          <m:r>
            <m:t>R</m:t>
          </m:r>
          <m:r>
            <m:t>o</m:t>
          </m:r>
          <m:r>
            <m:t>t</m:t>
          </m:r>
          <m:sSub>
            <m:e>
              <m:r>
                <m:t>a</m:t>
              </m:r>
            </m:e>
            <m:sub>
              <m:r>
                <m:t>t</m:t>
              </m:r>
              <m:r>
                <m:t>i</m:t>
              </m:r>
              <m:r>
                <m:t>p</m:t>
              </m:r>
              <m:r>
                <m:t>i</m:t>
              </m:r>
            </m:sub>
          </m:sSub>
          <m:r>
            <m:rPr>
              <m:sty m:val="p"/>
            </m:rPr>
            <m:t>)</m:t>
          </m:r>
          <m:r>
            <m:t> </m:t>
          </m:r>
          <m:r>
            <m:rPr>
              <m:sty m:val="p"/>
            </m:rPr>
            <m:t>(</m:t>
          </m:r>
          <m:r>
            <m:t>6</m:t>
          </m:r>
          <m:r>
            <m:rPr>
              <m:sty m:val="p"/>
            </m:rPr>
            <m:t>)</m:t>
          </m:r>
        </m:oMath>
      </m:oMathPara>
    </w:p>
    <w:p>
      <w:pPr>
        <w:pStyle w:val="FirstParagraph"/>
      </w:pPr>
      <w:r>
        <w:t xml:space="preserve">Bu durum uzayına karşılık gelen eylem kümesi (action space) ise D-NSGA-II tarafından üretilen rota kategorileridir (</w:t>
      </w:r>
      <m:oMath>
        <m:r>
          <m:t>a</m:t>
        </m:r>
        <m:r>
          <m:rPr>
            <m:sty m:val="p"/>
          </m:rPr>
          <m:t>∈</m:t>
        </m:r>
        <m:r>
          <m:rPr>
            <m:sty m:val="p"/>
          </m:rPr>
          <m:t>{</m:t>
        </m:r>
        <m:r>
          <m:t>K</m:t>
        </m:r>
        <m:r>
          <m:t>o</m:t>
        </m:r>
        <m:r>
          <m:t>n</m:t>
        </m:r>
        <m:r>
          <m:t>f</m:t>
        </m:r>
        <m:r>
          <m:t>o</m:t>
        </m:r>
        <m:r>
          <m:t>r</m:t>
        </m:r>
        <m:r>
          <m:rPr>
            <m:sty m:val="p"/>
          </m:rPr>
          <m:t>,</m:t>
        </m:r>
        <m:r>
          <m:t>D</m:t>
        </m:r>
        <m:r>
          <m:t>e</m:t>
        </m:r>
        <m:r>
          <m:t>n</m:t>
        </m:r>
        <m:r>
          <m:t>g</m:t>
        </m:r>
        <m:r>
          <m:t>e</m:t>
        </m:r>
        <m:r>
          <m:t>l</m:t>
        </m:r>
        <m:r>
          <m:t>i</m:t>
        </m:r>
        <m:r>
          <m:rPr>
            <m:sty m:val="p"/>
          </m:rPr>
          <m:t>,</m:t>
        </m:r>
        <m:r>
          <m:t>V</m:t>
        </m:r>
        <m:r>
          <m:t>e</m:t>
        </m:r>
        <m:r>
          <m:t>r</m:t>
        </m:r>
        <m:r>
          <m:t>i</m:t>
        </m:r>
        <m:r>
          <m:t>m</m:t>
        </m:r>
        <m:r>
          <m:t>l</m:t>
        </m:r>
        <m:r>
          <m:t>i</m:t>
        </m:r>
        <m:r>
          <m:t>l</m:t>
        </m:r>
        <m:r>
          <m:t>i</m:t>
        </m:r>
        <m:r>
          <m:t>k</m:t>
        </m:r>
        <m:r>
          <m:rPr>
            <m:sty m:val="p"/>
          </m:rPr>
          <m:t>}</m:t>
        </m:r>
      </m:oMath>
      <w:r>
        <w:t xml:space="preserve">). Modelin zaman içindeki adaptasyonunu sağlayan standart Q-değeri güncelleme kuralı Denklem 7’de, bu güncellemeyi besleyen ödül (reward) fonksiyonu ise Denklem 8’de tanımlanmıştır:</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r>
            <m:t> </m:t>
          </m:r>
          <m:r>
            <m:rPr>
              <m:sty m:val="p"/>
            </m:rPr>
            <m:t>(</m:t>
          </m:r>
          <m:r>
            <m:t>7</m:t>
          </m:r>
          <m:r>
            <m:rPr>
              <m:sty m:val="p"/>
            </m:rPr>
            <m:t>)</m:t>
          </m:r>
        </m:oMath>
      </m:oMathPara>
    </w:p>
    <w:p>
      <w:pPr>
        <w:pStyle w:val="FirstParagraph"/>
      </w:pPr>
      <m:oMathPara>
        <m:oMathParaPr>
          <m:jc m:val="center"/>
        </m:oMathParaPr>
        <m:oMath>
          <m:r>
            <m:t>r</m:t>
          </m:r>
          <m:r>
            <m:rPr>
              <m:sty m:val="p"/>
            </m:rPr>
            <m:t>=</m:t>
          </m:r>
          <m:sSub>
            <m:e>
              <m:r>
                <m:t>θ</m:t>
              </m:r>
            </m:e>
            <m:sub>
              <m:r>
                <m:t>1</m:t>
              </m:r>
            </m:sub>
          </m:sSub>
          <m:r>
            <m:rPr>
              <m:sty m:val="p"/>
            </m:rPr>
            <m:t>⋅</m:t>
          </m:r>
          <m:r>
            <m:t>g</m:t>
          </m:r>
          <m:r>
            <m:t>e</m:t>
          </m:r>
          <m:r>
            <m:t>r</m:t>
          </m:r>
          <m:r>
            <m:t>i</m:t>
          </m:r>
          <m:r>
            <m:rPr>
              <m:sty m:val="p"/>
            </m:rPr>
            <m:t>_</m:t>
          </m:r>
          <m:r>
            <m:t>b</m:t>
          </m:r>
          <m:r>
            <m:t>i</m:t>
          </m:r>
          <m:r>
            <m:t>l</m:t>
          </m:r>
          <m:r>
            <m:t>d</m:t>
          </m:r>
          <m:r>
            <m:t>i</m:t>
          </m:r>
          <m:r>
            <m:t>r</m:t>
          </m:r>
          <m:r>
            <m:t>i</m:t>
          </m:r>
          <m:r>
            <m:t>m</m:t>
          </m:r>
          <m:r>
            <m:rPr>
              <m:sty m:val="p"/>
            </m:rPr>
            <m:t>+</m:t>
          </m:r>
          <m:sSub>
            <m:e>
              <m:r>
                <m:t>θ</m:t>
              </m:r>
            </m:e>
            <m:sub>
              <m:r>
                <m:t>2</m:t>
              </m:r>
            </m:sub>
          </m:sSub>
          <m:r>
            <m:rPr>
              <m:sty m:val="p"/>
            </m:rPr>
            <m:t>⋅</m:t>
          </m:r>
          <m:r>
            <m:t>K</m:t>
          </m:r>
          <m:r>
            <m:t>o</m:t>
          </m:r>
          <m:r>
            <m:t>n</m:t>
          </m:r>
          <m:r>
            <m:t>f</m:t>
          </m:r>
          <m:r>
            <m:t>o</m:t>
          </m:r>
          <m:r>
            <m:t>r</m:t>
          </m:r>
          <m:r>
            <m:rPr>
              <m:sty m:val="p"/>
            </m:rPr>
            <m:t>−</m:t>
          </m:r>
          <m:sSub>
            <m:e>
              <m:r>
                <m:t>θ</m:t>
              </m:r>
            </m:e>
            <m:sub>
              <m:r>
                <m:t>3</m:t>
              </m:r>
            </m:sub>
          </m:sSub>
          <m:r>
            <m:rPr>
              <m:sty m:val="p"/>
            </m:rPr>
            <m:t>⋅</m:t>
          </m:r>
          <m:r>
            <m:t>G</m:t>
          </m:r>
          <m:r>
            <m:t>e</m:t>
          </m:r>
          <m:r>
            <m:t>c</m:t>
          </m:r>
          <m:r>
            <m:t>i</m:t>
          </m:r>
          <m:r>
            <m:t>k</m:t>
          </m:r>
          <m:r>
            <m:t>m</m:t>
          </m:r>
          <m:r>
            <m:t>e</m:t>
          </m:r>
          <m:r>
            <m:t> </m:t>
          </m:r>
          <m:r>
            <m:rPr>
              <m:sty m:val="p"/>
            </m:rPr>
            <m:t>(</m:t>
          </m:r>
          <m:r>
            <m:t>8</m:t>
          </m:r>
          <m:r>
            <m:rPr>
              <m:sty m:val="p"/>
            </m:rPr>
            <m:t>)</m:t>
          </m:r>
        </m:oMath>
      </m:oMathPara>
    </w:p>
    <w:p>
      <w:pPr>
        <w:pStyle w:val="FirstParagraph"/>
      </w:pPr>
      <w:r>
        <w:t xml:space="preserve">Burada</w:t>
      </w:r>
      <w:r>
        <w:t xml:space="preserve"> </w:t>
      </w:r>
      <m:oMath>
        <m:r>
          <m:t>α</m:t>
        </m:r>
        <m:r>
          <m:rPr>
            <m:sty m:val="p"/>
          </m:rPr>
          <m:t>∈</m:t>
        </m:r>
        <m:r>
          <m:rPr>
            <m:sty m:val="p"/>
          </m:rPr>
          <m:t>(</m:t>
        </m:r>
        <m:r>
          <m:t>0</m:t>
        </m:r>
        <m:r>
          <m:rPr>
            <m:sty m:val="p"/>
          </m:rPr>
          <m:t>,</m:t>
        </m:r>
        <m:r>
          <m:t>1</m:t>
        </m:r>
        <m:r>
          <m:rPr>
            <m:sty m:val="p"/>
          </m:rPr>
          <m:t>]</m:t>
        </m:r>
      </m:oMath>
      <w:r>
        <w:t xml:space="preserve"> </w:t>
      </w:r>
      <w:r>
        <w:t xml:space="preserve">öğrenme oranını,</w:t>
      </w:r>
      <w:r>
        <w:t xml:space="preserve"> </w:t>
      </w:r>
      <m:oMath>
        <m:r>
          <m:t>γ</m:t>
        </m:r>
        <m:r>
          <m:rPr>
            <m:sty m:val="p"/>
          </m:rPr>
          <m:t>∈</m:t>
        </m:r>
        <m:r>
          <m:rPr>
            <m:sty m:val="p"/>
          </m:rPr>
          <m:t>[</m:t>
        </m:r>
        <m:r>
          <m:t>0</m:t>
        </m:r>
        <m:r>
          <m:rPr>
            <m:sty m:val="p"/>
          </m:rPr>
          <m:t>,</m:t>
        </m:r>
        <m:r>
          <m:t>1</m:t>
        </m:r>
        <m:r>
          <m:rPr>
            <m:sty m:val="p"/>
          </m:rPr>
          <m:t>]</m:t>
        </m:r>
      </m:oMath>
      <w:r>
        <w:t xml:space="preserve"> </w:t>
      </w:r>
      <w:r>
        <w:t xml:space="preserve">indirim faktörünü (discount factor),</w:t>
      </w:r>
      <w:r>
        <w:t xml:space="preserve"> </w:t>
      </w:r>
      <m:oMath>
        <m:r>
          <m:t>r</m:t>
        </m:r>
      </m:oMath>
      <w:r>
        <w:t xml:space="preserve"> </w:t>
      </w:r>
      <w:r>
        <w:t xml:space="preserve">anlık ödülü ve</w:t>
      </w:r>
      <w:r>
        <w:t xml:space="preserve"> </w:t>
      </w:r>
      <m:oMath>
        <m:sSup>
          <m:e>
            <m:r>
              <m:t>s</m:t>
            </m:r>
          </m:e>
          <m:sup>
            <m:r>
              <m:rPr>
                <m:sty m:val="p"/>
              </m:rPr>
              <m:t>′</m:t>
            </m:r>
          </m:sup>
        </m:sSup>
      </m:oMath>
      <w:r>
        <w:t xml:space="preserve"> </w:t>
      </w:r>
      <w:r>
        <w:t xml:space="preserve">sistemin geçeceği sonraki durumu ifade etmektedir. Ödül fonksiyonunda yer alan</w:t>
      </w:r>
      <w:r>
        <w:t xml:space="preserve"> </w:t>
      </w:r>
      <m:oMath>
        <m:r>
          <m:t>g</m:t>
        </m:r>
        <m:r>
          <m:t>e</m:t>
        </m:r>
        <m:r>
          <m:t>r</m:t>
        </m:r>
        <m:r>
          <m:t>i</m:t>
        </m:r>
        <m:r>
          <m:rPr>
            <m:sty m:val="p"/>
          </m:rPr>
          <m:t>_</m:t>
        </m:r>
        <m:r>
          <m:t>b</m:t>
        </m:r>
        <m:r>
          <m:t>i</m:t>
        </m:r>
        <m:r>
          <m:t>l</m:t>
        </m:r>
        <m:r>
          <m:t>d</m:t>
        </m:r>
        <m:r>
          <m:t>i</m:t>
        </m:r>
        <m:r>
          <m:t>r</m:t>
        </m:r>
        <m:r>
          <m:t>i</m:t>
        </m:r>
        <m:r>
          <m:t>m</m:t>
        </m:r>
      </m:oMath>
      <w:r>
        <w:t xml:space="preserve"> </w:t>
      </w:r>
      <w:r>
        <w:t xml:space="preserve">seyahat sonrasında kullanıcı modelinden alınan memnuniyet sinyalidir.</w:t>
      </w:r>
    </w:p>
    <w:p>
      <w:pPr>
        <w:pStyle w:val="BodyText"/>
      </w:pPr>
      <w:r>
        <w:t xml:space="preserve">Öğrenme sürecinde keşif ve sömürü (exploration-exploitation) dengesini optimize etmek amacıyla</w:t>
      </w:r>
      <w:r>
        <w:t xml:space="preserve"> </w:t>
      </w:r>
      <m:oMath>
        <m:r>
          <m:t>ϵ</m:t>
        </m:r>
      </m:oMath>
      <w:r>
        <w:t xml:space="preserve">-greedy eylem seçim stratejisi kullanılmıştır:</w:t>
      </w:r>
    </w:p>
    <w:p>
      <w:pPr>
        <w:pStyle w:val="BodyText"/>
      </w:pPr>
      <m:oMathPara>
        <m:oMathParaPr>
          <m:jc m:val="center"/>
        </m:oMathParaPr>
        <m:oMath>
          <m:r>
            <m:t>a</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arg</m:t>
                    </m:r>
                    <m:limLow>
                      <m:e>
                        <m:r>
                          <m:rPr>
                            <m:sty m:val="p"/>
                          </m:rPr>
                          <m:t>max</m:t>
                        </m:r>
                      </m:e>
                      <m:lim>
                        <m:r>
                          <m:t>a</m:t>
                        </m:r>
                      </m:lim>
                    </m:limLow>
                    <m:r>
                      <m:t>Q</m:t>
                    </m:r>
                    <m:r>
                      <m:rPr>
                        <m:sty m:val="p"/>
                      </m:rPr>
                      <m:t>(</m:t>
                    </m:r>
                    <m:r>
                      <m:t>s</m:t>
                    </m:r>
                    <m:r>
                      <m:rPr>
                        <m:sty m:val="p"/>
                      </m:rPr>
                      <m:t>,</m:t>
                    </m:r>
                    <m:r>
                      <m:t>a</m:t>
                    </m:r>
                    <m:r>
                      <m:rPr>
                        <m:sty m:val="p"/>
                      </m:rPr>
                      <m:t>)</m:t>
                    </m:r>
                  </m:e>
                  <m:e>
                    <m:r>
                      <m:rPr>
                        <m:nor/>
                        <m:sty m:val="p"/>
                      </m:rPr>
                      <m:t>olasılık </m:t>
                    </m:r>
                    <m:r>
                      <m:t>1</m:t>
                    </m:r>
                    <m:r>
                      <m:rPr>
                        <m:sty m:val="p"/>
                      </m:rPr>
                      <m:t>−</m:t>
                    </m:r>
                    <m:r>
                      <m:t>ϵ</m:t>
                    </m:r>
                  </m:e>
                </m:mr>
                <m:mr>
                  <m:e>
                    <m:r>
                      <m:rPr>
                        <m:nor/>
                        <m:sty m:val="p"/>
                      </m:rPr>
                      <m:t>rastgele eylem</m:t>
                    </m:r>
                  </m:e>
                  <m:e>
                    <m:r>
                      <m:rPr>
                        <m:nor/>
                        <m:sty m:val="p"/>
                      </m:rPr>
                      <m:t>olasılık </m:t>
                    </m:r>
                    <m:r>
                      <m:t>ϵ</m:t>
                    </m:r>
                  </m:e>
                </m:mr>
              </m:m>
            </m:e>
          </m:d>
          <m:r>
            <m:t> </m:t>
          </m:r>
          <m:r>
            <m:rPr>
              <m:sty m:val="p"/>
            </m:rPr>
            <m:t>(</m:t>
          </m:r>
          <m:r>
            <m:t>9</m:t>
          </m:r>
          <m:r>
            <m:rPr>
              <m:sty m:val="p"/>
            </m:rPr>
            <m:t>)</m:t>
          </m:r>
        </m:oMath>
      </m:oMathPara>
    </w:p>
    <w:bookmarkEnd w:id="19"/>
    <w:bookmarkStart w:id="26" w:name="X6ff3e8a38825c19bef76e32ce2c4f8c7541eef5"/>
    <w:p>
      <w:pPr>
        <w:pStyle w:val="Heading2"/>
      </w:pPr>
      <w:r>
        <w:t xml:space="preserve">4. Simülasyon Sonuçları ve Performans Değerlendirmesi</w:t>
      </w:r>
    </w:p>
    <w:p>
      <w:pPr>
        <w:pStyle w:val="FirstParagraph"/>
      </w:pPr>
      <w:r>
        <w:t xml:space="preserve">Sistemin doğrulanması amacıyla, Ankara şehrine ait OpenStreetMap tabanlı yol ağı üzerinde, rastgele belirlenmiş 50 farklı şehir içi başlangıç-varış senaryosu koşturulmuştur. Sentetik trafik yoğunluğu ve hız profilleri tanımlanmış olup, güvenilirlik açısından her senaryo 10 farklı rastgele tohum (seed) değeri ile tekrarlanmıştır.</w:t>
      </w:r>
    </w:p>
    <w:p>
      <w:pPr>
        <w:pStyle w:val="BodyText"/>
      </w:pPr>
      <w:r>
        <w:t xml:space="preserve">Sistemin Q-Learning modülünün uzun dönemli öğrenme performansı, Şekil 2’de görselleştirilmiştir. Standart sapma bantlarıyla desteklenen grafik, modelin rastgele politikaya (taban çizgisi) kıyasla başarılı bir şekilde öğrenme sergileyerek 400. bölüme doğru yüksek ödül değerlerine yakınsadığını (convergence) doğrulamaktadır.</w:t>
      </w:r>
    </w:p>
    <w:p>
      <w:pPr>
        <w:pStyle w:val="BodyText"/>
      </w:pPr>
      <w:r>
        <w:drawing>
          <wp:inline>
            <wp:extent cx="3003146" cy="2516893"/>
            <wp:effectExtent b="0" l="0" r="0" t="0"/>
            <wp:docPr descr="Şekil 2: Q-Learning Yakınsaması" title="" id="21" name="Picture"/>
            <a:graphic>
              <a:graphicData uri="http://schemas.openxmlformats.org/drawingml/2006/picture">
                <pic:pic>
                  <pic:nvPicPr>
                    <pic:cNvPr descr="C:\Projects\RoutingPlaning\figC_qlearn.png" id="22" name="Picture"/>
                    <pic:cNvPicPr>
                      <a:picLocks noChangeArrowheads="1" noChangeAspect="1"/>
                    </pic:cNvPicPr>
                  </pic:nvPicPr>
                  <pic:blipFill>
                    <a:blip r:embed="rId20"/>
                    <a:stretch>
                      <a:fillRect/>
                    </a:stretch>
                  </pic:blipFill>
                  <pic:spPr bwMode="auto">
                    <a:xfrm>
                      <a:off x="0" y="0"/>
                      <a:ext cx="3003146" cy="2516893"/>
                    </a:xfrm>
                    <a:prstGeom prst="rect">
                      <a:avLst/>
                    </a:prstGeom>
                    <a:noFill/>
                    <a:ln w="9525">
                      <a:noFill/>
                      <a:headEnd/>
                      <a:tailEnd/>
                    </a:ln>
                  </pic:spPr>
                </pic:pic>
              </a:graphicData>
            </a:graphic>
          </wp:inline>
        </w:drawing>
      </w:r>
      <w:r>
        <w:t xml:space="preserve"> </w:t>
      </w:r>
      <w:r>
        <w:rPr>
          <w:b/>
          <w:bCs/>
        </w:rPr>
        <w:t xml:space="preserve">Şekil 2:</w:t>
      </w:r>
      <w:r>
        <w:t xml:space="preserve"> </w:t>
      </w:r>
      <w:r>
        <w:t xml:space="preserve">Q-Learning Modeli Ödül Yakınsama Eğrisi (10 Tohum ortalaması,</w:t>
      </w:r>
      <w:r>
        <w:t xml:space="preserve"> </w:t>
      </w:r>
      <m:oMath>
        <m:r>
          <m:rPr>
            <m:sty m:val="p"/>
          </m:rPr>
          <m:t>±</m:t>
        </m:r>
        <m:r>
          <m:t>1</m:t>
        </m:r>
      </m:oMath>
      <w:r>
        <w:t xml:space="preserve"> </w:t>
      </w:r>
      <w:r>
        <w:t xml:space="preserve">standart sapma bandı ile)</w:t>
      </w:r>
    </w:p>
    <w:p>
      <w:pPr>
        <w:pStyle w:val="BodyText"/>
      </w:pPr>
      <w:r>
        <w:t xml:space="preserve">Çok amaçlı optimizasyon (NSGA-II) ve CLS adaptasyonunun katkılarını adil biçimde değerlendirebilmek için hazırlanan ablasyon çalışması ve performans karşılaştırması Tablo 2’de sunulmuştur. Kavşak sayısı, nesnel bir konfor göstergesi olarak tabloya dâhil edilmiştir.</w:t>
      </w:r>
    </w:p>
    <w:p>
      <w:pPr>
        <w:pStyle w:val="BodyText"/>
      </w:pPr>
      <w:r>
        <w:rPr>
          <w:b/>
          <w:bCs/>
        </w:rPr>
        <w:t xml:space="preserve">Tablo 2: 50 Şehir İçi Senaryosunda Performans Karşılaştırması (Ablasyon)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Yöntem</w:t>
            </w:r>
          </w:p>
        </w:tc>
        <w:tc>
          <w:tcPr/>
          <w:p>
            <w:pPr>
              <w:pStyle w:val="Compact"/>
              <w:jc w:val="left"/>
            </w:pPr>
            <w:r>
              <w:t xml:space="preserve">Hedef Fonksiyonu</w:t>
            </w:r>
          </w:p>
        </w:tc>
        <w:tc>
          <w:tcPr/>
          <w:p>
            <w:pPr>
              <w:pStyle w:val="Compact"/>
              <w:jc w:val="left"/>
            </w:pPr>
            <w:r>
              <w:t xml:space="preserve">Süre (dk)</w:t>
            </w:r>
          </w:p>
        </w:tc>
        <w:tc>
          <w:tcPr/>
          <w:p>
            <w:pPr>
              <w:pStyle w:val="Compact"/>
              <w:jc w:val="left"/>
            </w:pPr>
            <w:r>
              <w:t xml:space="preserve">Enerji (kWh)</w:t>
            </w:r>
          </w:p>
        </w:tc>
        <w:tc>
          <w:tcPr/>
          <w:p>
            <w:pPr>
              <w:pStyle w:val="Compact"/>
              <w:jc w:val="left"/>
            </w:pPr>
            <w:r>
              <w:t xml:space="preserve">Konfor (0-100)</w:t>
            </w:r>
          </w:p>
        </w:tc>
        <w:tc>
          <w:tcPr/>
          <w:p>
            <w:pPr>
              <w:pStyle w:val="Compact"/>
              <w:jc w:val="left"/>
            </w:pPr>
            <w:r>
              <w:t xml:space="preserve">Ortalama Kavşak</w:t>
            </w:r>
          </w:p>
        </w:tc>
      </w:tr>
      <w:tr>
        <w:tc>
          <w:tcPr/>
          <w:p>
            <w:pPr>
              <w:pStyle w:val="Compact"/>
              <w:jc w:val="left"/>
            </w:pPr>
            <w:r>
              <w:t xml:space="preserve">Dijkstra</w:t>
            </w:r>
          </w:p>
        </w:tc>
        <w:tc>
          <w:tcPr/>
          <w:p>
            <w:pPr>
              <w:pStyle w:val="Compact"/>
              <w:jc w:val="left"/>
            </w:pPr>
            <w:r>
              <w:t xml:space="preserve">Mesafe maliyetli</w:t>
            </w:r>
          </w:p>
        </w:tc>
        <w:tc>
          <w:tcPr/>
          <w:p>
            <w:pPr>
              <w:pStyle w:val="Compact"/>
              <w:jc w:val="left"/>
            </w:pPr>
            <w:r>
              <w:t xml:space="preserve">44.2</w:t>
            </w:r>
          </w:p>
        </w:tc>
        <w:tc>
          <w:tcPr/>
          <w:p>
            <w:pPr>
              <w:pStyle w:val="Compact"/>
              <w:jc w:val="left"/>
            </w:pPr>
            <w:r>
              <w:rPr>
                <w:b/>
                <w:bCs/>
              </w:rPr>
              <w:t xml:space="preserve">7.1</w:t>
            </w:r>
          </w:p>
        </w:tc>
        <w:tc>
          <w:tcPr/>
          <w:p>
            <w:pPr>
              <w:pStyle w:val="Compact"/>
              <w:jc w:val="left"/>
            </w:pPr>
            <w:r>
              <w:t xml:space="preserve">46.8</w:t>
            </w:r>
          </w:p>
        </w:tc>
        <w:tc>
          <w:tcPr/>
          <w:p>
            <w:pPr>
              <w:pStyle w:val="Compact"/>
              <w:jc w:val="left"/>
            </w:pPr>
            <w:r>
              <w:t xml:space="preserve">32.4</w:t>
            </w:r>
          </w:p>
        </w:tc>
      </w:tr>
      <w:tr>
        <w:tc>
          <w:tcPr/>
          <w:p>
            <w:pPr>
              <w:pStyle w:val="Compact"/>
              <w:jc w:val="left"/>
            </w:pPr>
            <w:r>
              <w:t xml:space="preserve">A*</w:t>
            </w:r>
          </w:p>
        </w:tc>
        <w:tc>
          <w:tcPr/>
          <w:p>
            <w:pPr>
              <w:pStyle w:val="Compact"/>
              <w:jc w:val="left"/>
            </w:pPr>
            <w:r>
              <w:t xml:space="preserve">Süre maliyetli</w:t>
            </w:r>
          </w:p>
        </w:tc>
        <w:tc>
          <w:tcPr/>
          <w:p>
            <w:pPr>
              <w:pStyle w:val="Compact"/>
              <w:jc w:val="left"/>
            </w:pPr>
            <w:r>
              <w:rPr>
                <w:b/>
                <w:bCs/>
              </w:rPr>
              <w:t xml:space="preserve">42.0</w:t>
            </w:r>
          </w:p>
        </w:tc>
        <w:tc>
          <w:tcPr/>
          <w:p>
            <w:pPr>
              <w:pStyle w:val="Compact"/>
              <w:jc w:val="left"/>
            </w:pPr>
            <w:r>
              <w:t xml:space="preserve">7.7</w:t>
            </w:r>
          </w:p>
        </w:tc>
        <w:tc>
          <w:tcPr/>
          <w:p>
            <w:pPr>
              <w:pStyle w:val="Compact"/>
              <w:jc w:val="left"/>
            </w:pPr>
            <w:r>
              <w:t xml:space="preserve">50.5</w:t>
            </w:r>
          </w:p>
        </w:tc>
        <w:tc>
          <w:tcPr/>
          <w:p>
            <w:pPr>
              <w:pStyle w:val="Compact"/>
              <w:jc w:val="left"/>
            </w:pPr>
            <w:r>
              <w:t xml:space="preserve">30.1</w:t>
            </w:r>
          </w:p>
        </w:tc>
      </w:tr>
      <w:tr>
        <w:tc>
          <w:tcPr/>
          <w:p>
            <w:pPr>
              <w:pStyle w:val="Compact"/>
              <w:jc w:val="left"/>
            </w:pPr>
            <w:r>
              <w:t xml:space="preserve">NSGA-II (Sabit Ağırlık)</w:t>
            </w:r>
          </w:p>
        </w:tc>
        <w:tc>
          <w:tcPr/>
          <w:p>
            <w:pPr>
              <w:pStyle w:val="Compact"/>
              <w:jc w:val="left"/>
            </w:pPr>
            <w:r>
              <w:t xml:space="preserve">Çok amaçlı, CLS yok</w:t>
            </w:r>
          </w:p>
        </w:tc>
        <w:tc>
          <w:tcPr/>
          <w:p>
            <w:pPr>
              <w:pStyle w:val="Compact"/>
              <w:jc w:val="left"/>
            </w:pPr>
            <w:r>
              <w:t xml:space="preserve">44.7</w:t>
            </w:r>
          </w:p>
        </w:tc>
        <w:tc>
          <w:tcPr/>
          <w:p>
            <w:pPr>
              <w:pStyle w:val="Compact"/>
              <w:jc w:val="left"/>
            </w:pPr>
            <w:r>
              <w:t xml:space="preserve">7.8</w:t>
            </w:r>
          </w:p>
        </w:tc>
        <w:tc>
          <w:tcPr/>
          <w:p>
            <w:pPr>
              <w:pStyle w:val="Compact"/>
              <w:jc w:val="left"/>
            </w:pPr>
            <w:r>
              <w:t xml:space="preserve">49.6</w:t>
            </w:r>
          </w:p>
        </w:tc>
        <w:tc>
          <w:tcPr/>
          <w:p>
            <w:pPr>
              <w:pStyle w:val="Compact"/>
              <w:jc w:val="left"/>
            </w:pPr>
            <w:r>
              <w:t xml:space="preserve">28.5</w:t>
            </w:r>
          </w:p>
        </w:tc>
      </w:tr>
      <w:tr>
        <w:tc>
          <w:tcPr/>
          <w:p>
            <w:pPr>
              <w:pStyle w:val="Compact"/>
              <w:jc w:val="left"/>
            </w:pPr>
            <w:r>
              <w:rPr>
                <w:b/>
                <w:bCs/>
              </w:rPr>
              <w:t xml:space="preserve">AffectEV (D-NSGA-II)</w:t>
            </w:r>
          </w:p>
        </w:tc>
        <w:tc>
          <w:tcPr/>
          <w:p>
            <w:pPr>
              <w:pStyle w:val="Compact"/>
              <w:jc w:val="left"/>
            </w:pPr>
            <w:r>
              <w:t xml:space="preserve">Çok amaçlı, CLS uyarlamalı</w:t>
            </w:r>
          </w:p>
        </w:tc>
        <w:tc>
          <w:tcPr/>
          <w:p>
            <w:pPr>
              <w:pStyle w:val="Compact"/>
              <w:jc w:val="left"/>
            </w:pPr>
            <w:r>
              <w:t xml:space="preserve">45.3</w:t>
            </w:r>
          </w:p>
        </w:tc>
        <w:tc>
          <w:tcPr/>
          <w:p>
            <w:pPr>
              <w:pStyle w:val="Compact"/>
              <w:jc w:val="left"/>
            </w:pPr>
            <w:r>
              <w:t xml:space="preserve">8.0</w:t>
            </w:r>
          </w:p>
        </w:tc>
        <w:tc>
          <w:tcPr/>
          <w:p>
            <w:pPr>
              <w:pStyle w:val="Compact"/>
              <w:jc w:val="left"/>
            </w:pPr>
            <w:r>
              <w:rPr>
                <w:b/>
                <w:bCs/>
              </w:rPr>
              <w:t xml:space="preserve">50.3</w:t>
            </w:r>
          </w:p>
        </w:tc>
        <w:tc>
          <w:tcPr/>
          <w:p>
            <w:pPr>
              <w:pStyle w:val="Compact"/>
              <w:jc w:val="left"/>
            </w:pPr>
            <w:r>
              <w:rPr>
                <w:b/>
                <w:bCs/>
              </w:rPr>
              <w:t xml:space="preserve">22.6</w:t>
            </w:r>
          </w:p>
        </w:tc>
      </w:tr>
    </w:tbl>
    <w:p>
      <w:pPr>
        <w:pStyle w:val="BodyText"/>
      </w:pPr>
      <w:r>
        <w:t xml:space="preserve">Tablo 2’den görüleceği üzere, AffectEV genel ortalama metriklerde standart tek amaçlı algoritmalarla ve sabit ağırlıklı NSGA-II ile eşdeğer bir çizgide yer almaktadır. Bu durum tasarımın doğal bir sonucudur; sistemin asli kazancı tüm senaryolarda değil, yalnızca yüksek bilişsel yük koşullarında ortaya çıkmaktadır. CLS düzeyine göre bu davranışın nasıl değiştiği Tablo 3’te özetlenmektedir.</w:t>
      </w:r>
    </w:p>
    <w:p>
      <w:pPr>
        <w:pStyle w:val="BodyText"/>
      </w:pPr>
      <w:r>
        <w:rPr>
          <w:b/>
          <w:bCs/>
        </w:rPr>
        <w:t xml:space="preserve">Tablo 3: CLS Düzeyine Göre AffectEV Adaptasyon Performansı ve Rejimler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Sürücü Durumu</w:t>
            </w:r>
          </w:p>
        </w:tc>
        <w:tc>
          <w:tcPr/>
          <w:p>
            <w:pPr>
              <w:pStyle w:val="Compact"/>
              <w:jc w:val="left"/>
            </w:pPr>
            <w:r>
              <w:t xml:space="preserve">CLS Değeri</w:t>
            </w:r>
          </w:p>
        </w:tc>
        <w:tc>
          <w:tcPr/>
          <w:p>
            <w:pPr>
              <w:pStyle w:val="Compact"/>
              <w:jc w:val="left"/>
            </w:pPr>
            <w:r>
              <w:t xml:space="preserve">Ağırlıklar (</w:t>
            </w:r>
            <m:oMath>
              <m:sSub>
                <m:e>
                  <m:r>
                    <m:t>w</m:t>
                  </m:r>
                </m:e>
                <m:sub>
                  <m:r>
                    <m:t>e</m:t>
                  </m:r>
                </m:sub>
              </m:sSub>
            </m:oMath>
            <w:r>
              <w:t xml:space="preserve"> </w:t>
            </w:r>
            <w:r>
              <w:t xml:space="preserve">/</w:t>
            </w:r>
            <w:r>
              <w:t xml:space="preserve"> </w:t>
            </w:r>
            <m:oMath>
              <m:sSub>
                <m:e>
                  <m:r>
                    <m:t>w</m:t>
                  </m:r>
                </m:e>
                <m:sub>
                  <m:r>
                    <m:t>t</m:t>
                  </m:r>
                </m:sub>
              </m:sSub>
            </m:oMath>
            <w:r>
              <w:t xml:space="preserve"> </w:t>
            </w:r>
            <w:r>
              <w:t xml:space="preserve">/</w:t>
            </w:r>
            <w:r>
              <w:t xml:space="preserve"> </w:t>
            </w:r>
            <m:oMath>
              <m:sSub>
                <m:e>
                  <m:r>
                    <m:t>w</m:t>
                  </m:r>
                </m:e>
                <m:sub>
                  <m:r>
                    <m:t>c</m:t>
                  </m:r>
                </m:sub>
              </m:sSub>
            </m:oMath>
            <w:r>
              <w:t xml:space="preserve">)</w:t>
            </w:r>
          </w:p>
        </w:tc>
        <w:tc>
          <w:tcPr/>
          <w:p>
            <w:pPr>
              <w:pStyle w:val="Compact"/>
              <w:jc w:val="left"/>
            </w:pPr>
            <w:r>
              <w:t xml:space="preserve">Konfor</w:t>
            </w:r>
          </w:p>
        </w:tc>
        <w:tc>
          <w:tcPr/>
          <w:p>
            <w:pPr>
              <w:pStyle w:val="Compact"/>
              <w:jc w:val="left"/>
            </w:pPr>
            <w:r>
              <w:t xml:space="preserve">Enerji (kWh)</w:t>
            </w:r>
          </w:p>
        </w:tc>
        <w:tc>
          <w:tcPr/>
          <w:p>
            <w:pPr>
              <w:pStyle w:val="Compact"/>
              <w:jc w:val="left"/>
            </w:pPr>
            <w:r>
              <w:t xml:space="preserve">Süre (dk)</w:t>
            </w:r>
          </w:p>
        </w:tc>
        <w:tc>
          <w:tcPr/>
          <w:p>
            <w:pPr>
              <w:pStyle w:val="Compact"/>
              <w:jc w:val="left"/>
            </w:pPr>
            <w:r>
              <w:t xml:space="preserve">Rejim</w:t>
            </w:r>
          </w:p>
        </w:tc>
      </w:tr>
      <w:tr>
        <w:tc>
          <w:tcPr/>
          <w:p>
            <w:pPr>
              <w:pStyle w:val="Compact"/>
              <w:jc w:val="left"/>
            </w:pPr>
            <w:r>
              <w:t xml:space="preserve">Çok Enerjik</w:t>
            </w:r>
          </w:p>
        </w:tc>
        <w:tc>
          <w:tcPr/>
          <w:p>
            <w:pPr>
              <w:pStyle w:val="Compact"/>
              <w:jc w:val="left"/>
            </w:pPr>
            <w:r>
              <w:t xml:space="preserve">15</w:t>
            </w:r>
          </w:p>
        </w:tc>
        <w:tc>
          <w:tcPr/>
          <w:p>
            <w:pPr>
              <w:pStyle w:val="Compact"/>
              <w:jc w:val="left"/>
            </w:pPr>
            <w:r>
              <w:t xml:space="preserve">0.50 / 0.40 / 0.10</w:t>
            </w:r>
          </w:p>
        </w:tc>
        <w:tc>
          <w:tcPr/>
          <w:p>
            <w:pPr>
              <w:pStyle w:val="Compact"/>
              <w:jc w:val="left"/>
            </w:pPr>
            <w:r>
              <w:t xml:space="preserve">47.3</w:t>
            </w:r>
          </w:p>
        </w:tc>
        <w:tc>
          <w:tcPr/>
          <w:p>
            <w:pPr>
              <w:pStyle w:val="Compact"/>
              <w:jc w:val="left"/>
            </w:pPr>
            <w:r>
              <w:t xml:space="preserve">7.1</w:t>
            </w:r>
          </w:p>
        </w:tc>
        <w:tc>
          <w:tcPr/>
          <w:p>
            <w:pPr>
              <w:pStyle w:val="Compact"/>
              <w:jc w:val="left"/>
            </w:pPr>
            <w:r>
              <w:t xml:space="preserve">43.5</w:t>
            </w:r>
          </w:p>
        </w:tc>
        <w:tc>
          <w:tcPr/>
          <w:p>
            <w:pPr>
              <w:pStyle w:val="Compact"/>
              <w:jc w:val="left"/>
            </w:pPr>
            <w:r>
              <w:rPr>
                <w:b/>
                <w:bCs/>
              </w:rPr>
              <w:t xml:space="preserve">V</w:t>
            </w:r>
          </w:p>
        </w:tc>
      </w:tr>
      <w:tr>
        <w:tc>
          <w:tcPr/>
          <w:p>
            <w:pPr>
              <w:pStyle w:val="Compact"/>
              <w:jc w:val="left"/>
            </w:pPr>
            <w:r>
              <w:t xml:space="preserve">Enerjik</w:t>
            </w:r>
          </w:p>
        </w:tc>
        <w:tc>
          <w:tcPr/>
          <w:p>
            <w:pPr>
              <w:pStyle w:val="Compact"/>
              <w:jc w:val="left"/>
            </w:pPr>
            <w:r>
              <w:t xml:space="preserve">30</w:t>
            </w:r>
          </w:p>
        </w:tc>
        <w:tc>
          <w:tcPr/>
          <w:p>
            <w:pPr>
              <w:pStyle w:val="Compact"/>
              <w:jc w:val="left"/>
            </w:pPr>
            <w:r>
              <w:t xml:space="preserve">0.40 / 0.35 / 0.25</w:t>
            </w:r>
          </w:p>
        </w:tc>
        <w:tc>
          <w:tcPr/>
          <w:p>
            <w:pPr>
              <w:pStyle w:val="Compact"/>
              <w:jc w:val="left"/>
            </w:pPr>
            <w:r>
              <w:t xml:space="preserve">49.6</w:t>
            </w:r>
          </w:p>
        </w:tc>
        <w:tc>
          <w:tcPr/>
          <w:p>
            <w:pPr>
              <w:pStyle w:val="Compact"/>
              <w:jc w:val="left"/>
            </w:pPr>
            <w:r>
              <w:t xml:space="preserve">7.8</w:t>
            </w:r>
          </w:p>
        </w:tc>
        <w:tc>
          <w:tcPr/>
          <w:p>
            <w:pPr>
              <w:pStyle w:val="Compact"/>
              <w:jc w:val="left"/>
            </w:pPr>
            <w:r>
              <w:t xml:space="preserve">44.7</w:t>
            </w:r>
          </w:p>
        </w:tc>
        <w:tc>
          <w:tcPr/>
          <w:p>
            <w:pPr>
              <w:pStyle w:val="Compact"/>
              <w:jc w:val="left"/>
            </w:pPr>
            <w:r>
              <w:rPr>
                <w:b/>
                <w:bCs/>
              </w:rPr>
              <w:t xml:space="preserve">V</w:t>
            </w:r>
          </w:p>
        </w:tc>
      </w:tr>
      <w:tr>
        <w:tc>
          <w:tcPr/>
          <w:p>
            <w:pPr>
              <w:pStyle w:val="Compact"/>
              <w:jc w:val="left"/>
            </w:pPr>
            <w:r>
              <w:t xml:space="preserve">Nötr</w:t>
            </w:r>
          </w:p>
        </w:tc>
        <w:tc>
          <w:tcPr/>
          <w:p>
            <w:pPr>
              <w:pStyle w:val="Compact"/>
              <w:jc w:val="left"/>
            </w:pPr>
            <w:r>
              <w:t xml:space="preserve">50</w:t>
            </w:r>
          </w:p>
        </w:tc>
        <w:tc>
          <w:tcPr/>
          <w:p>
            <w:pPr>
              <w:pStyle w:val="Compact"/>
              <w:jc w:val="left"/>
            </w:pPr>
            <w:r>
              <w:t xml:space="preserve">0.28 / 0.22 / 0.50</w:t>
            </w:r>
          </w:p>
        </w:tc>
        <w:tc>
          <w:tcPr/>
          <w:p>
            <w:pPr>
              <w:pStyle w:val="Compact"/>
              <w:jc w:val="left"/>
            </w:pPr>
            <w:r>
              <w:t xml:space="preserve">49.6</w:t>
            </w:r>
          </w:p>
        </w:tc>
        <w:tc>
          <w:tcPr/>
          <w:p>
            <w:pPr>
              <w:pStyle w:val="Compact"/>
              <w:jc w:val="left"/>
            </w:pPr>
            <w:r>
              <w:t xml:space="preserve">7.8</w:t>
            </w:r>
          </w:p>
        </w:tc>
        <w:tc>
          <w:tcPr/>
          <w:p>
            <w:pPr>
              <w:pStyle w:val="Compact"/>
              <w:jc w:val="left"/>
            </w:pPr>
            <w:r>
              <w:t xml:space="preserve">44.7</w:t>
            </w:r>
          </w:p>
        </w:tc>
        <w:tc>
          <w:tcPr/>
          <w:p>
            <w:pPr>
              <w:pStyle w:val="Compact"/>
              <w:jc w:val="left"/>
            </w:pPr>
            <w:r>
              <w:rPr>
                <w:b/>
                <w:bCs/>
              </w:rPr>
              <w:t xml:space="preserve">V</w:t>
            </w:r>
          </w:p>
        </w:tc>
      </w:tr>
      <w:tr>
        <w:tc>
          <w:tcPr/>
          <w:p>
            <w:pPr>
              <w:pStyle w:val="Compact"/>
              <w:jc w:val="left"/>
            </w:pPr>
            <w:r>
              <w:t xml:space="preserve">Yorgun</w:t>
            </w:r>
          </w:p>
        </w:tc>
        <w:tc>
          <w:tcPr/>
          <w:p>
            <w:pPr>
              <w:pStyle w:val="Compact"/>
              <w:jc w:val="left"/>
            </w:pPr>
            <w:r>
              <w:t xml:space="preserve">65</w:t>
            </w:r>
          </w:p>
        </w:tc>
        <w:tc>
          <w:tcPr/>
          <w:p>
            <w:pPr>
              <w:pStyle w:val="Compact"/>
              <w:jc w:val="left"/>
            </w:pPr>
            <w:r>
              <w:t xml:space="preserve">0.13 / 0.10 / 0.77</w:t>
            </w:r>
          </w:p>
        </w:tc>
        <w:tc>
          <w:tcPr/>
          <w:p>
            <w:pPr>
              <w:pStyle w:val="Compact"/>
              <w:jc w:val="left"/>
            </w:pPr>
            <w:r>
              <w:rPr>
                <w:b/>
                <w:bCs/>
              </w:rPr>
              <w:t xml:space="preserve">52.5</w:t>
            </w:r>
          </w:p>
        </w:tc>
        <w:tc>
          <w:tcPr/>
          <w:p>
            <w:pPr>
              <w:pStyle w:val="Compact"/>
              <w:jc w:val="left"/>
            </w:pPr>
            <w:r>
              <w:t xml:space="preserve">8.6</w:t>
            </w:r>
          </w:p>
        </w:tc>
        <w:tc>
          <w:tcPr/>
          <w:p>
            <w:pPr>
              <w:pStyle w:val="Compact"/>
              <w:jc w:val="left"/>
            </w:pPr>
            <w:r>
              <w:t xml:space="preserve">46.7</w:t>
            </w:r>
          </w:p>
        </w:tc>
        <w:tc>
          <w:tcPr/>
          <w:p>
            <w:pPr>
              <w:pStyle w:val="Compact"/>
              <w:jc w:val="left"/>
            </w:pPr>
            <w:r>
              <w:rPr>
                <w:b/>
                <w:bCs/>
              </w:rPr>
              <w:t xml:space="preserve">K</w:t>
            </w:r>
          </w:p>
        </w:tc>
      </w:tr>
      <w:tr>
        <w:tc>
          <w:tcPr/>
          <w:p>
            <w:pPr>
              <w:pStyle w:val="Compact"/>
              <w:jc w:val="left"/>
            </w:pPr>
            <w:r>
              <w:t xml:space="preserve">Stresli</w:t>
            </w:r>
          </w:p>
        </w:tc>
        <w:tc>
          <w:tcPr/>
          <w:p>
            <w:pPr>
              <w:pStyle w:val="Compact"/>
              <w:jc w:val="left"/>
            </w:pPr>
            <w:r>
              <w:t xml:space="preserve">85</w:t>
            </w:r>
          </w:p>
        </w:tc>
        <w:tc>
          <w:tcPr/>
          <w:p>
            <w:pPr>
              <w:pStyle w:val="Compact"/>
              <w:jc w:val="left"/>
            </w:pPr>
            <w:r>
              <w:t xml:space="preserve">0.08 / 0.07 / 0.85</w:t>
            </w:r>
          </w:p>
        </w:tc>
        <w:tc>
          <w:tcPr/>
          <w:p>
            <w:pPr>
              <w:pStyle w:val="Compact"/>
              <w:jc w:val="left"/>
            </w:pPr>
            <w:r>
              <w:rPr>
                <w:b/>
                <w:bCs/>
              </w:rPr>
              <w:t xml:space="preserve">52.5</w:t>
            </w:r>
          </w:p>
        </w:tc>
        <w:tc>
          <w:tcPr/>
          <w:p>
            <w:pPr>
              <w:pStyle w:val="Compact"/>
              <w:jc w:val="left"/>
            </w:pPr>
            <w:r>
              <w:t xml:space="preserve">8.6</w:t>
            </w:r>
          </w:p>
        </w:tc>
        <w:tc>
          <w:tcPr/>
          <w:p>
            <w:pPr>
              <w:pStyle w:val="Compact"/>
              <w:jc w:val="left"/>
            </w:pPr>
            <w:r>
              <w:t xml:space="preserve">46.7</w:t>
            </w:r>
          </w:p>
        </w:tc>
        <w:tc>
          <w:tcPr/>
          <w:p>
            <w:pPr>
              <w:pStyle w:val="Compact"/>
              <w:jc w:val="left"/>
            </w:pPr>
            <w:r>
              <w:rPr>
                <w:b/>
                <w:bCs/>
              </w:rPr>
              <w:t xml:space="preserve">K</w:t>
            </w:r>
          </w:p>
        </w:tc>
      </w:tr>
    </w:tbl>
    <w:p>
      <w:pPr>
        <w:pStyle w:val="BodyText"/>
      </w:pPr>
      <w:r>
        <w:rPr>
          <w:i/>
          <w:iCs/>
        </w:rPr>
        <w:t xml:space="preserve">(V: Verimlilik Rejimi, K: Konfor Rejimi)</w:t>
      </w:r>
    </w:p>
    <w:p>
      <w:pPr>
        <w:pStyle w:val="BodyText"/>
      </w:pPr>
      <w:r>
        <w:t xml:space="preserve">Tablo 3, beş kademeli ağırlık şemasının pratikte iki ana davranışsal rejimde (Verimlilik ve Konfor) çalıştığını göstermektedir. Sistem, fiilen CLS≈50 civarında bir eşikle çalışarak, enerjik durumlarda verimliliği önceliklendirirken yorgun ve stresli durumlarda doğrudan konfor rejimine geçiş yapmaktadır.</w:t>
      </w:r>
    </w:p>
    <w:p>
      <w:pPr>
        <w:pStyle w:val="BodyText"/>
      </w:pPr>
      <w:r>
        <w:t xml:space="preserve">Bu davranışın harita üzerindeki somut yansıması Şekil 3’te ve örnek vaka verileri Tablo 4’te sunulmuştur (Keçiören → Bilkent, Başlangıç SoC: %75 senaryosu).</w:t>
      </w:r>
    </w:p>
    <w:p>
      <w:pPr>
        <w:pStyle w:val="BodyText"/>
      </w:pPr>
      <w:r>
        <w:drawing>
          <wp:inline>
            <wp:extent cx="5334000" cy="4256424"/>
            <wp:effectExtent b="0" l="0" r="0" t="0"/>
            <wp:docPr descr="Şekil 3: Düşük ve yüksek CLS rotalarının Ankara haritası üzerinde karşılaştırması" title="" id="24" name="Picture"/>
            <a:graphic>
              <a:graphicData uri="http://schemas.openxmlformats.org/drawingml/2006/picture">
                <pic:pic>
                  <pic:nvPicPr>
                    <pic:cNvPr descr="C:\Projects\RoutingPlaning\figB_rota.png" id="25" name="Picture"/>
                    <pic:cNvPicPr>
                      <a:picLocks noChangeArrowheads="1" noChangeAspect="1"/>
                    </pic:cNvPicPr>
                  </pic:nvPicPr>
                  <pic:blipFill>
                    <a:blip r:embed="rId23"/>
                    <a:stretch>
                      <a:fillRect/>
                    </a:stretch>
                  </pic:blipFill>
                  <pic:spPr bwMode="auto">
                    <a:xfrm>
                      <a:off x="0" y="0"/>
                      <a:ext cx="5334000" cy="4256424"/>
                    </a:xfrm>
                    <a:prstGeom prst="rect">
                      <a:avLst/>
                    </a:prstGeom>
                    <a:noFill/>
                    <a:ln w="9525">
                      <a:noFill/>
                      <a:headEnd/>
                      <a:tailEnd/>
                    </a:ln>
                  </pic:spPr>
                </pic:pic>
              </a:graphicData>
            </a:graphic>
          </wp:inline>
        </w:drawing>
      </w:r>
      <w:r>
        <w:t xml:space="preserve"> </w:t>
      </w:r>
      <w:r>
        <w:rPr>
          <w:b/>
          <w:bCs/>
        </w:rPr>
        <w:t xml:space="preserve">Şekil 3:</w:t>
      </w:r>
      <w:r>
        <w:t xml:space="preserve"> </w:t>
      </w:r>
      <w:r>
        <w:t xml:space="preserve">Düşük ve yüksek CLS rotalarının Ankara haritası üzerinde karşılaştırması</w:t>
      </w:r>
    </w:p>
    <w:p>
      <w:pPr>
        <w:pStyle w:val="BodyText"/>
      </w:pPr>
      <w:r>
        <w:rPr>
          <w:b/>
          <w:bCs/>
        </w:rPr>
        <w:t xml:space="preserve">Tablo 4: Keçiören - Bilkent Senaryosu Rota Üretimi Karşılaştırması</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Algoritma / Durum</w:t>
            </w:r>
          </w:p>
        </w:tc>
        <w:tc>
          <w:tcPr/>
          <w:p>
            <w:pPr>
              <w:pStyle w:val="Compact"/>
              <w:jc w:val="left"/>
            </w:pPr>
            <w:r>
              <w:t xml:space="preserve">Mesafe (km)</w:t>
            </w:r>
          </w:p>
        </w:tc>
        <w:tc>
          <w:tcPr/>
          <w:p>
            <w:pPr>
              <w:pStyle w:val="Compact"/>
              <w:jc w:val="left"/>
            </w:pPr>
            <w:r>
              <w:t xml:space="preserve">Süre (dk)</w:t>
            </w:r>
          </w:p>
        </w:tc>
        <w:tc>
          <w:tcPr/>
          <w:p>
            <w:pPr>
              <w:pStyle w:val="Compact"/>
              <w:jc w:val="left"/>
            </w:pPr>
            <w:r>
              <w:t xml:space="preserve">Enerji (kWh)</w:t>
            </w:r>
          </w:p>
        </w:tc>
        <w:tc>
          <w:tcPr/>
          <w:p>
            <w:pPr>
              <w:pStyle w:val="Compact"/>
              <w:jc w:val="left"/>
            </w:pPr>
            <w:r>
              <w:t xml:space="preserve">Nihai SoC (%)</w:t>
            </w:r>
          </w:p>
        </w:tc>
        <w:tc>
          <w:tcPr/>
          <w:p>
            <w:pPr>
              <w:pStyle w:val="Compact"/>
              <w:jc w:val="left"/>
            </w:pPr>
            <w:r>
              <w:t xml:space="preserve">Konfor (0-100)</w:t>
            </w:r>
          </w:p>
        </w:tc>
      </w:tr>
      <w:tr>
        <w:tc>
          <w:tcPr/>
          <w:p>
            <w:pPr>
              <w:pStyle w:val="Compact"/>
              <w:jc w:val="left"/>
            </w:pPr>
            <w:r>
              <w:t xml:space="preserve">Geleneksel (A*)</w:t>
            </w:r>
          </w:p>
        </w:tc>
        <w:tc>
          <w:tcPr/>
          <w:p>
            <w:pPr>
              <w:pStyle w:val="Compact"/>
              <w:jc w:val="left"/>
            </w:pPr>
            <w:r>
              <w:rPr>
                <w:b/>
                <w:bCs/>
              </w:rPr>
              <w:t xml:space="preserve">23.0</w:t>
            </w:r>
          </w:p>
        </w:tc>
        <w:tc>
          <w:tcPr/>
          <w:p>
            <w:pPr>
              <w:pStyle w:val="Compact"/>
              <w:jc w:val="left"/>
            </w:pPr>
            <w:r>
              <w:rPr>
                <w:b/>
                <w:bCs/>
              </w:rPr>
              <w:t xml:space="preserve">43.3</w:t>
            </w:r>
          </w:p>
        </w:tc>
        <w:tc>
          <w:tcPr/>
          <w:p>
            <w:pPr>
              <w:pStyle w:val="Compact"/>
              <w:jc w:val="left"/>
            </w:pPr>
            <w:r>
              <w:rPr>
                <w:b/>
                <w:bCs/>
              </w:rPr>
              <w:t xml:space="preserve">4.99</w:t>
            </w:r>
          </w:p>
        </w:tc>
        <w:tc>
          <w:tcPr/>
          <w:p>
            <w:pPr>
              <w:pStyle w:val="Compact"/>
              <w:jc w:val="left"/>
            </w:pPr>
            <w:r>
              <w:rPr>
                <w:b/>
                <w:bCs/>
              </w:rPr>
              <w:t xml:space="preserve">%66.7</w:t>
            </w:r>
          </w:p>
        </w:tc>
        <w:tc>
          <w:tcPr/>
          <w:p>
            <w:pPr>
              <w:pStyle w:val="Compact"/>
              <w:jc w:val="left"/>
            </w:pPr>
            <w:r>
              <w:t xml:space="preserve">39</w:t>
            </w:r>
          </w:p>
        </w:tc>
      </w:tr>
      <w:tr>
        <w:tc>
          <w:tcPr/>
          <w:p>
            <w:pPr>
              <w:pStyle w:val="Compact"/>
              <w:jc w:val="left"/>
            </w:pPr>
            <w:r>
              <w:t xml:space="preserve">AffectEV / Düşük CLS</w:t>
            </w:r>
          </w:p>
        </w:tc>
        <w:tc>
          <w:tcPr/>
          <w:p>
            <w:pPr>
              <w:pStyle w:val="Compact"/>
              <w:jc w:val="left"/>
            </w:pPr>
            <w:r>
              <w:rPr>
                <w:b/>
                <w:bCs/>
              </w:rPr>
              <w:t xml:space="preserve">23.0</w:t>
            </w:r>
          </w:p>
        </w:tc>
        <w:tc>
          <w:tcPr/>
          <w:p>
            <w:pPr>
              <w:pStyle w:val="Compact"/>
              <w:jc w:val="left"/>
            </w:pPr>
            <w:r>
              <w:rPr>
                <w:b/>
                <w:bCs/>
              </w:rPr>
              <w:t xml:space="preserve">43.3</w:t>
            </w:r>
          </w:p>
        </w:tc>
        <w:tc>
          <w:tcPr/>
          <w:p>
            <w:pPr>
              <w:pStyle w:val="Compact"/>
              <w:jc w:val="left"/>
            </w:pPr>
            <w:r>
              <w:rPr>
                <w:b/>
                <w:bCs/>
              </w:rPr>
              <w:t xml:space="preserve">4.99</w:t>
            </w:r>
          </w:p>
        </w:tc>
        <w:tc>
          <w:tcPr/>
          <w:p>
            <w:pPr>
              <w:pStyle w:val="Compact"/>
              <w:jc w:val="left"/>
            </w:pPr>
            <w:r>
              <w:rPr>
                <w:b/>
                <w:bCs/>
              </w:rPr>
              <w:t xml:space="preserve">%66.7</w:t>
            </w:r>
          </w:p>
        </w:tc>
        <w:tc>
          <w:tcPr/>
          <w:p>
            <w:pPr>
              <w:pStyle w:val="Compact"/>
              <w:jc w:val="left"/>
            </w:pPr>
            <w:r>
              <w:t xml:space="preserve">39</w:t>
            </w:r>
          </w:p>
        </w:tc>
      </w:tr>
      <w:tr>
        <w:tc>
          <w:tcPr/>
          <w:p>
            <w:pPr>
              <w:pStyle w:val="Compact"/>
              <w:jc w:val="left"/>
            </w:pPr>
            <w:r>
              <w:t xml:space="preserve">AffectEV / Yüksek CLS</w:t>
            </w:r>
          </w:p>
        </w:tc>
        <w:tc>
          <w:tcPr/>
          <w:p>
            <w:pPr>
              <w:pStyle w:val="Compact"/>
              <w:jc w:val="left"/>
            </w:pPr>
            <w:r>
              <w:t xml:space="preserve">44.0</w:t>
            </w:r>
          </w:p>
        </w:tc>
        <w:tc>
          <w:tcPr/>
          <w:p>
            <w:pPr>
              <w:pStyle w:val="Compact"/>
              <w:jc w:val="left"/>
            </w:pPr>
            <w:r>
              <w:t xml:space="preserve">52.8</w:t>
            </w:r>
          </w:p>
        </w:tc>
        <w:tc>
          <w:tcPr/>
          <w:p>
            <w:pPr>
              <w:pStyle w:val="Compact"/>
              <w:jc w:val="left"/>
            </w:pPr>
            <w:r>
              <w:t xml:space="preserve">9.18</w:t>
            </w:r>
          </w:p>
        </w:tc>
        <w:tc>
          <w:tcPr/>
          <w:p>
            <w:pPr>
              <w:pStyle w:val="Compact"/>
              <w:jc w:val="left"/>
            </w:pPr>
            <w:r>
              <w:t xml:space="preserve">%59.7</w:t>
            </w:r>
          </w:p>
        </w:tc>
        <w:tc>
          <w:tcPr/>
          <w:p>
            <w:pPr>
              <w:pStyle w:val="Compact"/>
              <w:jc w:val="left"/>
            </w:pPr>
            <w:r>
              <w:rPr>
                <w:b/>
                <w:bCs/>
              </w:rPr>
              <w:t xml:space="preserve">55</w:t>
            </w:r>
          </w:p>
        </w:tc>
      </w:tr>
    </w:tbl>
    <w:p>
      <w:pPr>
        <w:pStyle w:val="BodyText"/>
      </w:pPr>
      <w:r>
        <w:t xml:space="preserve">Geleneksel A* algoritması, sürücü durumundan bağımsız olarak her koşulda 23 km’lik kısa-süre-odaklı rotayı seçmektedir. AffectEV ise, düşük CLS’li sürücü için bu verimli rotayı korurken; yüksek CLS’li sürücü için daha az kesintili bulvar koridorlarını kullanarak 44 km’lik alternatif bir rota üretmektedir. Bu tercih, artan enerji tüketimi (4.99 kWh’den 9.18 kWh’ye) ve uzayan mesafe (23 km’den 44 km’ye) ödünleşimi ile sonuçlansa da, sistemin asli amacı olan sürüş konforunu 39’dan 55 puana (%41 oranında) çıkartmayı başarmaktadır.</w:t>
      </w:r>
    </w:p>
    <w:bookmarkEnd w:id="26"/>
    <w:bookmarkStart w:id="28" w:name="sonuçlar-ve-tartışma"/>
    <w:p>
      <w:pPr>
        <w:pStyle w:val="Heading2"/>
      </w:pPr>
      <w:r>
        <w:t xml:space="preserve">5. Sonuçlar ve Tartışma</w:t>
      </w:r>
    </w:p>
    <w:p>
      <w:pPr>
        <w:pStyle w:val="FirstParagraph"/>
      </w:pPr>
      <w:r>
        <w:t xml:space="preserve">Bu çalışmada, elektrikli araçlar için batarya SoC limitlerini, kinematik yol dinamiklerini ve sürücünün anlık bilişsel profilini entegre bir biçimde işleyen bütüncül bir rota planlama mimarisi ortaya konmuştur. Deneysel sonuçlar, geleneksel algoritmaların sürücünün durumundan bağımsız stresli rotalar üretebildiğini; AffectEV modelinin ise yüksek bilişsel yüke maruz kalan yorgun bir sürücü için mesafe ve enerji tüketimi artışını göze alarak sürüş konforunu artırabildiğini işaret etmektedir. D-NSGA-II algoritmasının eşzamanlı dengeleme kabiliyeti ve Q-learning altyapısının uyarlanabilirliği, sistemi yalnızca navigasyon olmaktan çıkarıp duruma duyarlı bir asistan haline getirmektedir.</w:t>
      </w:r>
    </w:p>
    <w:bookmarkStart w:id="27" w:name="sınırlılıklar"/>
    <w:p>
      <w:pPr>
        <w:pStyle w:val="Heading3"/>
      </w:pPr>
      <w:r>
        <w:t xml:space="preserve">Sınırlılıklar</w:t>
      </w:r>
    </w:p>
    <w:p>
      <w:pPr>
        <w:pStyle w:val="FirstParagraph"/>
      </w:pPr>
      <w:r>
        <w:t xml:space="preserve">Bu çalışma kapsamında gerçekleştirilen testler, Ankara yol ağında tek tip bir araç profili (Tesla Model 3) ve sentetik kullanıcı/trafik verileri kullanılarak simüle edilmiştir. Biyometrik sensörlerden gerçek zamanlı çıkarım yapan kestirim modülünün eğitimi ve doğrulanması kapsam dışı bırakılmıştır; bu nedenle CLS değerleri kontrollü senaryo parametresi olarak atanmıştır. Gelecek çalışmalarda sistemin gerçek sürücü telemetrisi, canlı trafik API’leri ve daha geniş araç segmentleriyle desteklenerek otonom bir seyir asistanına entegre edilmesi hedeflenmektedir.</w:t>
      </w:r>
    </w:p>
    <w:bookmarkEnd w:id="27"/>
    <w:bookmarkEnd w:id="28"/>
    <w:bookmarkStart w:id="29" w:name="kaynakça"/>
    <w:p>
      <w:pPr>
        <w:pStyle w:val="Heading2"/>
      </w:pPr>
      <w:r>
        <w:t xml:space="preserve">6. Kaynakça</w:t>
      </w:r>
    </w:p>
    <w:p>
      <w:pPr>
        <w:pStyle w:val="FirstParagraph"/>
      </w:pPr>
      <w:r>
        <w:t xml:space="preserve">[1] M. Abid, M. Tabaa, A. Chakir, and H. Hachimi, “Routing and charging of electric vehicles: A literature review,” Energy Reports, Vol. 8, Suppl. 9, pp. 556-578, 2022.</w:t>
      </w:r>
      <w:r>
        <w:t xml:space="preserve"> </w:t>
      </w:r>
      <w:r>
        <w:t xml:space="preserve">[2] C. Ye, W. He, and H. Chen, “Electric vehicle routing models and solution algorithms in logistics distribution: A systematic review,” Environmental Science and Pollution Research, Vol. 29, pp. 57067-57090, 2022.</w:t>
      </w:r>
      <w:r>
        <w:t xml:space="preserve"> </w:t>
      </w:r>
      <w:r>
        <w:t xml:space="preserve">[3] P. A. Hancock, G. M. Hancock, and C. M. Janelle, “The impact of emotions and emotion regulation on driving performance,” Work, Vol. 41, Suppl. 1, pp. 3608-3611, 2012.</w:t>
      </w:r>
      <w:r>
        <w:t xml:space="preserve"> </w:t>
      </w:r>
      <w:r>
        <w:t xml:space="preserve">[4] G. Underwood, P. Chapman, S. Wright, and D. Crundall, “Vehicular traffic and visual attention,” Perception, Vol. 31, No. 3, pp. 233-246, 2002.</w:t>
      </w:r>
      <w:r>
        <w:t xml:space="preserve"> </w:t>
      </w:r>
      <w:r>
        <w:t xml:space="preserve">[5] A.-R. Houalef, F. Delavernhe, S.-M. Senouci, and E. Aglzim, “Data-driven, personalized route planning for connected electric vehicles: Optimizing time, energy, and charging stops,” Applied Energy, Vol. 402, p. 126887, 2025.</w:t>
      </w:r>
      <w:r>
        <w:t xml:space="preserve"> </w:t>
      </w:r>
      <w:r>
        <w:t xml:space="preserve">[6] D. Bethge, D. Bulanda, A. Kozlowski, T. Kosch, A. Schmidt, and T. Grosse-Puppendahl, “HappyRouting: Learning emotion-aware route trajectories for scalable in-the-wild navigation,” Proceedings of MobileHCI 2024, 2024.</w:t>
      </w:r>
      <w:r>
        <w:t xml:space="preserve"> </w:t>
      </w:r>
      <w:r>
        <w:t xml:space="preserve">[7] K. Deb, A. Pratap, S. Agarwal, and T. Meyarivan, “A fast and elitist multiobjective genetic algorithm: NSGA-II,” IEEE Transactions on Evolutionary Computation, Vol. 6, No. 2, pp. 182-197, 2002.</w:t>
      </w:r>
      <w:r>
        <w:t xml:space="preserve"> </w:t>
      </w:r>
      <w:r>
        <w:t xml:space="preserve">[8] R. Gutiérrez-Moreno, Á. Llamazares, P. Revenga, and M. Ocaña, “Electric vehicle route optimization: An end-to-end learning approach with multi-objective planning,” World Electric Vehicle Journal, Vol. 17, No. 1, p. 41, 2026.</w:t>
      </w:r>
      <w:r>
        <w:t xml:space="preserve"> </w:t>
      </w:r>
      <w:r>
        <w:t xml:space="preserve">[9] C. J. C. H. Watkins and P. Dayan, “Q-learning,” Machine Learning, Vol. 8, pp. 279-292, 1992.</w:t>
      </w:r>
      <w:r>
        <w:t xml:space="preserve"> </w:t>
      </w:r>
      <w:r>
        <w:t xml:space="preserve">[10] A. Snoeck, A. Bhargava, D. Merchan, J. Davis, and J. Pachon, “Energy estimation of last-mile electric vehicle routes,” Proceedings of the ACM International Conference on Artificial Intelligence, 2024.</w:t>
      </w:r>
      <w:r>
        <w:t xml:space="preserve"> </w:t>
      </w:r>
      <w:r>
        <w:t xml:space="preserve">[11] H. S. Zhang, H. K. Fathy, and J. L. Stein, “Energy management and battery optimization in electric vehicles: A review,” Applied Energy, Vol. 262, p. 114660, 2020.</w:t>
      </w:r>
      <w:r>
        <w:t xml:space="preserve"> </w:t>
      </w:r>
      <w:r>
        <w:t xml:space="preserve">[12] E. W. Dijkstra,</w:t>
      </w:r>
      <w:r>
        <w:t xml:space="preserve"> </w:t>
      </w:r>
      <w:r>
        <w:t xml:space="preserve">“A note on two problems in connexion with graphs,”</w:t>
      </w:r>
      <w:r>
        <w:t xml:space="preserve"> </w:t>
      </w:r>
      <w:r>
        <w:t xml:space="preserve">Numerische Mathematik, Vol. 1, pp. 269-271, 1959.</w:t>
      </w:r>
      <w:r>
        <w:t xml:space="preserve"> </w:t>
      </w:r>
      <w:r>
        <w:t xml:space="preserve">[13] P. E. Hart, N. J. Nilsson, and B. Raphael,</w:t>
      </w:r>
      <w:r>
        <w:t xml:space="preserve"> </w:t>
      </w:r>
      <w:r>
        <w:t xml:space="preserve">“A Formal Basis for the Heuristic Determination of Minimum Cost Paths,”</w:t>
      </w:r>
      <w:r>
        <w:t xml:space="preserve"> </w:t>
      </w:r>
      <w:r>
        <w:t xml:space="preserve">IEEE Transactions on Systems Science and Cybernetics, Vol. 4, No. 2, pp. 100-107, 1968.</w:t>
      </w:r>
      <w:r>
        <w:t xml:space="preserve"> </w:t>
      </w:r>
      <w:r>
        <w:t xml:space="preserve">[14] A. Haddad, T. Tlili, N. Dahmani, and S. Krichen, “Integrating NSGA-II and Q-learning for solving the multi-objective electric vehicle routing problem with battery swapping stations,” International Journal of Intelligent Transportation Systems Research, Vol. 23, pp. 840-856, 2025.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2026-08-30T15:01:42Z</dcterms:created>
  <dcterms:modified xsi:type="dcterms:W3CDTF">2026-08-30T15:01:42Z</dcterms:modified>
</cp:coreProperties>
</file>

<file path=docProps/custom.xml><?xml version="1.0" encoding="utf-8"?>
<Properties xmlns="http://schemas.openxmlformats.org/officeDocument/2006/custom-properties" xmlns:vt="http://schemas.openxmlformats.org/officeDocument/2006/docPropsVTypes"/>
</file>