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Rachel Rayes</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Rachel’s hard work and attentiveness are reflected clearly in hers performance on assessments, homework, and lab work. We want to encourage Rachel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Rachel’s self-evaluation, she expressed that hers felt great improvement in the area of content knowledge; Rachel’s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