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856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153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color w:val="0F766E"/>
          <w:sz w:val="27"/>
        </w:rPr>
        <w:t>Оглавление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Глоссарий терминов и сокращений</w:t>
      </w:r>
    </w:p>
    <w:p>
      <w:pPr>
        <w:spacing w:after="80"/>
        <w:jc w:val="both"/>
      </w:pPr>
      <w:r>
        <w:rPr>
          <w:b/>
        </w:rPr>
        <w:t>NDVI (Normalized Difference Vegetation Index)</w:t>
      </w:r>
      <w:r>
        <w:t xml:space="preserve"> — нормализованный разностный вегетационный индекс, количественная мера фотосинтетически активной биомассы.</w:t>
      </w:r>
    </w:p>
    <w:p>
      <w:pPr>
        <w:spacing w:after="80"/>
        <w:jc w:val="both"/>
      </w:pPr>
      <w:r>
        <w:rPr>
          <w:b/>
        </w:rPr>
        <w:t>CWSI (Crop Water Stress Index)</w:t>
      </w:r>
      <w:r>
        <w:t xml:space="preserve"> — индекс водного стресса растений, нормированный по теоретическим пределам транспирации.</w:t>
      </w:r>
    </w:p>
    <w:p>
      <w:pPr>
        <w:spacing w:after="80"/>
        <w:jc w:val="both"/>
      </w:pPr>
      <w:r>
        <w:rPr>
          <w:b/>
        </w:rPr>
        <w:t>VPD (Vapor Pressure Deficit)</w:t>
      </w:r>
      <w:r>
        <w:t xml:space="preserve"> — дефицит упругости водяного пара воздуха (кПа), ключевой движущий градиент транспирации.</w:t>
      </w:r>
    </w:p>
    <w:p>
      <w:pPr>
        <w:spacing w:after="80"/>
        <w:jc w:val="both"/>
      </w:pPr>
      <w:r>
        <w:rPr>
          <w:b/>
        </w:rPr>
        <w:t>NoIR</w:t>
      </w:r>
      <w:r>
        <w:t xml:space="preserve"> — сенсор без встроенного отсекающего инфракрасного фильтра (No Infrared).</w:t>
      </w:r>
    </w:p>
    <w:p>
      <w:pPr>
        <w:spacing w:after="80"/>
        <w:jc w:val="both"/>
      </w:pPr>
      <w:r>
        <w:rPr>
          <w:b/>
        </w:rPr>
        <w:t>NETD (Noise Equivalent Temperature Difference)</w:t>
      </w:r>
      <w:r>
        <w:t xml:space="preserve"> — пороговая температурная чувствительность тепловизионной матрицы.</w:t>
      </w:r>
    </w:p>
    <w:p>
      <w:pPr>
        <w:spacing w:after="80"/>
        <w:jc w:val="both"/>
      </w:pPr>
      <w:r>
        <w:rPr>
          <w:b/>
        </w:rPr>
        <w:t>Ground Truth</w:t>
      </w:r>
      <w:r>
        <w:t xml:space="preserve"> — эталонные независимые физические измерения истинного состояния объекта.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Научная и практическая проблема, цель и задачи исследования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1.1. Постановка проблемы и ее актуальность</w:t>
      </w:r>
    </w:p>
    <w:p>
      <w:pPr>
        <w:spacing w:after="80"/>
        <w:jc w:val="both"/>
      </w:pPr>
      <w:r>
        <w:br/>
        <w:t xml:space="preserve">    В современных интенсивных агробиотехнологических системах (сити-фермы, автоматизированные тепличные комбинаты, гидропонные и аэропонные комплексы, селекционные фитотроны) урожайность и сохранность культур критически зависят от своевременной компенсации стрессовых факторов корневой зоны. Среди них ведущую роль играют почвенная засуха (водный стресс) и засоление питательного субстрата (осмотический стресс).</w:t>
        <w:br/>
        <w:t xml:space="preserve">    </w:t>
      </w:r>
    </w:p>
    <w:p>
      <w:pPr>
        <w:spacing w:after="80"/>
        <w:jc w:val="both"/>
      </w:pPr>
      <w:r>
        <w:br/>
        <w:t xml:space="preserve">    Традиционный агрономический контроль основан на визуальной оценке состояния растений (утрата тургора листовых пластин, пожелтение и хлороз) либо на показаниях контактных емкостных и кондуктометрических датчиков влажности субстрата. Однако оба подхода обладают фундаментальными недостатками:</w:t>
        <w:br/>
        <w:t xml:space="preserve">    </w:t>
      </w:r>
    </w:p>
    <w:p>
      <w:pPr>
        <w:pStyle w:val="ListBullet"/>
        <w:spacing w:after="40"/>
      </w:pPr>
      <w:r>
        <w:rPr>
          <w:b/>
        </w:rPr>
        <w:t>Задержка визуальной диагностики (48–72 часа)</w:t>
      </w:r>
      <w:r>
        <w:t>: к моменту появления видимых признаков увядания в мезофилле листа развиваются необратимые ультраструктурные патологии — плазмолиз клеток, распад хлорофилл-белковых комплексов тилакоидов фотосистемы II (PSII) и резкое снижение фотохимического квантового выхода. Последующий полив уже не способен предотвратить падение биомассы на 20–35%.</w:t>
      </w:r>
    </w:p>
    <w:p>
      <w:pPr>
        <w:pStyle w:val="ListBullet"/>
        <w:spacing w:after="40"/>
      </w:pPr>
      <w:r>
        <w:rPr>
          <w:b/>
        </w:rPr>
        <w:t>Метрологическая «слепота» почвенных сенсоров к осмотическому стрессу</w:t>
      </w:r>
      <w:r>
        <w:t>: при накоплении солей (натриевое, хлоридное засоление) физическая влажность субстрата сохраняется высокой (&gt;70–80%). Контактные датчики рапортуют о нормальной гидрообеспеченности, однако из-за резкого снижения осмотического потенциала почвенного раствора ($Ψ_s$) корни теряют способность поглощать воду. Возникает так называемая «физиологическая засуха», которую стандартная автоматика распознать не способна.</w:t>
      </w:r>
    </w:p>
    <w:p>
      <w:pPr>
        <w:pStyle w:val="ListBullet"/>
        <w:spacing w:after="40"/>
      </w:pPr>
      <w:r>
        <w:rPr>
          <w:b/>
        </w:rPr>
        <w:t>Несовершенство бытовых мультиспектральных камер</w:t>
      </w:r>
      <w:r>
        <w:t>: пассивные мультиспектральные сенсоры подвержены перекрестному наложению оптических каналов красителей матрицы Байера (RGB), температурному дрейфу и критически зависят от случайных флуктуаций комнатного освещения.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1.2. Научная гипотеза</w:t>
      </w:r>
    </w:p>
    <w:p>
      <w:pPr>
        <w:spacing w:after="80"/>
        <w:jc w:val="both"/>
      </w:pPr>
      <w:r>
        <w:br/>
        <w:t xml:space="preserve">    Синхронный мониторинг оптической плотности листа в характеристической полосе избирательного поглощения хлорофилла </w:t>
      </w:r>
      <w:r>
        <w:rPr>
          <w:i/>
        </w:rPr>
        <w:t>a/b</w:t>
      </w:r>
      <w:r>
        <w:t xml:space="preserve"> (λ</w:t>
      </w:r>
      <w:r>
        <w:t>1</w:t>
      </w:r>
      <w:r>
        <w:t xml:space="preserve"> = 660 нм) и плато максимального отражения губчатого мезофилла (λ</w:t>
      </w:r>
      <w:r>
        <w:t>2</w:t>
      </w:r>
      <w:r>
        <w:t xml:space="preserve"> = 850 нм) в сочетании с высокочувствительной микроболометрической термографией транспирационного испарения (ΔT = T</w:t>
      </w:r>
      <w:r>
        <w:t>leaf</w:t>
      </w:r>
      <w:r>
        <w:t xml:space="preserve"> − T</w:t>
      </w:r>
      <w:r>
        <w:t>air</w:t>
      </w:r>
      <w:r>
        <w:t xml:space="preserve">) позволяет статистически достоверно (p &lt; 0.01) диагностировать наступление водного и осмотического стресса растений </w:t>
      </w:r>
      <w:r>
        <w:rPr>
          <w:b/>
        </w:rPr>
        <w:t>на 36–54 часа раньше проявления визуальных макросимптомов</w:t>
      </w:r>
      <w:r>
        <w:t>.</w:t>
        <w:br/>
        <w:t xml:space="preserve">    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1.3. Цель и задачи проектной работы</w:t>
      </w:r>
    </w:p>
    <w:p>
      <w:pPr>
        <w:spacing w:after="80"/>
        <w:jc w:val="both"/>
      </w:pPr>
      <w:r>
        <w:br/>
      </w:r>
      <w:r>
        <w:rPr>
          <w:b/>
        </w:rPr>
        <w:t>Цель исследования</w:t>
      </w:r>
      <w:r>
        <w:t>: разработка, аппаратно-программная реализация и экспериментальная валидация автономного оптико-электронного комплекса активной двухволновой спектрофотометрии и термографии для ранней неинвазивной индикации водного и осмотического стресса культурных растений.</w:t>
        <w:br/>
        <w:t xml:space="preserve">    </w:t>
      </w:r>
    </w:p>
    <w:p>
      <w:pPr>
        <w:spacing w:after="80"/>
        <w:jc w:val="both"/>
      </w:pPr>
      <w:r>
        <w:rPr>
          <w:b/>
        </w:rPr>
        <w:t>Для достижения цели поставлены следующие конкретные задачи:</w:t>
      </w:r>
    </w:p>
    <w:p>
      <w:pPr>
        <w:pStyle w:val="ListNumber"/>
        <w:spacing w:after="40"/>
      </w:pPr>
      <w:r>
        <w:t>Разработать оптическую схему активного стробирования на длинах волн 660 нм и 850 нм с физическим демультиплексированием кремниевой матрицы NoIR и трехкадровым дифференциальным алгоритмом компенсации внешнего освещения.</w:t>
      </w:r>
    </w:p>
    <w:p>
      <w:pPr>
        <w:pStyle w:val="ListNumber"/>
        <w:spacing w:after="40"/>
      </w:pPr>
      <w:r>
        <w:t>Интегрировать микроболометрический термографический узел на базе UNI-T UTi120S с разработкой алгоритма автоматической оптической детекции температуры листа (OCR Tesseract) и вычислением дифференциального температурного индекса транспирации ΔT.</w:t>
      </w:r>
    </w:p>
    <w:p>
      <w:pPr>
        <w:pStyle w:val="ListNumber"/>
        <w:spacing w:after="40"/>
      </w:pPr>
      <w:r>
        <w:t>Спроектировать и изготовить методом лазерной резки компактный фотометрический кубический бокс (200 × 200 × 200 мм) из березовой фанеры с лабиринтными светоловушками для исключения паразитных оптических засветок.</w:t>
      </w:r>
    </w:p>
    <w:p>
      <w:pPr>
        <w:pStyle w:val="ListNumber"/>
        <w:spacing w:after="40"/>
      </w:pPr>
      <w:r>
        <w:t>Создать метрологический контур Ground-Truth на базе прецизионного гравиметрического весового метода (дискретность 0.1 г), 16-битного АЦП ADS1115 и сенсора микроклимата Sensirion SHT30 с непрерывным расчетом дефицита упругости водяного пара (VPD).</w:t>
      </w:r>
    </w:p>
    <w:p>
      <w:pPr>
        <w:pStyle w:val="ListNumber"/>
        <w:spacing w:after="40"/>
      </w:pPr>
      <w:r>
        <w:t>Разработать локальную веб-станцию оператора (FastAPI, OpenCV) для автоматизированного проведения калибровочных серий и экспорта аналитических данных.</w:t>
      </w:r>
    </w:p>
    <w:p>
      <w:pPr>
        <w:pStyle w:val="ListNumber"/>
        <w:spacing w:after="40"/>
      </w:pPr>
      <w:r>
        <w:t>Провести 7-дневный биологический эксперимент на модельной культуре гороха посевного (</w:t>
      </w:r>
      <w:r>
        <w:rPr>
          <w:i/>
        </w:rPr>
        <w:t>Pisum sativum</w:t>
      </w:r>
      <w:r>
        <w:t>) в трех репрезентативных когортах (Контроль, Водный дефицит, Осмотическое засоление NaCl 1.5%) при n = 30 с математико-статистической обработкой в среде SciPy.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2. Анализ исследований и обзор существующих решений</w:t>
      </w:r>
    </w:p>
    <w:p>
      <w:pPr>
        <w:spacing w:after="80"/>
        <w:jc w:val="both"/>
      </w:pPr>
      <w:r>
        <w:br/>
        <w:t xml:space="preserve">    Фундаментальные основы оптической диагностики растений заложены в работах H.W. Gausman (1977), исследовавшего оптические свойства мезофилла, и J. Peñuelas (1993), предложившего индекс фотохимического отражения (PRI). Использование нормализованного разностного вегетационного индекса (NDVI = (NIR − Red) / (NIR + Red)), предложенного J.W. Rouse (1974), традиционно применяется в дистанционном зондировании Земли с космических аппаратов Landsat и Sentinel. Однако перенос данного метода в лабораторные боксы и защищенный грунт сталкивается с проблемой нелинейного смешения сигналов при рассеянном солнечном или искусственном светодиодном досвечивании.</w:t>
        <w:br/>
        <w:t xml:space="preserve">    </w:t>
      </w:r>
    </w:p>
    <w:p>
      <w:pPr>
        <w:spacing w:after="80"/>
        <w:jc w:val="both"/>
      </w:pPr>
      <w:r>
        <w:br/>
        <w:t xml:space="preserve">    В области термографии растений фундаментальными являются работы H.G. Jones (1999, 2002) и R.D. Jackson (1981), доказавших, что закрытие устьичных щелей в ответ на дефицит почвенной влаги приводит к прекращению транспирационного охлаждения листа и повышению его температуры относительно воздуха на 1.5–3.5 °C.</w:t>
        <w:br/>
        <w:t xml:space="preserve">    </w:t>
      </w:r>
    </w:p>
    <w:p>
      <w:pPr>
        <w:spacing w:after="80"/>
        <w:jc w:val="both"/>
      </w:pPr>
      <w:r>
        <w:br/>
        <w:t xml:space="preserve">    В таблице 1 представлен сравнительный анализ существующих инструментальных аналогов и разработанного оптико-электронного комплекса:</w:t>
        <w:br/>
        <w:t xml:space="preserve">  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Характеристика / Решение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Лабораторный спектрофотометр (Ocean Optics / Shimadzu)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Мультиспектральные агродроны (DJI Mavic 3M)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Почвенные станции (Емкостные сенсоры влажности)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Разработанный комплекс (NDVI &amp; Термография)</w:t>
            </w:r>
          </w:p>
        </w:tc>
      </w:tr>
      <w:tr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Стоимость комплекса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&gt; 1 500 000 руб.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&gt; 450 000 руб.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15 000 – 40 000 руб.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≤ 12 000 руб.</w:t>
            </w:r>
          </w:p>
        </w:tc>
      </w:tr>
      <w:tr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Раннее обнаружение (Δt)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 (по хлорофиллу)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Ограничено (высота полета)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Нет (задержка 48 ч)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 (за 36–54 ч до увядания)</w:t>
            </w:r>
          </w:p>
        </w:tc>
      </w:tr>
      <w:tr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Детекция осмотического стресса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Косвенно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Нет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 способна (видит влагу)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 (синхронно по ΔT и NDVI)</w:t>
            </w:r>
          </w:p>
        </w:tc>
      </w:tr>
      <w:tr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Независимость от освещения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Требует затемнения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Зависит от погоды/солнца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Не применимо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 (активное стробирование)</w:t>
            </w:r>
          </w:p>
        </w:tc>
      </w:tr>
      <w:tr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Интеграция термографии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Отсутствует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Отсутствует (или низкое разр.)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Отсутствует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 (UTi120S микроболометр)</w:t>
            </w:r>
          </w:p>
        </w:tc>
      </w:tr>
    </w:tbl>
    <w:p>
      <w:pPr>
        <w:spacing w:after="120"/>
      </w:pPr>
    </w:p>
    <w:p>
      <w:pPr>
        <w:spacing w:after="80"/>
        <w:jc w:val="both"/>
      </w:pPr>
      <w:r>
        <w:br/>
        <w:t xml:space="preserve">    Проведенный патентно-информационный обзор подтверждает, что доступных портативных приборов, сочетающих активное двухволновое импульсное стробирование с радиометрическим вычитанием комнатного фона, дифференциальную термографию и гравиметрическую верификацию в едином бюджетном контуре, на рынке не представлено.</w:t>
        <w:br/>
        <w:t xml:space="preserve">    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Технологии, методы и аппаратное обеспечение комплекса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3.1. Аппаратно-программная архитектура</w:t>
      </w:r>
    </w:p>
    <w:p>
      <w:pPr>
        <w:spacing w:after="80"/>
        <w:jc w:val="both"/>
      </w:pPr>
      <w:r>
        <w:br/>
        <w:t xml:space="preserve">    Комплекс построен на базе 8-ядерного одноплатного микрокомпьютера </w:t>
      </w:r>
      <w:r>
        <w:rPr>
          <w:b/>
        </w:rPr>
        <w:t>Orange Pi 4 Pro</w:t>
      </w:r>
      <w:r>
        <w:t xml:space="preserve"> (процессор Allwinner A733 / sun60iw2: 2 ядра Cortex-A76 @ 2.0 ГГц + 6 ядер Cortex-A55 @ 1.8 ГГц, 4 ГБ LPDDR4X) под управлением операционной системы Linux Ubuntu / Armbian.</w:t>
        <w:br/>
        <w:t xml:space="preserve">    </w:t>
      </w:r>
    </w:p>
    <w:p>
      <w:pPr>
        <w:spacing w:after="80"/>
        <w:jc w:val="both"/>
      </w:pPr>
      <w:r>
        <w:rPr>
          <w:b/>
        </w:rPr>
        <w:t>В состав аппаратного тракта входят следующие специализированные узлы:</w:t>
      </w:r>
    </w:p>
    <w:p>
      <w:pPr>
        <w:pStyle w:val="ListNumber"/>
        <w:spacing w:after="40"/>
      </w:pPr>
      <w:r>
        <w:rPr>
          <w:b/>
        </w:rPr>
        <w:t>Оптический сенсор NoIR</w:t>
      </w:r>
      <w:r>
        <w:t>: USB-камера высокого разрешения с физически демонтированным ИК-светофильтром (IR-cut filter). Программный захват через стек V4L2 с жесткой фиксацией экспозиции (CAP_PROP_AUTO_EXPOSURE = 1, exposure = 120) и отключением AWB для гарантированной линейности фотоотклика.</w:t>
      </w:r>
    </w:p>
    <w:p>
      <w:pPr>
        <w:pStyle w:val="ListNumber"/>
        <w:spacing w:after="40"/>
      </w:pPr>
      <w:r>
        <w:rPr>
          <w:b/>
        </w:rPr>
        <w:t>Селективный двухволновой стробоскопический излучатель</w:t>
      </w:r>
      <w:r>
        <w:t>:</w:t>
        <w:br/>
        <w:t xml:space="preserve">            </w:t>
      </w:r>
      <w:r>
        <w:br/>
        <w:t>Канал 1: узкополосный эмиттер Deep Red (λ = 660 нм, ток 550 мА, прямое падение 2.45 В);</w:t>
        <w:br/>
        <w:t>Канал 2: узкополосный эмиттер NIR (λ = 850 нм, ток 450 мА, прямое падение 1.85 В);</w:t>
        <w:br/>
        <w:t>Силовая развязка выполнена на двух независимых импульсных понижающих преобразователях Mini360 и двухканальном оптоизолированном релейном модуле, управляемом через шину ядра /dev/gpiochip1 (линии PL4 и PL7).</w:t>
        <w:br/>
      </w:r>
      <w:r>
        <w:br/>
      </w:r>
    </w:p>
    <w:p>
      <w:pPr>
        <w:pStyle w:val="ListNumber"/>
        <w:spacing w:after="40"/>
      </w:pPr>
      <w:r>
        <w:rPr>
          <w:b/>
        </w:rPr>
        <w:t>Инфракрасный тепловизионный модуль UNI-T UTi120S</w:t>
      </w:r>
      <w:r>
        <w:t>:</w:t>
        <w:br/>
        <w:t xml:space="preserve">            неохлаждаемая микроболометрическая матрица 120 × 90 пикселей, спектральный диапазон 8–14 мкм, чувствительность NETD &lt; 0.06 °C. Модуль фиксирует радиационную температуру листа (T</w:t>
      </w:r>
      <w:r>
        <w:t>leaf</w:t>
      </w:r>
      <w:r>
        <w:t>, излучательная способность ε = 0.98) и референтную температуру воздуха (T</w:t>
      </w:r>
      <w:r>
        <w:t>air</w:t>
      </w:r>
      <w:r>
        <w:t>).</w:t>
        <w:br/>
        <w:t xml:space="preserve">        </w:t>
      </w:r>
    </w:p>
    <w:p>
      <w:pPr>
        <w:pStyle w:val="ListNumber"/>
        <w:spacing w:after="40"/>
      </w:pPr>
      <w:r>
        <w:rPr>
          <w:b/>
        </w:rPr>
        <w:t>Сенсорный Ground-Truth контур</w:t>
      </w:r>
      <w:r>
        <w:t>:</w:t>
        <w:br/>
        <w:t xml:space="preserve">            16-битный аналого-цифровой преобразователь ADS1115 (шина I2C) с емкостными датчиками влажности субстрата v1.2, цифровой климатический сенсор Sensirion SHT30 (I2C/UDP, погрешность ±0.3 °C) и прецизионные лабораторные весы с дискретностью 0.1 г.</w:t>
        <w:br/>
        <w:t xml:space="preserve">        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3.2. Математический аппарат и алгоритмы обработки данных</w:t>
      </w:r>
    </w:p>
    <w:p>
      <w:pPr>
        <w:spacing w:after="80"/>
        <w:jc w:val="both"/>
      </w:pPr>
      <w:r>
        <w:br/>
      </w:r>
      <w:r>
        <w:rPr>
          <w:b/>
        </w:rPr>
        <w:t>1. Физическое демультиплексирование байеровской матрицы NoIR</w:t>
      </w:r>
      <w:r>
        <w:t>:</w:t>
      </w:r>
      <w:r/>
      <w:r>
        <w:br/>
        <w:t xml:space="preserve">    В отличие от наивного преобразования RGB в Grayscale, занижающего красный сигнал более чем втрое, реализована адресная сепарация: для канала 660 нм берется чистый монохромный красный подуровень (R = frame[:, :, 2]), а для 850 нм — среднее арифметическое (R + G + B)/3, обусловленное равномерной прозрачностью кремниевой подложки в ближнем ИК.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2. Трехкадровый протокол радиометрической компенсации фоновой засветки</w:t>
      </w:r>
      <w:r>
        <w:t>:</w:t>
      </w:r>
      <w:r/>
      <w:r>
        <w:br/>
        <w:t xml:space="preserve">    Для обеспечения стабильности замера при любом неконтролируемом внешнем комнатном освещении алгоритм последовательно захватывает три кадра: I</w:t>
      </w:r>
      <w:r>
        <w:t>ambient</w:t>
      </w:r>
      <w:r>
        <w:t xml:space="preserve"> (фон, эмиттеры выключены), I</w:t>
      </w:r>
      <w:r>
        <w:t>NIR</w:t>
      </w:r>
      <w:r>
        <w:t xml:space="preserve"> (вспышка 850 нм) и I</w:t>
      </w:r>
      <w:r>
        <w:t>Red</w:t>
      </w:r>
      <w:r>
        <w:t xml:space="preserve"> (вспышка 660 нм). Чистые спектральные интенсивности вычисляются дифференциально:</w:t>
        <w:br/>
        <w:t xml:space="preserve">    </w:t>
      </w:r>
    </w:p>
    <w:p>
      <w:pPr>
        <w:spacing w:after="80"/>
        <w:jc w:val="both"/>
      </w:pPr>
      <w:r>
        <w:br/>
        <w:t xml:space="preserve">    NIR</w:t>
      </w:r>
      <w:r>
        <w:t>clean</w:t>
      </w:r>
      <w:r>
        <w:t xml:space="preserve"> = max(0, I</w:t>
      </w:r>
      <w:r>
        <w:t>NIR</w:t>
      </w:r>
      <w:r>
        <w:t xml:space="preserve"> − I</w:t>
      </w:r>
      <w:r>
        <w:t>ambient</w:t>
      </w:r>
      <w:r>
        <w:t>),   Red</w:t>
      </w:r>
      <w:r>
        <w:t>clean</w:t>
      </w:r>
      <w:r>
        <w:t xml:space="preserve"> = max(0, I</w:t>
      </w:r>
      <w:r>
        <w:t>Red</w:t>
      </w:r>
      <w:r>
        <w:t xml:space="preserve"> − I</w:t>
      </w:r>
      <w:r>
        <w:t>ambient</w:t>
      </w:r>
      <w:r>
        <w:t>)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3. Радиометрическая калибровка по белому диффузному эталону и расчет NDVI</w:t>
      </w:r>
      <w:r>
        <w:t>:</w:t>
      </w:r>
      <w:r/>
      <w:r>
        <w:br/>
        <w:t xml:space="preserve">    Для полной компенсации температурного дрейфа 3W светодиодов и нестабильности драйверов питания на дне камеры в свободной угловой зоне стационарно закреплен диффузный белый эталон (White Reference Target — спектрально-нейтральный матовый картон с ламбертовым светорассеянием, R</w:t>
      </w:r>
      <w:r>
        <w:t>660</w:t>
      </w:r>
      <w:r>
        <w:t xml:space="preserve"> ≈ R</w:t>
      </w:r>
      <w:r>
        <w:t>850</w:t>
      </w:r>
      <w:r>
        <w:t xml:space="preserve"> ≈ 0.88–0.90, эталонная базовая линия NDVI</w:t>
      </w:r>
      <w:r>
        <w:t>ref</w:t>
      </w:r>
      <w:r>
        <w:t xml:space="preserve"> ≡ 0.000). Программа в каждом цикле замера рассчитывает динамический балансировочный коэффициент k</w:t>
      </w:r>
      <w:r>
        <w:t>bal</w:t>
      </w:r>
      <w:r>
        <w:t xml:space="preserve"> = I</w:t>
      </w:r>
      <w:r>
        <w:t>660</w:t>
      </w:r>
      <w:r>
        <w:t>white</w:t>
      </w:r>
      <w:r>
        <w:t xml:space="preserve"> / I</w:t>
      </w:r>
      <w:r>
        <w:t>850</w:t>
      </w:r>
      <w:r>
        <w:t>white</w:t>
      </w:r>
      <w:r>
        <w:t>. Итоговый калиброванный вегетационный индекс вычисляется попиксельно:</w:t>
        <w:br/>
        <w:t xml:space="preserve">    </w:t>
      </w:r>
    </w:p>
    <w:p>
      <w:pPr>
        <w:spacing w:after="80"/>
        <w:jc w:val="both"/>
      </w:pPr>
      <w:r>
        <w:br/>
        <w:t xml:space="preserve">    NDVI = (k</w:t>
      </w:r>
      <w:r>
        <w:t>bal</w:t>
      </w:r>
      <w:r>
        <w:t xml:space="preserve"> · NIR</w:t>
      </w:r>
      <w:r>
        <w:t>clean</w:t>
      </w:r>
      <w:r>
        <w:t xml:space="preserve"> − Red</w:t>
      </w:r>
      <w:r>
        <w:t>clean</w:t>
      </w:r>
      <w:r>
        <w:t>) / (k</w:t>
      </w:r>
      <w:r>
        <w:t>bal</w:t>
      </w:r>
      <w:r>
        <w:t xml:space="preserve"> · NIR</w:t>
      </w:r>
      <w:r>
        <w:t>clean</w:t>
      </w:r>
      <w:r>
        <w:t xml:space="preserve"> + Red</w:t>
      </w:r>
      <w:r>
        <w:t>clean</w:t>
      </w:r>
      <w:r>
        <w:t>)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4. Оптическая фидуциальная маркировка ArUco и субпиксельное пространственное масштабирование</w:t>
      </w:r>
      <w:r>
        <w:t>:</w:t>
      </w:r>
      <w:r/>
      <w:r>
        <w:br/>
        <w:t xml:space="preserve">    На каждую кассету нанесен фидуциальный маркер ArUco (словарь DICT_4X4_50, ID 1–6, габариты 25.0 × 25.0 мм = 6.25 см²). Алгоритм OpenCV (модуль </w:t>
      </w:r>
      <w:r>
        <w:rPr>
          <w:rFonts w:ascii="Consolas" w:hAnsi="Consolas"/>
          <w:color w:val="0F766E"/>
          <w:sz w:val="20"/>
        </w:rPr>
        <w:t>aruco</w:t>
      </w:r>
      <w:r>
        <w:t>) с предварительным адаптивным выравниванием гистограммы CLAHE за &lt;15 мс автоматически распознает номер кассеты в пакетном режиме съемки (устраняя риск человеческой ошибки оператора при нарушении очередности), а также вычисляет точный масштабный коэффициент пикселей в физическую площадь: k</w:t>
      </w:r>
      <w:r>
        <w:t>scale</w:t>
      </w:r>
      <w:r>
        <w:t xml:space="preserve"> = 6.25 / A</w:t>
      </w:r>
      <w:r>
        <w:t>aruco_px</w:t>
      </w:r>
      <w:r>
        <w:t xml:space="preserve"> (см²/px).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5. Морфологический анализ проективной площади листьев (Projected Leaf Area, PLA)</w:t>
      </w:r>
      <w:r>
        <w:t>:</w:t>
      </w:r>
      <w:r/>
      <w:r>
        <w:br/>
        <w:t xml:space="preserve">    В дополнение к спектральным и термическим характеристикам комплекс рассчитывает физическую проективную площадь листового аппарата. Маска фотосинтетически активной биомассы формируется сегментацией по калиброванному вегетационному индексу: mask</w:t>
      </w:r>
      <w:r>
        <w:t>leaf</w:t>
      </w:r>
      <w:r>
        <w:t xml:space="preserve"> = (NDVI &gt; 0.22) с геометрическим вычитанием областей белого эталона и маркера ArUco. Суммарная площадь листьев вычисляется как S</w:t>
      </w:r>
      <w:r>
        <w:t>leaf</w:t>
      </w:r>
      <w:r>
        <w:t xml:space="preserve"> = ∑ mask</w:t>
      </w:r>
      <w:r>
        <w:t>leaf</w:t>
      </w:r>
      <w:r>
        <w:t xml:space="preserve"> · k</w:t>
      </w:r>
      <w:r>
        <w:t>scale</w:t>
      </w:r>
      <w:r>
        <w:t xml:space="preserve"> (см²), а также детализируется раздельно для каждой из 9 ячеек кассеты (3 × 3) для выявления микролокальной неравномерности развития биомассы.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6. Расчет нормализованного индекса водного стресса (CWSI)</w:t>
      </w:r>
      <w:r>
        <w:t>:</w:t>
      </w:r>
      <w:r/>
      <w:r>
        <w:br/>
        <w:t xml:space="preserve">    Для нивелирования абсолютной погрешности тепловизора (±2 °C) применяется нормализованный индекс устьичного сопротивления:</w:t>
        <w:br/>
        <w:t xml:space="preserve">    </w:t>
      </w:r>
    </w:p>
    <w:p>
      <w:pPr>
        <w:spacing w:after="80"/>
        <w:jc w:val="both"/>
      </w:pPr>
      <w:r>
        <w:br/>
        <w:t xml:space="preserve">    CWSI = ( (T</w:t>
      </w:r>
      <w:r>
        <w:t>leaf</w:t>
      </w:r>
      <w:r>
        <w:t xml:space="preserve"> − T</w:t>
      </w:r>
      <w:r>
        <w:t>air</w:t>
      </w:r>
      <w:r>
        <w:t>) − (T</w:t>
      </w:r>
      <w:r>
        <w:t>wet</w:t>
      </w:r>
      <w:r>
        <w:t xml:space="preserve"> − T</w:t>
      </w:r>
      <w:r>
        <w:t>air</w:t>
      </w:r>
      <w:r>
        <w:t>) ) / ( (T</w:t>
      </w:r>
      <w:r>
        <w:t>dry</w:t>
      </w:r>
      <w:r>
        <w:t xml:space="preserve"> − T</w:t>
      </w:r>
      <w:r>
        <w:t>air</w:t>
      </w:r>
      <w:r>
        <w:t>) − (T</w:t>
      </w:r>
      <w:r>
        <w:t>wet</w:t>
      </w:r>
      <w:r>
        <w:t xml:space="preserve"> − T</w:t>
      </w:r>
      <w:r>
        <w:t>air</w:t>
      </w:r>
      <w:r>
        <w:t>) ) = (T</w:t>
      </w:r>
      <w:r>
        <w:t>leaf</w:t>
      </w:r>
      <w:r>
        <w:t xml:space="preserve"> − T</w:t>
      </w:r>
      <w:r>
        <w:t>wet</w:t>
      </w:r>
      <w:r>
        <w:t>) / (T</w:t>
      </w:r>
      <w:r>
        <w:t>dry</w:t>
      </w:r>
      <w:r>
        <w:t xml:space="preserve"> − T</w:t>
      </w:r>
      <w:r>
        <w:t>wet</w:t>
      </w:r>
      <w:r>
        <w:t>)</w:t>
        <w:br/>
        <w:t xml:space="preserve">    </w:t>
      </w:r>
    </w:p>
    <w:p>
      <w:pPr>
        <w:spacing w:after="80"/>
        <w:jc w:val="both"/>
      </w:pPr>
      <w:r>
        <w:br/>
        <w:t xml:space="preserve">    где T</w:t>
      </w:r>
      <w:r>
        <w:t>wet</w:t>
      </w:r>
      <w:r>
        <w:t xml:space="preserve"> = T</w:t>
      </w:r>
      <w:r>
        <w:t>air</w:t>
      </w:r>
      <w:r>
        <w:t xml:space="preserve"> − 3.2 °C (предельное транспирационное охлаждение), T</w:t>
      </w:r>
      <w:r>
        <w:t>dry</w:t>
      </w:r>
      <w:r>
        <w:t xml:space="preserve"> = T</w:t>
      </w:r>
      <w:r>
        <w:t>air</w:t>
      </w:r>
      <w:r>
        <w:t xml:space="preserve"> + 2.0 °C (закрытые устьица). Дифференциальная форма аннулирует аддитивную систематическую ошибку калибровки болометра.</w:t>
        <w:br/>
        <w:t xml:space="preserve">    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3.3. Конструкция фотометрического кубического бокса (Лазерный раскрой с шип-пазом)</w:t>
      </w:r>
    </w:p>
    <w:p>
      <w:pPr>
        <w:spacing w:after="80"/>
        <w:jc w:val="both"/>
      </w:pPr>
      <w:r>
        <w:br/>
        <w:t xml:space="preserve">    Для изоляции исследуемых растений спроектирован кубический фотометрический бокс с полезным объемом 220 × 220 × 220 мм из шлифованной березовой фанеры толщиной 4 мм. Стенки соединяются высокопрочным самоцентрирующимся замком «шип-паз» (finger-joint) с компенсацией лазерного керфа 0.1 мм. Чертеж выполнен единым мастер-листом (0_Raskroy_Kuba_220_Full_Sheet.svg) под лазерный гравер Acmer S1 Pro 20W:</w:t>
        <w:br/>
        <w:t xml:space="preserve">    </w:t>
      </w:r>
    </w:p>
    <w:p>
      <w:pPr>
        <w:pStyle w:val="ListBullet"/>
        <w:spacing w:after="40"/>
      </w:pPr>
      <w:r>
        <w:t>Верхняя крышка несет на себе жестко ориентированные узлы: гнездо камеры NoIR (d = 17 мм, крепеж M2.5), оптическое окно тепловизора UTi120S (d = 26 мм), посадочные радиаторы диодов 660 и 850 нм, вытяжной вентилятор 4010 и кабель-канал.</w:t>
      </w:r>
    </w:p>
    <w:p>
      <w:pPr>
        <w:pStyle w:val="ListBullet"/>
        <w:spacing w:after="40"/>
      </w:pPr>
      <w:r>
        <w:t>Внутренний объем куба (220 × 220 мм) спроектирован под стандартные рассадные кассеты 180 × 135 × 60 мм (9 ячеек, 3 × 3), обеспечивая удобные зазоры для манипуляций руками и полное покрытие поля зрения (FOV) объектива.</w:t>
      </w:r>
    </w:p>
    <w:p>
      <w:pPr>
        <w:pStyle w:val="ListBullet"/>
        <w:spacing w:after="40"/>
      </w:pPr>
      <w:r>
        <w:t>В боковых стенках выполнены трехсекционные лабиринтные светоловушки охлаждения, гасящие внешние световые блики.</w:t>
      </w:r>
    </w:p>
    <w:p>
      <w:pPr>
        <w:pStyle w:val="ListBullet"/>
        <w:spacing w:after="40"/>
      </w:pPr>
      <w:r>
        <w:t>На фасадную стенку и боковую панель методом векторной лазерной гравировки нанесены официальные эмблемы Всероссийского конкурса «Большие вызовы» и направления «Агропромышленные и биотехнологии».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4. Экспериментальные результаты и статистическая валидация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4.1. Дизайн модельного эксперимента</w:t>
      </w:r>
    </w:p>
    <w:p>
      <w:pPr>
        <w:spacing w:after="80"/>
        <w:jc w:val="both"/>
      </w:pPr>
      <w:r>
        <w:br/>
        <w:t xml:space="preserve">    Верификация комплекса проведена в контролируемых климатических условиях (T</w:t>
      </w:r>
      <w:r>
        <w:t>air</w:t>
      </w:r>
      <w:r>
        <w:t xml:space="preserve"> = 23.5 ± 0.8 °C, RH = 64 ± 4%, VPD = 0.62 ± 0.08 кПа, фотопериод 14/10 ч) на проростках гороха посевного (</w:t>
      </w:r>
      <w:r>
        <w:rPr>
          <w:i/>
        </w:rPr>
        <w:t>Pisum sativum</w:t>
      </w:r>
      <w:r>
        <w:t>) в возрасте 14 суток. Общая выборка составила n = 30 растений, разбитых на три рандомизированные группы по 10 кассет:</w:t>
        <w:br/>
        <w:t xml:space="preserve">    </w:t>
      </w:r>
    </w:p>
    <w:p>
      <w:pPr>
        <w:pStyle w:val="ListBullet"/>
        <w:spacing w:after="40"/>
      </w:pPr>
      <w:r>
        <w:rPr>
          <w:b/>
        </w:rPr>
        <w:t>Группа 1 (Контроль)</w:t>
      </w:r>
      <w:r>
        <w:t>: регулярное увлажнение дистиллированной водой до 75–80% полной влагоемкости (ПВ).</w:t>
      </w:r>
    </w:p>
    <w:p>
      <w:pPr>
        <w:pStyle w:val="ListBullet"/>
        <w:spacing w:after="40"/>
      </w:pPr>
      <w:r>
        <w:rPr>
          <w:b/>
        </w:rPr>
        <w:t>Группа 2 (Водный стресс / Засуха)</w:t>
      </w:r>
      <w:r>
        <w:t>: полное прекращение полива с нулевых суток эксперимента.</w:t>
      </w:r>
    </w:p>
    <w:p>
      <w:pPr>
        <w:pStyle w:val="ListBullet"/>
        <w:spacing w:after="40"/>
      </w:pPr>
      <w:r>
        <w:rPr>
          <w:b/>
        </w:rPr>
        <w:t>Группа 3 (Осмотический стресс / Засоление)</w:t>
      </w:r>
      <w:r>
        <w:t>: полив 1.5% водным раствором NaCl (эквивалентно осмотическому давлению раствора ∼1.2 МПа при стабильной влажности субстрата 78–82%).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4.2. Мультимодальные результаты и «окно упреждения»</w:t>
      </w:r>
    </w:p>
    <w:p>
      <w:pPr>
        <w:spacing w:after="80"/>
        <w:jc w:val="both"/>
      </w:pPr>
      <w:r>
        <w:br/>
        <w:t xml:space="preserve">    На рисунке 1 приведен синхронный мультиспектральный триптих модельного растения когорты «Водный стресс» на 4-е сутки эксперимента: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Ключевые феноменологические закономерности:</w:t>
      </w:r>
      <w:r>
        <w:br/>
      </w:r>
    </w:p>
    <w:p>
      <w:pPr>
        <w:pStyle w:val="ListNumber"/>
        <w:spacing w:after="40"/>
      </w:pPr>
      <w:r>
        <w:rPr>
          <w:b/>
        </w:rPr>
        <w:t>18–24 часа стресса</w:t>
      </w:r>
      <w:r>
        <w:t>: растения обеих стрессовых групп внешне неотличимы от контроля (тургор 100%, хлороз 0%). Однако тепловизор фиксирует резкий рост дифференциальной температуры: ΔT возрастает с −2.1 ± 0.3 °C до −0.2 ± 0.2 °C (закрытие устьичного аппарата для минимизации потерь влаги). Гравиметрия подтверждает падение скорости эвапотранспирации на 68%.</w:t>
      </w:r>
    </w:p>
    <w:p>
      <w:pPr>
        <w:pStyle w:val="ListNumber"/>
        <w:spacing w:after="40"/>
      </w:pPr>
      <w:r>
        <w:rPr>
          <w:b/>
        </w:rPr>
        <w:t>Морфологическая стагнация площади листьев (PLA) в первые 24–36 часов</w:t>
      </w:r>
      <w:r>
        <w:t>: в контрольной группе проективная площадь листьев монотонно росла со скоростью +1.7 см²/сутки (увеличение биомассы на +41.8% за 7 дней). В стрессовых когортах «Засуха» и «Соль» деление и растяжение клеток мезофилла полностью заблокировались уже к исходу 1-х суток (ΔS &lt; 0.3 см²/сут), а к 5-м суткам из-за утраты тургора и скручивания листовых пластин регистрируемая площадь PLA снизилась на 18.3% и 15.6% соответственно.</w:t>
      </w:r>
    </w:p>
    <w:p>
      <w:pPr>
        <w:pStyle w:val="ListNumber"/>
        <w:spacing w:after="40"/>
      </w:pPr>
      <w:r>
        <w:rPr>
          <w:b/>
        </w:rPr>
        <w:t>48–72 часа стресса</w:t>
      </w:r>
      <w:r>
        <w:t>: в когорте «Засуха» влажность субстрата падает ниже 20%, лист становится горячее воздуха (ΔT = +0.6 ± 0.2 °C). Начинается деструкция хлорофилла: средний NDVI падает с 0.74 до 0.52 (падение на 29.7%, p &lt; 0.001). При этом визуальное увядание листьев наступает только на 5-е сутки (96–110 часов).</w:t>
      </w:r>
    </w:p>
    <w:p>
      <w:pPr>
        <w:pStyle w:val="ListNumber"/>
        <w:spacing w:after="40"/>
      </w:pPr>
      <w:r>
        <w:rPr>
          <w:b/>
        </w:rPr>
        <w:t>Осмотический феномен в группе «Соль»</w:t>
      </w:r>
      <w:r>
        <w:t xml:space="preserve">: емкостной датчик показывает влажность 80.4% («норма»), однако растение находится в состоянии глубокого водного голодания: ΔT достигает +0.5 °C уже к концу 2-х суток, а NDVI синхронно деградирует до 0.49. Комплекс зафиксировал осмотический шок за </w:t>
      </w:r>
      <w:r>
        <w:rPr>
          <w:b/>
        </w:rPr>
        <w:t>54 часа до появления признаков солевого краевого некроза</w:t>
      </w:r>
      <w:r>
        <w:t>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4.3. Статистическая достоверность межгрупповых различий (SciPy)</w:t>
      </w:r>
    </w:p>
    <w:p>
      <w:pPr>
        <w:spacing w:after="80"/>
        <w:jc w:val="both"/>
      </w:pPr>
      <w:r>
        <w:br/>
        <w:t xml:space="preserve">    На рисунке 2 представлена 7-дневная динамика контролируемых параметров с доверительными интервалами (95% CI):</w:t>
        <w:br/>
        <w:t xml:space="preserve">    </w:t>
      </w:r>
    </w:p>
    <w:p>
      <w:pPr>
        <w:spacing w:after="80"/>
        <w:jc w:val="both"/>
      </w:pPr>
      <w:r>
        <w:br/>
        <w:t xml:space="preserve">    Двухвыборочный t-критерий Стьюдента для независимых выборок на 3-и сутки показал:</w:t>
        <w:br/>
        <w:t xml:space="preserve">    различия между контрольной и засушливой когортами по ΔT составляют t = 8.94 (p = 2.4 × 10</w:t>
      </w:r>
      <w:r>
        <w:t>−8</w:t>
      </w:r>
      <w:r>
        <w:t>), по NDVI — t = 7.12 (p = 4.1 × 10</w:t>
      </w:r>
      <w:r>
        <w:t>−7</w:t>
      </w:r>
      <w:r>
        <w:t>), по площади листьев PLA — t = 6.45 (p = 1.8 × 10</w:t>
      </w:r>
      <w:r>
        <w:t>−6</w:t>
      </w:r>
      <w:r>
        <w:t>). Различия между контролем и солевой группой по ΔT составляют t = 8.15 (p = 9.8 × 10</w:t>
      </w:r>
      <w:r>
        <w:t>−8</w:t>
      </w:r>
      <w:r>
        <w:t>), по PLA — t = 5.92 (p = 4.2 × 10</w:t>
      </w:r>
      <w:r>
        <w:t>−6</w:t>
      </w:r>
      <w:r>
        <w:t>).</w:t>
        <w:br/>
        <w:t xml:space="preserve">    Таким образом, гипотеза о возможности достоверной детекции стресса с опережением в 36–54 часа полностью доказана экспериментально.</w:t>
        <w:br/>
        <w:t xml:space="preserve">    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5. Выводы</w:t>
      </w:r>
    </w:p>
    <w:p>
      <w:pPr>
        <w:pStyle w:val="ListNumber"/>
        <w:spacing w:after="40"/>
      </w:pPr>
      <w:r>
        <w:t>Создан и успешно испытан законченный аппаратно-программный комплекс мультимодальной триады: активной двухволновой спектрофотометрии (660/850 нм), тепловизионной микроболометрии и морфологического анализа площади листьев (PLA) для прецизионного фенотипирования растений.</w:t>
      </w:r>
    </w:p>
    <w:p>
      <w:pPr>
        <w:pStyle w:val="ListNumber"/>
        <w:spacing w:after="40"/>
      </w:pPr>
      <w:r>
        <w:t xml:space="preserve">Экспериментально подтверждена научная гипотеза: комбинация спектрального демультиплексирования NoIR, морфометрии PLA и микроболометрии регистрирует наступление водного стресса на </w:t>
      </w:r>
      <w:r>
        <w:rPr>
          <w:b/>
        </w:rPr>
        <w:t>42–48 часов</w:t>
      </w:r>
      <w:r>
        <w:t xml:space="preserve">, а осмотического стресса — на </w:t>
      </w:r>
      <w:r>
        <w:rPr>
          <w:b/>
        </w:rPr>
        <w:t>48–54 часа раньше появления видимых симптомов</w:t>
      </w:r>
      <w:r>
        <w:t xml:space="preserve"> (p &lt; 0.001).</w:t>
      </w:r>
    </w:p>
    <w:p>
      <w:pPr>
        <w:pStyle w:val="ListNumber"/>
        <w:spacing w:after="40"/>
      </w:pPr>
      <w:r>
        <w:t>Впервые решена проблема слепоты стандартной тепличной автоматики к осмотическому засолению субстрата при сохранении высокой влажности почвы (&gt;75%).</w:t>
      </w:r>
    </w:p>
    <w:p>
      <w:pPr>
        <w:pStyle w:val="ListNumber"/>
        <w:spacing w:after="40"/>
      </w:pPr>
      <w:r>
        <w:t>Применение оригинального 3-кадрового алгоритма дифференциального вычитания фона обеспечило полную инвариантность оптических измерений к паразитным колебаниям внешнего освещения (ошибка &lt; 1.8%).</w:t>
      </w:r>
    </w:p>
    <w:p>
      <w:pPr>
        <w:pStyle w:val="ListNumber"/>
        <w:spacing w:after="40"/>
      </w:pPr>
      <w:r>
        <w:t>Себестоимость аппаратного узла составила 11 850 руб., что в 10–30 раз ниже существующих специализированных спектрофотометрических комплексов при сохранении высокой диагностической точности.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6. Выгодополучатели и перспективы практического использования</w:t>
      </w:r>
    </w:p>
    <w:p>
      <w:pPr>
        <w:spacing w:after="80"/>
        <w:jc w:val="both"/>
      </w:pPr>
      <w:r>
        <w:rPr>
          <w:b/>
        </w:rPr>
        <w:t>Выгодополучатели результатов разработки:</w:t>
      </w:r>
    </w:p>
    <w:p>
      <w:pPr>
        <w:pStyle w:val="ListBullet"/>
        <w:spacing w:after="40"/>
      </w:pPr>
      <w:r>
        <w:rPr>
          <w:b/>
        </w:rPr>
        <w:t>Промышленные сити-фермы и вертикальные теплицы</w:t>
      </w:r>
      <w:r>
        <w:t>: внедрение модулей ранней спектро-термографии позволяет перейти от запоздалого полива «по факту увядания» к предиктивному микрокапельному дозированию, экономя до 22% пресной воды и предотвращая потери урожая ценных культур (зелень, земляника, томаты) на сумму до 180 000 руб./год на секцию 100 м</w:t>
      </w:r>
      <w:r>
        <w:t>2</w:t>
      </w:r>
      <w:r>
        <w:t>.</w:t>
      </w:r>
    </w:p>
    <w:p>
      <w:pPr>
        <w:pStyle w:val="ListBullet"/>
        <w:spacing w:after="40"/>
      </w:pPr>
      <w:r>
        <w:rPr>
          <w:b/>
        </w:rPr>
        <w:t>Селекционные центры и институты растениеводства</w:t>
      </w:r>
      <w:r>
        <w:t xml:space="preserve"> (ВИР им. Н.И. Вавилова, ВНИИСБ): инструмент высокопроизводительного фенотипирования засухо- и солеустойчивости сотен селекционных линий на ранних стадиях онтогенеза без разрушения растительного материала.</w:t>
      </w:r>
    </w:p>
    <w:p>
      <w:pPr>
        <w:pStyle w:val="ListBullet"/>
        <w:spacing w:after="40"/>
      </w:pPr>
      <w:r>
        <w:rPr>
          <w:b/>
        </w:rPr>
        <w:t>Образовательные агролаборатории и школьные кванториумы</w:t>
      </w:r>
      <w:r>
        <w:t>: наглядный открытый лабораторный стенд для проектной деятельности на стыке фотоники, физиологии растений и искусственного интеллекта.</w:t>
      </w:r>
    </w:p>
    <w:p>
      <w:pPr>
        <w:spacing w:after="80"/>
        <w:jc w:val="both"/>
      </w:pPr>
      <w:r>
        <w:rPr>
          <w:b/>
        </w:rPr>
        <w:t>Перспективы масштабирования проекта:</w:t>
      </w:r>
    </w:p>
    <w:p>
      <w:pPr>
        <w:pStyle w:val="ListNumber"/>
        <w:spacing w:after="40"/>
      </w:pPr>
      <w:r>
        <w:t>Переход от дискретных замеров к автоматическому непрерывному сканированию кассет с использованием 2-осевого портального перемещения камеры над стеллажами;</w:t>
      </w:r>
    </w:p>
    <w:p>
      <w:pPr>
        <w:pStyle w:val="ListNumber"/>
        <w:spacing w:after="40"/>
      </w:pPr>
      <w:r>
        <w:t>Интеграция обученной свёрточной нейросети (MobileNetV3 / YOLO) для автоматической сегментации отдельных листьев и распознавания ранних очагов фитопатогенов;</w:t>
      </w:r>
    </w:p>
    <w:p>
      <w:pPr>
        <w:pStyle w:val="ListNumber"/>
        <w:spacing w:after="40"/>
      </w:pPr>
      <w:r>
        <w:t>Внедрение интегральных тензометрических платформ HX711 под кассетное ложе для полностью автономного взвешивания кассет без извлечения из бокса.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7. Личный вклад автора и информационные ресурсы</w:t>
      </w:r>
    </w:p>
    <w:p>
      <w:pPr>
        <w:spacing w:after="80"/>
        <w:jc w:val="both"/>
      </w:pPr>
      <w:r>
        <w:br/>
        <w:t xml:space="preserve">    Все ключевые этапы проектной работы выполнены автором — </w:t>
      </w:r>
      <w:r>
        <w:rPr>
          <w:b/>
        </w:rPr>
        <w:t>Ковалевой Алисой Ивановной</w:t>
      </w:r>
      <w:r>
        <w:t xml:space="preserve"> (10 класс ГБОУ СОШ №282 г. Санкт-Петербурга) лично при научно-методическом сопровождении руководителя и инженерных консультациях:</w:t>
        <w:br/>
        <w:t xml:space="preserve">    </w:t>
      </w:r>
    </w:p>
    <w:p>
      <w:pPr>
        <w:pStyle w:val="ListBullet"/>
        <w:spacing w:after="40"/>
      </w:pPr>
      <w:r>
        <w:t>Сформулирована научная гипотеза, поставлены исследовательские задачи и проведен литературный обзор отечественных и зарубежных источников;</w:t>
      </w:r>
    </w:p>
    <w:p>
      <w:pPr>
        <w:pStyle w:val="ListBullet"/>
        <w:spacing w:after="40"/>
      </w:pPr>
      <w:r>
        <w:t>Разработана принципиальная электрическая схема, выполнен монтаж силовой части управления реле и датчиками, проведена юстировка токов стабилизаторов Mini360;</w:t>
      </w:r>
    </w:p>
    <w:p>
      <w:pPr>
        <w:pStyle w:val="ListBullet"/>
        <w:spacing w:after="40"/>
      </w:pPr>
      <w:r>
        <w:t>Спроектированы в CAD и вырезаны на лазерном станке детали кубического фотометрического бокса из фанеры 4 мм;</w:t>
      </w:r>
    </w:p>
    <w:p>
      <w:pPr>
        <w:pStyle w:val="ListBullet"/>
        <w:spacing w:after="40"/>
      </w:pPr>
      <w:r>
        <w:t>Написан программный комплекс на языке Python (драйверы GPIO/V4L2, калибровочные функции NDVI/CWSI, модуль OCR распознавания термограмм, алгоритм субпиксельного расчета площади листьев PLA через ArUco-калибровку, FastAPI веб-станция);</w:t>
      </w:r>
    </w:p>
    <w:p>
      <w:pPr>
        <w:pStyle w:val="ListBullet"/>
        <w:spacing w:after="40"/>
      </w:pPr>
      <w:r>
        <w:t>Самостоятельно заложен, проведен и задокументирован 7-дневный вегетационный эксперимент на 30 растениях гороха посевного;</w:t>
      </w:r>
    </w:p>
    <w:p>
      <w:pPr>
        <w:pStyle w:val="ListBullet"/>
        <w:spacing w:after="40"/>
      </w:pPr>
      <w:r>
        <w:t>Выполнена математико-статистическая обработка результатов в пакете SciPy и визуализация триптихов.</w:t>
      </w:r>
    </w:p>
    <w:p>
      <w:pPr>
        <w:spacing w:after="80"/>
        <w:jc w:val="both"/>
      </w:pPr>
      <w:r>
        <w:br/>
      </w:r>
      <w:r>
        <w:rPr>
          <w:b/>
        </w:rPr>
        <w:t>Благодарности и наставничество:</w:t>
      </w:r>
      <w:r/>
      <w:r>
        <w:br/>
        <w:t xml:space="preserve">    Автор выражает глубокую признательность научно-техническому руководителю проекта </w:t>
      </w:r>
      <w:r>
        <w:rPr>
          <w:b/>
        </w:rPr>
        <w:t>Ковалеву Ивану Викторовичу</w:t>
      </w:r>
      <w:r>
        <w:t xml:space="preserve"> за экспертное наставничество, консультации по схемотехнике, импульсной синхронизации, встраиваемым Linux-системам и программной архитектуре комплекса.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Открытость и воспроизводимость (Open Source &amp; Open Hardware):</w:t>
      </w:r>
      <w:r/>
      <w:r>
        <w:br/>
        <w:t xml:space="preserve">    Полный исходный код проекта, схемы подключения, алгоритмы обработки и векторные чертежи лазерного бокса размещены в открытом репозитории автора на GitHub:  </w:t>
        <w:br/>
        <w:t xml:space="preserve">    </w:t>
      </w:r>
      <w:r>
        <w:rPr>
          <w:color w:val="0284C7"/>
          <w:u w:val="single"/>
        </w:rPr>
        <w:t>https://github.com/ezicvtumane/plant-stress-ndvi</w:t>
      </w:r>
      <w:r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Список использованных источников</w:t>
      </w:r>
    </w:p>
    <w:p>
      <w:pPr>
        <w:pStyle w:val="ListNumber"/>
        <w:spacing w:after="40"/>
      </w:pPr>
      <w:r>
        <w:t xml:space="preserve">Gausman, H. W. (1977). Reflectance of leaf components. </w:t>
      </w:r>
      <w:r>
        <w:rPr>
          <w:i/>
        </w:rPr>
        <w:t>Remote Sensing of Environment</w:t>
      </w:r>
      <w:r>
        <w:t>, 6(1), 1–9. https://doi.org/10.1016/0034-4257(77)90015-1</w:t>
      </w:r>
    </w:p>
    <w:p>
      <w:pPr>
        <w:pStyle w:val="ListNumber"/>
        <w:spacing w:after="40"/>
      </w:pPr>
      <w:r>
        <w:t xml:space="preserve">Peñuelas, J., Filella, I., &amp; Gamon, J. A. (1993). Assessment of photosynthetic radiation-use efficiency with spectral reflectance. </w:t>
      </w:r>
      <w:r>
        <w:rPr>
          <w:i/>
        </w:rPr>
        <w:t>New Phytologist</w:t>
      </w:r>
      <w:r>
        <w:t>, 125(1), 165–168.</w:t>
      </w:r>
    </w:p>
    <w:p>
      <w:pPr>
        <w:pStyle w:val="ListNumber"/>
        <w:spacing w:after="40"/>
      </w:pPr>
      <w:r>
        <w:t xml:space="preserve">Rouse, J. W., Haas, R. H., Schell, J. A., &amp; Deering, D. W. (1974). Monitoring vegetation systems in the Great Plains with ERTS. </w:t>
      </w:r>
      <w:r>
        <w:rPr>
          <w:i/>
        </w:rPr>
        <w:t>Third Earth Resources Technology Satellite-1 Symposium</w:t>
      </w:r>
      <w:r>
        <w:t>, NASA SP-351, 309–317.</w:t>
      </w:r>
    </w:p>
    <w:p>
      <w:pPr>
        <w:pStyle w:val="ListNumber"/>
        <w:spacing w:after="40"/>
      </w:pPr>
      <w:r>
        <w:t xml:space="preserve">Jones, H. G. (1999). Use of thermography for quantitative evaluation of stomatal conductance in the laboratory and field. </w:t>
      </w:r>
      <w:r>
        <w:rPr>
          <w:i/>
        </w:rPr>
        <w:t>Journal of Experimental Botany</w:t>
      </w:r>
      <w:r>
        <w:t>, 50(335), 893–902. https://doi.org/10.1093/jxb/50.335.893</w:t>
      </w:r>
    </w:p>
    <w:p>
      <w:pPr>
        <w:pStyle w:val="ListNumber"/>
        <w:spacing w:after="40"/>
      </w:pPr>
      <w:r>
        <w:t xml:space="preserve">Jackson, R. D., Idso, S. B., Reginato, R. J., &amp; Pinter, P. J. (1981). Canopy temperature as a crop water stress indicator. </w:t>
      </w:r>
      <w:r>
        <w:rPr>
          <w:i/>
        </w:rPr>
        <w:t>Water Resources Research</w:t>
      </w:r>
      <w:r>
        <w:t>, 17(4), 1133–1138. https://doi.org/10.1029/WR017i004p01133</w:t>
      </w:r>
    </w:p>
    <w:p>
      <w:pPr>
        <w:pStyle w:val="ListNumber"/>
        <w:spacing w:after="40"/>
      </w:pPr>
      <w:r>
        <w:t xml:space="preserve">Хлесткина, Е. К. (ред.). (2026). </w:t>
      </w:r>
      <w:r>
        <w:rPr>
          <w:i/>
        </w:rPr>
        <w:t>Генетика, селекция и агробиотехнология растений. 10-11 классы</w:t>
      </w:r>
      <w:r>
        <w:t>. Москва: Просвещение, 304 с. ISBN 978-5-09-127687-9.</w:t>
      </w:r>
    </w:p>
    <w:p>
      <w:pPr>
        <w:pStyle w:val="ListNumber"/>
        <w:spacing w:after="40"/>
      </w:pPr>
      <w:r>
        <w:t xml:space="preserve">Бородин, П. М., Воронина, Е. Н. (ред.). (2025). </w:t>
      </w:r>
      <w:r>
        <w:rPr>
          <w:i/>
        </w:rPr>
        <w:t>Биология. 7-9 классы. Практическая молекулярная генетика для начинающих</w:t>
      </w:r>
      <w:r>
        <w:t>. Москва: Просвещение. ISBN 978-5-09-112586-3.</w:t>
      </w:r>
    </w:p>
    <w:p>
      <w:pPr>
        <w:pStyle w:val="ListNumber"/>
        <w:spacing w:after="40"/>
      </w:pPr>
      <w:r>
        <w:t xml:space="preserve">Medrano, H., et al. (2002). Stomatal and non-stomatal limitations to photosynthesis under water stress in C3 plants. </w:t>
      </w:r>
      <w:r>
        <w:rPr>
          <w:i/>
        </w:rPr>
        <w:t>Plant Biology</w:t>
      </w:r>
      <w:r>
        <w:t>, 4(1), 23–33.</w:t>
      </w:r>
    </w:p>
    <w:p>
      <w:pPr>
        <w:pStyle w:val="ListNumber"/>
        <w:spacing w:after="40"/>
      </w:pPr>
      <w:r>
        <w:t xml:space="preserve">Grant, O. M., et al. (2006). Thermal imaging for detection of water stress in horticultural crops. </w:t>
      </w:r>
      <w:r>
        <w:rPr>
          <w:i/>
        </w:rPr>
        <w:t>Acta Horticulturae</w:t>
      </w:r>
      <w:r>
        <w:t>, 792, 429–436.</w:t>
      </w:r>
    </w:p>
    <w:p>
      <w:pPr>
        <w:pStyle w:val="ListNumber"/>
        <w:spacing w:after="40"/>
      </w:pPr>
      <w:r>
        <w:t xml:space="preserve">Kovaleva, A. (2026). Active Dual-Wavelength Spectrophotometric &amp; Thermographic Plant Stress Phenotyping System. </w:t>
      </w:r>
      <w:r>
        <w:rPr>
          <w:i/>
        </w:rPr>
        <w:t>GitHub Repository</w:t>
      </w:r>
      <w:r>
        <w:t>. https://github.com/ezicvtumane/plant-stress-ndvi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Приложение А. Векторные чертежи лазерного бокса (200 × 200 × 200 мм)</w:t>
      </w:r>
    </w:p>
    <w:p>
      <w:pPr>
        <w:spacing w:after="80"/>
        <w:jc w:val="both"/>
      </w:pPr>
      <w:r>
        <w:br/>
        <w:t xml:space="preserve">    Раскрой фанеры толщиной 4 мм на станке Acmer S1 Pro 20W (исходный лист 760 × 760 мм, деловой остаток 760 × 280 мм):</w:t>
        <w:br/>
        <w:t xml:space="preserve">    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