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ИТОГОВЫЙ НАУЧНО-ТЕХНИЧЕСКИЙ ОТЧЕТПо разработке и апробации оптико-электронного комплекса активной двухволновой спектрофотометрии и термографии для ранней индикации стресса растений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89"/>
        <w:gridCol w:w="4989"/>
      </w:tblGrid>
      <w:tr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Автор проекта:</w:t>
            </w:r>
          </w:p>
        </w:tc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Ковалева Алиса, 10 класс, ГБОУ СОШ №282 Кировского района Санкт-Петербурга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Аппаратная база: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Одноплатный компьютер Orange Pi 4 Pro (8-ядерный SoC Allwinner A733: 2× Cortex-A76 @ 2.0 ГГц + 6× Cortex-A55 @ 1.8 ГГц, архитектура sun60iw2), NoIR камера, силовой строб-блок реле (порты PL4/PL7), тепловизор UNI-T UTi120S, цифровой климатический сенсор Sensirion SHT30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Программный стек: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Python 3, FastAPI, OpenCV, NumPy, Gpiod (libgpiod v2), Tesseract OCR, Uvicorn, Systemd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Статус разработки: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Действующий лабораторный прототип. Выполнено 47 сессионных циклов измерений. Веб-интерфейс развернут в режиме демона.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1. Введение и актуальность исследования</w:t>
      </w:r>
    </w:p>
    <w:p>
      <w:pPr>
        <w:spacing w:after="80"/>
        <w:jc w:val="both"/>
      </w:pPr>
      <w:r>
        <w:br/>
        <w:t xml:space="preserve">Водный дефицит и осмотический стресс (засоление почв NaCl) являются главными лимитирующими факторами урожайности в защищенном грунте и вертикальных сити-фермах. Традиционный визуальный мониторинг запаздывает на </w:t>
      </w:r>
      <w:r>
        <w:rPr>
          <w:b/>
        </w:rPr>
        <w:t>3–7 суток</w:t>
      </w:r>
      <w:r>
        <w:t>: к моменту проявления видимого увядания и хлороза в растениях происходят необратимые разрушения хлоропластов, приводящие к потере до 40% продуктивности.</w:t>
        <w:br/>
      </w:r>
    </w:p>
    <w:p>
      <w:pPr>
        <w:spacing w:after="80"/>
        <w:jc w:val="both"/>
      </w:pPr>
      <w:r>
        <w:br/>
      </w:r>
      <w:r>
        <w:rPr>
          <w:b/>
        </w:rPr>
        <w:t>Цель работы:</w:t>
      </w:r>
      <w:r>
        <w:t xml:space="preserve"> Создание отечественного доступного аппаратно-программного комплекса для </w:t>
      </w:r>
      <w:r>
        <w:rPr>
          <w:i/>
        </w:rPr>
        <w:t>неинвазивной прижизненной экспресс-индикации</w:t>
      </w:r>
      <w:r>
        <w:t xml:space="preserve"> водного и солевого стресса на предвизуальной стадии с объединением спектрального (NDVI) и термографического ($\Delta T$) каналов.</w:t>
        <w:br/>
      </w:r>
    </w:p>
    <w:p>
      <w:pPr>
        <w:keepNext/>
        <w:spacing w:before="240" w:after="120"/>
      </w:pPr>
      <w:r>
        <w:rPr>
          <w:b/>
          <w:color w:val="0F766E"/>
          <w:sz w:val="27"/>
        </w:rPr>
        <w:t>2. Архитектура и компонентный состав комплекса</w:t>
      </w:r>
    </w:p>
    <w:p>
      <w:pPr>
        <w:spacing w:after="80"/>
        <w:jc w:val="both"/>
      </w:pPr>
      <w:r>
        <w:br/>
        <w:t>Комплекс спроектирован по модульному принципу и включает четыре функциональные подсистемы:</w:t>
        <w:br/>
      </w:r>
    </w:p>
    <w:p>
      <w:pPr>
        <w:pStyle w:val="ListBullet"/>
        <w:spacing w:after="40"/>
      </w:pPr>
      <w:r>
        <w:rPr>
          <w:b/>
        </w:rPr>
        <w:t>Оптико-спектральный тракт:</w:t>
      </w:r>
      <w:r>
        <w:t xml:space="preserve"> Модифицированная камера NoIR (без инфракрасного отсекающего фильтра) с широкоугольной регулируемой оптикой, установленная в закрытом фотометрическом боксе для устранения паразитной внешней засветки.</w:t>
      </w:r>
    </w:p>
    <w:p>
      <w:pPr>
        <w:pStyle w:val="ListBullet"/>
        <w:spacing w:after="40"/>
      </w:pPr>
      <w:r>
        <w:rPr>
          <w:b/>
        </w:rPr>
        <w:t>Система активного стробирования:</w:t>
      </w:r>
      <w:r>
        <w:t xml:space="preserve"> Силовой блок твердотельных/электромагнитных реле, управляемый аппаратно через линии </w:t>
      </w:r>
      <w:r>
        <w:t>Pin 7 (PL4)</w:t>
      </w:r>
      <w:r>
        <w:t xml:space="preserve"> и </w:t>
      </w:r>
      <w:r>
        <w:t>Pin 10 (PL7)</w:t>
      </w:r>
      <w:r>
        <w:t xml:space="preserve"> контроллера </w:t>
      </w:r>
      <w:r>
        <w:t>/dev/gpiochip1</w:t>
      </w:r>
      <w:r>
        <w:t xml:space="preserve"> процессора Allwinner A733 на базе библиотеки </w:t>
      </w:r>
      <w:r>
        <w:t>libgpiod v2</w:t>
      </w:r>
      <w:r>
        <w:t>. Обеспечивает импульсную синхронизацию подсветки с выдержкой экспозиции матрицы.</w:t>
      </w:r>
    </w:p>
    <w:p>
      <w:pPr>
        <w:pStyle w:val="ListBullet"/>
        <w:spacing w:after="40"/>
      </w:pPr>
      <w:r>
        <w:rPr>
          <w:b/>
        </w:rPr>
        <w:t>Термографический канал:</w:t>
      </w:r>
      <w:r>
        <w:t xml:space="preserve"> Микроболометрический калиброванный тепловизор </w:t>
      </w:r>
      <w:r>
        <w:rPr>
          <w:b/>
        </w:rPr>
        <w:t>UNI-T UTi120S</w:t>
      </w:r>
      <w:r>
        <w:t xml:space="preserve"> (120×90 пикселей, спектральный диапазон 8–14 мкм, термочувствительность NETD &lt;60 мК). Поддерживает оперативное снятие кассеты, фиксацию курком и аппаратную выгрузку по USB.</w:t>
      </w:r>
    </w:p>
    <w:p>
      <w:pPr>
        <w:pStyle w:val="ListBullet"/>
        <w:spacing w:after="40"/>
      </w:pPr>
      <w:r>
        <w:rPr>
          <w:b/>
        </w:rPr>
        <w:t>Метеорологический микроклиматический сенсор:</w:t>
      </w:r>
      <w:r>
        <w:t xml:space="preserve"> Цифровой датчик </w:t>
      </w:r>
      <w:r>
        <w:rPr>
          <w:b/>
        </w:rPr>
        <w:t>Sensirion SHT30</w:t>
      </w:r>
      <w:r>
        <w:t>, опрашиваемый по локальному UDP-протоколу через шлюз Xiaomi Gateway (порт 9898). Измеряет $T_{\text{возд}}$ с точностью $\pm 0.3^\circ\text{C}$ и относительную влажность $RH$, с непрерывным расчетом дефицита упругости водяного пара (</w:t>
      </w:r>
      <w:r>
        <w:rPr>
          <w:b/>
        </w:rPr>
        <w:t>VPD</w:t>
      </w:r>
      <w:r>
        <w:t>).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3. Математический аппарат и физиологические критерии</w:t>
      </w:r>
    </w:p>
    <w:p>
      <w:pPr>
        <w:spacing w:after="80"/>
        <w:jc w:val="both"/>
      </w:pPr>
      <w:r>
        <w:br/>
        <w:t>В основу комплекса заложена синергия двух независимых биофизических маркеров:</w:t>
        <w:br/>
      </w:r>
    </w:p>
    <w:p>
      <w:pPr>
        <w:spacing w:after="80"/>
        <w:jc w:val="both"/>
      </w:pPr>
      <w:r>
        <w:br/>
      </w:r>
      <w:r>
        <w:rPr>
          <w:b/>
        </w:rPr>
        <w:t>Физиологическая интерпретация $\Delta T$:</w:t>
      </w:r>
      <w:r>
        <w:t xml:space="preserve"> Здоровое растение в условиях достаточного увлажнения активно испаряет влагу через устьица (транспирация), за счет чего температура листовой пластины на </w:t>
      </w:r>
      <w:r>
        <w:rPr>
          <w:b/>
        </w:rPr>
        <w:t>1.0–2.5°C ниже</w:t>
      </w:r>
      <w:r>
        <w:t xml:space="preserve"> температуры окружающего воздуха ($\Delta T \le -0.5^\circ</w:t>
        <w:tab/>
        <w:t>ext{C}$). При наступлении водного стресса или осмотического шока (засоление) устьица рефлекторно смыкаются для удержания влаги, транспирация блокируется, и температура листа резко поднимается выше температуры воздуха ($\Delta T &gt; 0$).</w:t>
        <w:br/>
      </w:r>
    </w:p>
    <w:p>
      <w:pPr>
        <w:keepNext/>
        <w:spacing w:before="240" w:after="120"/>
      </w:pPr>
      <w:r>
        <w:rPr>
          <w:b/>
          <w:color w:val="0F766E"/>
          <w:sz w:val="27"/>
        </w:rPr>
        <w:t>4. Мультиспектральная матрица 4-канальной съемки</w:t>
      </w:r>
    </w:p>
    <w:p>
      <w:pPr>
        <w:spacing w:after="80"/>
        <w:jc w:val="both"/>
      </w:pPr>
      <w:r>
        <w:br/>
        <w:t>В ходе каждого рабочего цикла формируется четыре аналитических слоя данных:</w:t>
        <w:br/>
      </w:r>
    </w:p>
    <w:p>
      <w:pPr>
        <w:spacing w:before="12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6705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120"/>
      </w:pPr>
      <w:r>
        <w:rPr>
          <w:b/>
          <w:color w:val="0F766E"/>
          <w:sz w:val="27"/>
        </w:rPr>
        <w:t>5. Сводные результаты экспериментальных испытаний</w:t>
      </w:r>
    </w:p>
    <w:p>
      <w:pPr>
        <w:spacing w:after="80"/>
        <w:jc w:val="both"/>
      </w:pPr>
      <w:r>
        <w:br/>
        <w:t xml:space="preserve">В базе данных станции зафиксировано </w:t>
      </w:r>
      <w:r>
        <w:rPr>
          <w:b/>
        </w:rPr>
        <w:t>47 законченных циклов измерений</w:t>
      </w:r>
      <w:r>
        <w:t xml:space="preserve"> по трем опытным когортам растений. Результаты математической обработки показывают четкую сегрегацию групп: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Исследуемая когорта</w:t>
            </w:r>
          </w:p>
        </w:tc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Кол-во замеров</w:t>
            </w:r>
          </w:p>
        </w:tc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Средний NDVI</w:t>
            </w:r>
          </w:p>
        </w:tc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Характерный $\Delta T$</w:t>
            </w:r>
          </w:p>
        </w:tc>
        <w:tc>
          <w:tcPr>
            <w:tcW w:type="dxa" w:w="19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Физиологический статус культуры</w:t>
            </w:r>
          </w:p>
        </w:tc>
      </w:tr>
      <w:tr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🌱 Контроль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18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0.741 $\pm$ 0.02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-1.5°C ... 0.0°C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Норма: открытые устьица, активный фотосинтез</w:t>
            </w:r>
          </w:p>
        </w:tc>
      </w:tr>
      <w:tr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🍂 Засуха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0.461 $\pm$ 0.03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+0.5°C ... +2.0°C</w:t>
            </w:r>
          </w:p>
        </w:tc>
        <w:tc>
          <w:tcPr>
            <w:tcW w:type="dxa" w:w="19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Водный дефицит: гидропассивное закрытие устьиц</w:t>
            </w:r>
          </w:p>
        </w:tc>
      </w:tr>
      <w:tr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🧂 Соль (NaCl 1.5%)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0.51 $\pm$ 0.02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+1.5°C ... +8.6°C</w:t>
            </w:r>
          </w:p>
        </w:tc>
        <w:tc>
          <w:tcPr>
            <w:tcW w:type="dxa" w:w="19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Осмотический блок корневого осмоса, устьичный коллапс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6. Ключевые решенные инженерные задачи</w:t>
      </w:r>
    </w:p>
    <w:p>
      <w:pPr>
        <w:pStyle w:val="ListNumber"/>
        <w:spacing w:after="40"/>
      </w:pPr>
      <w:r>
        <w:rPr>
          <w:b/>
        </w:rPr>
        <w:t>Двухшаговый конвейер измерений (Wizard Flow):</w:t>
      </w:r>
      <w:r>
        <w:t xml:space="preserve"> Разработан регламент «Спектроскопия в боксе $</w:t>
        <w:tab/>
        <w:t>o$ Снимок тепловизором $</w:t>
        <w:tab/>
        <w:t>o$ Взвешивание кассеты $</w:t>
        <w:tab/>
        <w:t>o$ Верификация $</w:t>
        <w:tab/>
        <w:t>o$ База», обеспечивающий защиту от ошибок оператора.</w:t>
      </w:r>
    </w:p>
    <w:p>
      <w:pPr>
        <w:pStyle w:val="ListNumber"/>
        <w:spacing w:after="40"/>
      </w:pPr>
      <w:r>
        <w:rPr>
          <w:b/>
        </w:rPr>
        <w:t>Автоматическое монтирование UTi120S:</w:t>
      </w:r>
      <w:r>
        <w:t xml:space="preserve"> Настроено монтирование по аппаратному ID </w:t>
      </w:r>
      <w:r>
        <w:t>/dev/disk/by-id/usb-STM_UTi120S_*-part1</w:t>
      </w:r>
      <w:r>
        <w:t xml:space="preserve"> с беспарольным правилом sudoers и очисткой "ленивых" зависших точек (</w:t>
      </w:r>
      <w:r>
        <w:t>umount -l</w:t>
      </w:r>
      <w:r>
        <w:t>).</w:t>
      </w:r>
    </w:p>
    <w:p>
      <w:pPr>
        <w:pStyle w:val="ListNumber"/>
        <w:spacing w:after="40"/>
      </w:pPr>
      <w:r>
        <w:rPr>
          <w:b/>
        </w:rPr>
        <w:t>Оптическое распознавание температуры (OCR):</w:t>
      </w:r>
      <w:r>
        <w:t xml:space="preserve"> Внедрен алгоритм Tesseract OCR для автоматического считывания показаний курсора прямо из кадра термограммы.</w:t>
      </w:r>
    </w:p>
    <w:p>
      <w:pPr>
        <w:pStyle w:val="ListNumber"/>
        <w:spacing w:after="40"/>
      </w:pPr>
      <w:r>
        <w:rPr>
          <w:b/>
        </w:rPr>
        <w:t>Эргономика и управление данными:</w:t>
      </w:r>
      <w:r>
        <w:t xml:space="preserve"> Интерфейс центрирован, снабжен экспресс-сводкой когорт в нижнем левом секторе, полноэкранным журналом и функцией удаления ошибочных замеров с авто-коррекцией генератора ID.</w:t>
      </w:r>
    </w:p>
    <w:p>
      <w:pPr>
        <w:pStyle w:val="ListNumber"/>
        <w:spacing w:after="40"/>
      </w:pPr>
      <w:r>
        <w:rPr>
          <w:b/>
        </w:rPr>
        <w:t>Автономность и надежность:</w:t>
      </w:r>
      <w:r>
        <w:t xml:space="preserve"> Веб-станция оформлена как системная служба </w:t>
      </w:r>
      <w:r>
        <w:t>systemd</w:t>
      </w:r>
      <w:r>
        <w:t xml:space="preserve"> с автоматическим перезапуском при ребуте или сетевых флуктуациях.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7. Заключение и перспективы развития</w:t>
      </w:r>
    </w:p>
    <w:p>
      <w:pPr>
        <w:spacing w:after="80"/>
        <w:jc w:val="both"/>
      </w:pPr>
      <w:r>
        <w:br/>
        <w:t>Разработанный аппаратно-программный комплекс продемонстрировал высокую воспроизводимость и надежность. Разделение когорт здоровых и угнетенных растений регистрируется со 100% достоверностью до появления видимых симптомов.</w:t>
        <w:br/>
      </w:r>
    </w:p>
    <w:p>
      <w:pPr>
        <w:spacing w:after="80"/>
        <w:jc w:val="both"/>
      </w:pPr>
      <w:r>
        <w:br/>
      </w:r>
      <w:r>
        <w:rPr>
          <w:b/>
        </w:rPr>
        <w:t>План дальнейшего масштабирования:</w:t>
      </w:r>
      <w:r>
        <w:br/>
      </w:r>
    </w:p>
    <w:p>
      <w:pPr>
        <w:pStyle w:val="ListBullet"/>
        <w:spacing w:after="40"/>
      </w:pPr>
      <w:r>
        <w:t>Замена временного прототипного осветителя на узкополосные мощные матричные излучатели с длинами волн 660 нм и 850 нм (FWHM &lt;20 нм).</w:t>
      </w:r>
    </w:p>
    <w:p>
      <w:pPr>
        <w:pStyle w:val="ListBullet"/>
        <w:spacing w:after="40"/>
      </w:pPr>
      <w:r>
        <w:t>Интеграция встроенных тензодатчиков на АЦП HX711 под кассетное ложе для автоматического измерения гравиметрической массы без участия оператора.</w:t>
      </w:r>
    </w:p>
    <w:p>
      <w:pPr>
        <w:pStyle w:val="ListBullet"/>
        <w:spacing w:after="40"/>
      </w:pPr>
      <w:r>
        <w:t>Разработка алгоритма предиктивного полива на основе динамики VPD и $\Delta T$ для интеграции в промышленные агрохолдинги.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