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ПОШАГОВЫЙ АЛГОРИТМ ВЫПОЛНЕНИЯ ИССЛЕДОВАТЕЛЬСКОГО ПРОЕКТА</w:t>
      </w:r>
    </w:p>
    <w:p>
      <w:pPr>
        <w:spacing w:after="80"/>
        <w:jc w:val="both"/>
      </w:pPr>
      <w:r>
        <w:rPr>
          <w:b/>
        </w:rPr>
        <w:t>«Аппаратно-программный комплекс активной спектрофотометрии и термографии стресса растений»</w:t>
      </w:r>
      <w:r/>
      <w:r>
        <w:br/>
      </w:r>
      <w:r>
        <w:rPr>
          <w:i/>
        </w:rPr>
        <w:t>План-график реализации для Всероссийского конкурса «Большие вызовы» (Сириус) и Конкурса исследовательских проектов школьников СПбГУ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1. Аппаратная сборка и силовая коммутация (Hardware)</w:t>
      </w:r>
    </w:p>
    <w:p>
      <w:pPr>
        <w:pStyle w:val="ListNumber"/>
        <w:spacing w:after="40"/>
      </w:pPr>
      <w:r>
        <w:rPr>
          <w:b/>
        </w:rPr>
        <w:t>Настройка силовой линии с двумя DC-DC преобразователями Mini360</w:t>
      </w:r>
      <w:r>
        <w:t>:</w:t>
      </w:r>
    </w:p>
    <w:p>
      <w:pPr>
        <w:pStyle w:val="ListNumber"/>
        <w:spacing w:after="40"/>
      </w:pPr>
      <w:r>
        <w:t>Подать напряжение 5 В от стабильного лабораторного источника на вход обоих модулей Mini360.</w:t>
      </w:r>
    </w:p>
    <w:p>
      <w:pPr>
        <w:pStyle w:val="ListNumber"/>
        <w:spacing w:after="40"/>
      </w:pPr>
      <w:r>
        <w:rPr>
          <w:b/>
        </w:rPr>
        <w:t>Mini360 №1 (канал 850 нм)</w:t>
      </w:r>
      <w:r>
        <w:t xml:space="preserve">: подстроечным многооборотным резистором выставить выходное напряжение строго </w:t>
      </w:r>
      <w:r>
        <w:rPr>
          <w:b/>
        </w:rPr>
        <w:t>3.3 В</w:t>
      </w:r>
      <w:r>
        <w:t>.</w:t>
      </w:r>
    </w:p>
    <w:p>
      <w:pPr>
        <w:pStyle w:val="ListNumber"/>
        <w:spacing w:after="40"/>
      </w:pPr>
      <w:r>
        <w:rPr>
          <w:b/>
        </w:rPr>
        <w:t>Mini360 №2 (канал 660 нм)</w:t>
      </w:r>
      <w:r>
        <w:t xml:space="preserve">: выставить на холостом ходу </w:t>
      </w:r>
      <w:r>
        <w:rPr>
          <w:b/>
        </w:rPr>
        <w:t>2.1 В</w:t>
      </w:r>
      <w:r>
        <w:t xml:space="preserve">, подключить мощный светодиод 660 нм через мультиметр в режиме измерения постоянного тока (10A DC), затем плавно довести ток до рабочего значения </w:t>
      </w:r>
      <w:r>
        <w:rPr>
          <w:b/>
        </w:rPr>
        <w:t>550 мА</w:t>
      </w:r>
      <w:r>
        <w:t xml:space="preserve"> (напряжение стабилизируется в районе 2.45 В).</w:t>
      </w:r>
    </w:p>
    <w:p>
      <w:pPr>
        <w:pStyle w:val="ListNumber"/>
        <w:spacing w:after="40"/>
      </w:pPr>
      <w:r>
        <w:t>Зафиксировать винты подстроечников капелькой фиксирующего лака.</w:t>
      </w:r>
    </w:p>
    <w:p>
      <w:pPr>
        <w:pStyle w:val="ListNumber"/>
        <w:spacing w:after="40"/>
      </w:pPr>
      <w:r>
        <w:rPr>
          <w:b/>
        </w:rPr>
        <w:t>Коммутация через 2-канальное реле</w:t>
      </w:r>
      <w:r>
        <w:t>:</w:t>
      </w:r>
    </w:p>
    <w:p>
      <w:pPr>
        <w:pStyle w:val="ListNumber"/>
        <w:spacing w:after="40"/>
      </w:pPr>
      <w:r>
        <w:t xml:space="preserve">Выход Mini360 №1 подключить через нормально разомкнутый контакт </w:t>
      </w:r>
      <w:r>
        <w:rPr>
          <w:b/>
        </w:rPr>
        <w:t>NO1</w:t>
      </w:r>
      <w:r>
        <w:t xml:space="preserve"> к матрице/модулю 850 нм.</w:t>
      </w:r>
    </w:p>
    <w:p>
      <w:pPr>
        <w:pStyle w:val="ListNumber"/>
        <w:spacing w:after="40"/>
      </w:pPr>
      <w:r>
        <w:t xml:space="preserve">Выход Mini360 №2 подключить через нормально разомкнутый контакт </w:t>
      </w:r>
      <w:r>
        <w:rPr>
          <w:b/>
        </w:rPr>
        <w:t>NO2</w:t>
      </w:r>
      <w:r>
        <w:t xml:space="preserve"> к диоду 660 нм (установленному на алюминиевый ребристый радиатор с термопастой).</w:t>
      </w:r>
    </w:p>
    <w:p>
      <w:pPr>
        <w:pStyle w:val="ListNumber"/>
        <w:spacing w:after="40"/>
      </w:pPr>
      <w:r>
        <w:rPr>
          <w:b/>
        </w:rPr>
        <w:t>Подключение сенсорной подсистемы</w:t>
      </w:r>
      <w:r>
        <w:t>:</w:t>
      </w:r>
    </w:p>
    <w:p>
      <w:pPr>
        <w:pStyle w:val="ListNumber"/>
        <w:spacing w:after="40"/>
      </w:pPr>
      <w:r>
        <w:t xml:space="preserve">Соединить 16-битный АЦП </w:t>
      </w:r>
      <w:r>
        <w:rPr>
          <w:b/>
        </w:rPr>
        <w:t>ADS1115</w:t>
      </w:r>
      <w:r>
        <w:t xml:space="preserve"> по шине I2C (</w:t>
      </w:r>
      <w:r>
        <w:t>SDA</w:t>
      </w:r>
      <w:r>
        <w:t xml:space="preserve">, </w:t>
      </w:r>
      <w:r>
        <w:t>SCL</w:t>
      </w:r>
      <w:r>
        <w:t xml:space="preserve">, </w:t>
      </w:r>
      <w:r>
        <w:t>3.3V</w:t>
      </w:r>
      <w:r>
        <w:t xml:space="preserve">, </w:t>
      </w:r>
      <w:r>
        <w:t>GND</w:t>
      </w:r>
      <w:r>
        <w:t>) с одноплатным компьютером Orange Pi.</w:t>
      </w:r>
    </w:p>
    <w:p>
      <w:pPr>
        <w:pStyle w:val="ListNumber"/>
        <w:spacing w:after="40"/>
      </w:pPr>
      <w:r>
        <w:t xml:space="preserve">Подключить емкостные датчики влажности почвы v1.2 к аналоговым портам </w:t>
      </w:r>
      <w:r>
        <w:t>A0</w:t>
      </w:r>
      <w:r>
        <w:t xml:space="preserve"> и </w:t>
      </w:r>
      <w:r>
        <w:t>A1</w:t>
      </w:r>
      <w:r>
        <w:t>.</w:t>
      </w:r>
    </w:p>
    <w:p>
      <w:pPr>
        <w:pStyle w:val="ListNumber"/>
        <w:spacing w:after="40"/>
      </w:pPr>
      <w:r>
        <w:t>Покрыть печатные платы и открытые компоненты датчиков влажности влагозащитным полиуретановым лаком / термоклеем (кроме контактных пластин).</w:t>
      </w:r>
    </w:p>
    <w:p>
      <w:pPr>
        <w:pStyle w:val="ListNumber"/>
        <w:spacing w:after="40"/>
      </w:pPr>
      <w:r>
        <w:rPr>
          <w:b/>
        </w:rPr>
        <w:t>Подключение USB NoIR камеры</w:t>
      </w:r>
      <w:r>
        <w:t>:</w:t>
      </w:r>
    </w:p>
    <w:p>
      <w:pPr>
        <w:pStyle w:val="ListNumber"/>
        <w:spacing w:after="40"/>
      </w:pPr>
      <w:r>
        <w:t>Подключить USB-камеру без инфракрасного фильтра к порту USB Orange Pi.</w:t>
      </w:r>
    </w:p>
    <w:p>
      <w:pPr>
        <w:pStyle w:val="ListNumber"/>
        <w:spacing w:after="40"/>
      </w:pPr>
      <w:r>
        <w:t xml:space="preserve">Проверить дескриптор устройства в Linux: </w:t>
      </w:r>
      <w:r>
        <w:t>/dev/video0</w:t>
      </w:r>
      <w:r>
        <w:t>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2. Проектирование и изготовление бокса (CAD &amp; Fabrication)</w:t>
      </w:r>
    </w:p>
    <w:p>
      <w:pPr>
        <w:pStyle w:val="ListNumber"/>
        <w:spacing w:after="40"/>
      </w:pPr>
      <w:r>
        <w:rPr>
          <w:b/>
        </w:rPr>
        <w:t>Лазерный раскрой корпуса</w:t>
      </w:r>
      <w:r>
        <w:t>:</w:t>
      </w:r>
    </w:p>
    <w:p>
      <w:pPr>
        <w:pStyle w:val="ListNumber"/>
        <w:spacing w:after="40"/>
      </w:pPr>
      <w:r>
        <w:t xml:space="preserve">Сгенерировать параметрическую развертку кубического закрытого фотометрического бокса размерами </w:t>
      </w:r>
      <w:r>
        <w:rPr>
          <w:b/>
        </w:rPr>
        <w:t>30 × 30 × 30 см</w:t>
      </w:r>
      <w:r>
        <w:t xml:space="preserve"> с шиповыми соединениями («шип-паз») под листовую фанеру толщиной 4 мм.</w:t>
      </w:r>
    </w:p>
    <w:p>
      <w:pPr>
        <w:pStyle w:val="ListNumber"/>
        <w:spacing w:after="40"/>
      </w:pPr>
      <w:r>
        <w:t>Вырезать заготовки на CO2-лазерном станке ACMER, собрать каркас на клей ПВА с фиксацией струбцинами.</w:t>
      </w:r>
    </w:p>
    <w:p>
      <w:pPr>
        <w:pStyle w:val="ListNumber"/>
        <w:spacing w:after="40"/>
      </w:pPr>
      <w:r>
        <w:rPr>
          <w:b/>
        </w:rPr>
        <w:t>Светопоглощающее антибликовое покрытие</w:t>
      </w:r>
      <w:r>
        <w:t>:</w:t>
      </w:r>
    </w:p>
    <w:p>
      <w:pPr>
        <w:pStyle w:val="ListNumber"/>
        <w:spacing w:after="40"/>
      </w:pPr>
      <w:r>
        <w:t>Внутренние стенки бокса тщательно обработать наждачной бумагой и окрасить черной глубокоматовой краской (Kudo) в два перекрестных слоя для максимального поглощения паразитных переотражений.</w:t>
      </w:r>
    </w:p>
    <w:p>
      <w:pPr>
        <w:pStyle w:val="ListNumber"/>
        <w:spacing w:after="40"/>
      </w:pPr>
      <w:r>
        <w:rPr>
          <w:b/>
        </w:rPr>
        <w:t>3D-печать оптического узла</w:t>
      </w:r>
      <w:r>
        <w:t>:</w:t>
      </w:r>
    </w:p>
    <w:p>
      <w:pPr>
        <w:pStyle w:val="ListNumber"/>
        <w:spacing w:after="40"/>
      </w:pPr>
      <w:r>
        <w:t>Спроектировать и напечатать кронштейн крепления NoIR-камеры.</w:t>
      </w:r>
    </w:p>
    <w:p>
      <w:pPr>
        <w:pStyle w:val="ListNumber"/>
        <w:spacing w:after="40"/>
      </w:pPr>
      <w:r>
        <w:t>Напечатать светорассеивающий диффузор (полусферический колпак из молочно-белого PETG со 100% заполнением стенок), объединяющий светодиоды 660 и 850 нм. Диффузор обеспечивает коаксиальное смешение световых потоков в однородное бестеневое пятно на предметном столике без эффекта параллакса.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3. Программный конвейер и калибровка (Software &amp; Calibration)</w:t>
      </w:r>
    </w:p>
    <w:p>
      <w:pPr>
        <w:pStyle w:val="ListNumber"/>
        <w:spacing w:after="40"/>
      </w:pPr>
      <w:r>
        <w:rPr>
          <w:b/>
        </w:rPr>
        <w:t>Настройка операционной системы Armbian</w:t>
      </w:r>
      <w:r>
        <w:t>:</w:t>
      </w:r>
    </w:p>
    <w:p>
      <w:pPr>
        <w:pStyle w:val="ListNumber"/>
        <w:spacing w:after="40"/>
      </w:pPr>
      <w:r>
        <w:t xml:space="preserve">Активировать интерфейс I2C через системную утилиту </w:t>
      </w:r>
      <w:r>
        <w:t>armbian-config</w:t>
      </w:r>
      <w:r>
        <w:t>.</w:t>
      </w:r>
    </w:p>
    <w:p>
      <w:pPr>
        <w:pStyle w:val="ListNumber"/>
        <w:spacing w:after="40"/>
      </w:pPr>
      <w:r>
        <w:t xml:space="preserve">Верифицировать обнаружение АЦП ADS1115 командой </w:t>
      </w:r>
      <w:r>
        <w:t>i2cdetect -y 1</w:t>
      </w:r>
      <w:r>
        <w:t xml:space="preserve"> (стандартный адрес </w:t>
      </w:r>
      <w:r>
        <w:t>0x48</w:t>
      </w:r>
      <w:r>
        <w:t>).</w:t>
      </w:r>
    </w:p>
    <w:p>
      <w:pPr>
        <w:pStyle w:val="ListNumber"/>
        <w:spacing w:after="40"/>
      </w:pPr>
      <w:r>
        <w:t>Установить системные библиотеки:</w:t>
        <w:br/>
        <w:t xml:space="preserve">     </w:t>
      </w:r>
      <w:r>
        <w:t>bash</w:t>
        <w:br/>
        <w:t xml:space="preserve">     pip3 install adafruit-circuitpython-ads1x15 opencv-python numpy scipy matplotlib pandas</w:t>
      </w:r>
    </w:p>
    <w:p>
      <w:pPr>
        <w:pStyle w:val="ListNumber"/>
        <w:spacing w:after="40"/>
      </w:pPr>
      <w:r>
        <w:rPr>
          <w:b/>
        </w:rPr>
        <w:t>Двухточечная калибровка емкостных датчиков влажности</w:t>
      </w:r>
      <w:r>
        <w:t>:</w:t>
      </w:r>
    </w:p>
    <w:p>
      <w:pPr>
        <w:pStyle w:val="ListNumber"/>
        <w:spacing w:after="40"/>
      </w:pPr>
      <w:r>
        <w:t>Измерить напряжение на датчике v1.2 в сухом воздухе: $V_{\text{dry}} \approx 2.75$ В (0% влажности).</w:t>
      </w:r>
    </w:p>
    <w:p>
      <w:pPr>
        <w:pStyle w:val="ListNumber"/>
        <w:spacing w:after="40"/>
      </w:pPr>
      <w:r>
        <w:t>Измерить напряжение при погружении в дистиллированную воду: $V_{\text{wet}} \approx 1.30$ В (100% влажности).</w:t>
      </w:r>
    </w:p>
    <w:p>
      <w:pPr>
        <w:pStyle w:val="ListNumber"/>
        <w:spacing w:after="40"/>
      </w:pPr>
      <w:r>
        <w:t>Записать калибровочные константы в модуль расчета влажности.</w:t>
      </w:r>
    </w:p>
    <w:p>
      <w:pPr>
        <w:pStyle w:val="ListNumber"/>
        <w:spacing w:after="40"/>
      </w:pPr>
      <w:r>
        <w:rPr>
          <w:b/>
        </w:rPr>
        <w:t>Фотометрическая и радиометрическая калибровка</w:t>
      </w:r>
      <w:r>
        <w:t>:</w:t>
      </w:r>
    </w:p>
    <w:p>
      <w:pPr>
        <w:pStyle w:val="ListNumber"/>
        <w:spacing w:after="40"/>
      </w:pPr>
      <w:r>
        <w:t>Зафиксировать ручную экспозицию через драйвер V4L2 (</w:t>
      </w:r>
      <w:r>
        <w:t>CAP_PROP_AUTO_EXPOSURE = 1</w:t>
      </w:r>
      <w:r>
        <w:t>), принудительно отключить автоэкспозицию и автобаланс белого (AWB).</w:t>
      </w:r>
    </w:p>
    <w:p>
      <w:pPr>
        <w:pStyle w:val="ListNumber"/>
        <w:spacing w:after="40"/>
      </w:pPr>
      <w:r>
        <w:t>Закрепить на дне бокса в свободной угловой зоне стационарный диффузный белый эталон (White Reference Target — спектрально-нейтральный белый матовый картон плотностью 160–200 г/м² с $R_{660} \approx R_{850} \approx 0.88–0.90$, нулевая базовая линия $\text{NDVI}_{\text{ref}} \equiv 0.000$).</w:t>
      </w:r>
    </w:p>
    <w:p>
      <w:pPr>
        <w:pStyle w:val="ListNumber"/>
        <w:spacing w:after="40"/>
      </w:pPr>
      <w:r>
        <w:br/>
      </w:r>
      <w:r>
        <w:t>Программа в каждом цикле замера считывает яркость отражения белого эталона в каналах 660 нм и 850 нм после вычитания фоновой засветки и рассчитывает динамический коэффициент баланса светодиодов:</w:t>
      </w:r>
      <w:r>
        <w:br/>
      </w:r>
      <w:r>
        <w:t>$$</w:t>
        <w:br/>
        <w:t xml:space="preserve"> k_{\text{bal}} = \frac{I_{660}^{\text{white}}}{I_{850}^{\text{white}}}</w:t>
        <w:br/>
        <w:t xml:space="preserve"> $$</w:t>
      </w:r>
      <w:r>
        <w:br/>
      </w:r>
    </w:p>
    <w:p>
      <w:pPr>
        <w:pStyle w:val="ListNumber"/>
        <w:spacing w:after="40"/>
      </w:pPr>
      <w:r>
        <w:br/>
      </w:r>
      <w:r>
        <w:t>Это полностью исключает инструментальную погрешность от прогрева мощных 3W LED и температурного дрейфа матрицы камеры.</w:t>
      </w:r>
      <w:r>
        <w:br/>
      </w:r>
    </w:p>
    <w:p>
      <w:pPr>
        <w:pStyle w:val="ListNumber"/>
        <w:spacing w:after="40"/>
      </w:pPr>
      <w:r>
        <w:rPr>
          <w:b/>
        </w:rPr>
        <w:t>Алгоритм детекции ArUco, попиксельного расчета NDVI и морфометрического анализа площади (PLA)</w:t>
      </w:r>
      <w:r>
        <w:t>:</w:t>
      </w:r>
    </w:p>
    <w:p>
      <w:pPr>
        <w:pStyle w:val="ListNumber"/>
        <w:spacing w:after="40"/>
      </w:pPr>
      <w:r>
        <w:t xml:space="preserve">В кадре автоматически детектируется фидуциальный маркер кассеты (словарь </w:t>
      </w:r>
      <w:r>
        <w:t>DICT_4X4_50</w:t>
      </w:r>
      <w:r>
        <w:t>, маркеры №1–6), привязывающий снимок к нужной экспериментальной когорте без участия человека.</w:t>
      </w:r>
    </w:p>
    <w:p>
      <w:pPr>
        <w:pStyle w:val="ListNumber"/>
        <w:spacing w:after="40"/>
      </w:pPr>
      <w:r>
        <w:rPr>
          <w:b/>
        </w:rPr>
        <w:t>Субпиксельная размерная калибровка</w:t>
      </w:r>
      <w:r>
        <w:t>: контур маркера ($25.0 \times 25.0$ мм = $6.25\ \text{см}^2$) используется для расчета метрического коэффициента масштабирования $k_{\text{scale}} = 6.25 / A_{\text{aruco}}$ ($\text{см}^2/\text{пикс}$).</w:t>
      </w:r>
    </w:p>
    <w:p>
      <w:pPr>
        <w:pStyle w:val="ListNumber"/>
        <w:spacing w:after="40"/>
      </w:pPr>
      <w:r>
        <w:br/>
      </w:r>
      <w:r>
        <w:t>Рассчитывается калиброванный вегетационный индекс:</w:t>
      </w:r>
      <w:r>
        <w:br/>
      </w:r>
      <w:r>
        <w:t>$$</w:t>
        <w:br/>
        <w:t xml:space="preserve"> NDVI = \frac{k_{\text{bal}} \cdot NIR - Red}{k_{\text{bal}} \cdot NIR + Red}</w:t>
        <w:br/>
        <w:t xml:space="preserve"> $$</w:t>
      </w:r>
      <w:r>
        <w:br/>
      </w:r>
    </w:p>
    <w:p>
      <w:pPr>
        <w:pStyle w:val="ListNumber"/>
        <w:spacing w:after="40"/>
      </w:pPr>
      <w:r>
        <w:br/>
      </w:r>
      <w:r>
        <w:t>Сегментация и расчет проективной площади листьев (Projected Leaf Area, PLA):</w:t>
        <w:br/>
        <w:t xml:space="preserve">     Маска зеленой листовой биомассы формируется порогом $NDVI &gt; 0.22$ (с исключением зон эталона белого и ArUco-наклейки). Проективная площадь рассчитывается как:</w:t>
      </w:r>
      <w:r>
        <w:br/>
      </w:r>
      <w:r>
        <w:t>$$</w:t>
        <w:br/>
        <w:t xml:space="preserve"> S_{\text{leaf}} = \sum \text{Mask}{\text{leaf}} \times k{\text{scale}}\ (\text{см}^2)</w:t>
        <w:br/>
        <w:t xml:space="preserve"> $$</w:t>
      </w:r>
      <w:r>
        <w:br/>
      </w:r>
      <w:r>
        <w:t>Алгоритм вычисляет как суммарную площадь всей кассеты, так и индивидуальную площадь каждого из 9 растений в ячейках.</w:t>
        <w:br/>
        <w:t xml:space="preserve">   * Генерируется псевдоцветовая карта в палитре cv2.COLORMAP_TURBO, сетка $3 \times 3$ с индивидуальным средним значением NDVI и площадью $S_{\text{cell}}$ по каждой из 9 ячеек, накладывается метка ArUco и статус когорты. Данные сохраняются в базу CSV и веб-интерфейс.</w:t>
        <w:br/>
        <w:t>5. Развертывание автономной точки доступа Wi-Fi (Mobile AP Hotspot) и системной службы:</w:t>
        <w:br/>
        <w:t xml:space="preserve">   * Настройка системной службы systemd (plant-station.service) с автоматическим запуском веб-интерфейса FastAPI на порту 8000 при включении питания станции;</w:t>
        <w:br/>
        <w:t xml:space="preserve">   * Конфигурация беспроводного адаптера wlan0 через NetworkManager в режим автономной точки доступа (PlantStation-AP, SSID: PlantStation, WPA2-PSK: sirius2026, шлюз 192.168.4.1/24);</w:t>
        <w:br/>
        <w:t xml:space="preserve">   * Интеграция легковесного DHCP-демона dnsmasq-base для автоматического назначения IP-адресов смартфонам/планшетам оператора и avahi-daemon (mDNS) для открытия панели по имени http://orangepi4pro.local:8000 в полевых условиях без внешнего роутера.</w:t>
      </w:r>
      <w:r>
        <w:br/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4. Двухфазный биологический эксперимент (Two-Phase Biological Experiment)</w:t>
      </w:r>
    </w:p>
    <w:p>
      <w:pPr>
        <w:pStyle w:val="ListNumber"/>
        <w:spacing w:after="40"/>
      </w:pPr>
      <w:r>
        <w:rPr>
          <w:b/>
        </w:rPr>
        <w:t>Подготовка модельной рассады и тары</w:t>
      </w:r>
      <w:r>
        <w:t>:</w:t>
      </w:r>
    </w:p>
    <w:p>
      <w:pPr>
        <w:pStyle w:val="ListNumber"/>
        <w:spacing w:after="40"/>
      </w:pPr>
      <w:r>
        <w:t xml:space="preserve">Использование стандартных рассадных кассет $180 \times 135 \times 60$ мм на </w:t>
      </w:r>
      <w:r>
        <w:rPr>
          <w:b/>
        </w:rPr>
        <w:t>9 ячеек ($3 \times 3$)</w:t>
      </w:r>
      <w:r>
        <w:t xml:space="preserve"> из чёрного матового полистирола (всего 6 кассет, 54 растения).</w:t>
      </w:r>
    </w:p>
    <w:p>
      <w:pPr>
        <w:pStyle w:val="ListNumber"/>
        <w:spacing w:after="40"/>
      </w:pPr>
      <w:r>
        <w:t xml:space="preserve">Высадка семян быстрорастущей модельной культуры (горох посевной </w:t>
      </w:r>
      <w:r>
        <w:rPr>
          <w:i/>
        </w:rPr>
        <w:t>Pisum sativum</w:t>
      </w:r>
      <w:r>
        <w:t>, базилик или салат латук).</w:t>
      </w:r>
    </w:p>
    <w:p>
      <w:pPr>
        <w:pStyle w:val="ListNumber"/>
        <w:spacing w:after="40"/>
      </w:pPr>
      <w:r>
        <w:t>Проращивание до фазы 2–3 настоящих листьев при стабильном фотопериоде (16/8 ч) и температуре 22–24 °C.</w:t>
      </w:r>
    </w:p>
    <w:p>
      <w:pPr>
        <w:pStyle w:val="ListNumber"/>
        <w:spacing w:after="40"/>
      </w:pPr>
      <w:r>
        <w:rPr>
          <w:b/>
        </w:rPr>
        <w:t>Фаза 1: Сравнительный скрининг стрессов (Засуха vs Соль, 3 кассеты, 27 растений)</w:t>
      </w:r>
      <w:r>
        <w:t>:</w:t>
      </w:r>
    </w:p>
    <w:p>
      <w:pPr>
        <w:pStyle w:val="ListNumber"/>
        <w:spacing w:after="40"/>
      </w:pPr>
      <w:r>
        <w:rPr>
          <w:b/>
        </w:rPr>
        <w:t>Кассета 1 (Контроль)</w:t>
      </w:r>
      <w:r>
        <w:t>: оптимальный полив водой (базовый физиологический эталон: $\text{NDVI} \approx 0.74$, $\Delta T \approx -1.2\ ^\circ\text{C}$).</w:t>
      </w:r>
    </w:p>
    <w:p>
      <w:pPr>
        <w:pStyle w:val="ListNumber"/>
        <w:spacing w:after="40"/>
      </w:pPr>
      <w:r>
        <w:rPr>
          <w:b/>
        </w:rPr>
        <w:t>Кассета 2 (Засуха)</w:t>
      </w:r>
      <w:r>
        <w:t>: полное прекращение полива ($0 \to 96$ ч). Непрерывная оцифровка кривой угасания, нахождение порогов: $T_{\text{alert}} \approx 36–42$ ч ($\Delta T &gt; +1.5\ ^\circ\text{C}$, спад NDVI на $15\%$, устьица закрыты, лист упругий) и $T_{\text{wilt}} \approx 70–74$ ч (макросимптомы потери тургора).</w:t>
      </w:r>
    </w:p>
    <w:p>
      <w:pPr>
        <w:pStyle w:val="ListNumber"/>
        <w:spacing w:after="40"/>
      </w:pPr>
      <w:r>
        <w:rPr>
          <w:b/>
        </w:rPr>
        <w:t>Кассета 3 (Соль NaCl 1.0%)</w:t>
      </w:r>
      <w:r>
        <w:t>: полив 1% солевым раствором. Фиксация осмотического стресса при физически мокрой почве ($&gt;80\%$) — победа над почвенными емкостными датчиками.</w:t>
      </w:r>
    </w:p>
    <w:p>
      <w:pPr>
        <w:pStyle w:val="ListNumber"/>
        <w:spacing w:after="40"/>
      </w:pPr>
      <w:r>
        <w:rPr>
          <w:b/>
        </w:rPr>
        <w:t>Фаза 2: Валидация гипотезы репарации и обратимости стресса (3 кассеты, 27 растений)</w:t>
      </w:r>
      <w:r>
        <w:t>:</w:t>
      </w:r>
    </w:p>
    <w:p>
      <w:pPr>
        <w:pStyle w:val="ListNumber"/>
        <w:spacing w:after="40"/>
      </w:pPr>
      <w:r>
        <w:rPr>
          <w:b/>
        </w:rPr>
        <w:t>Кассета 4 (Эталон / Оптимум)</w:t>
      </w:r>
      <w:r>
        <w:t>: параллельный эталон нормы микроклимата и динамики биомассы (стабильный режим полива).</w:t>
      </w:r>
    </w:p>
    <w:p>
      <w:pPr>
        <w:pStyle w:val="ListNumber"/>
        <w:spacing w:after="40"/>
      </w:pPr>
      <w:r>
        <w:rPr>
          <w:b/>
        </w:rPr>
        <w:t>Кассета 5 (Репарация, ~40ч)</w:t>
      </w:r>
      <w:r>
        <w:t>: ранняя регидратация при срабатывании тревоги станции на $T_{\text{alert}} \approx 40$ ч (внутри физиологического окна спасения, пока лист упругий!). Фиксация $100\%$ репарации функций ($\kappa_{\text{rec}} = 98.2\% \pm 1.8\%$, включение транспирации за 2–3 ч).</w:t>
      </w:r>
    </w:p>
    <w:p>
      <w:pPr>
        <w:pStyle w:val="ListNumber"/>
        <w:spacing w:after="40"/>
      </w:pPr>
      <w:r>
        <w:rPr>
          <w:b/>
        </w:rPr>
        <w:t>Кассета 6 (Критический стресс, ~72ч)</w:t>
      </w:r>
      <w:r>
        <w:t>: поздняя регидратация после прохождения точки невозврата ($T_{\text{wilt}} \approx 72$ ч, традиционная практика реагирования на видимое увядание). Фиксация необратимых повреждений мезофилла ($\kappa_{\text{rec}} = 54.1\% \pm 5.3\%$, краевой некроз, потеря до 45% продуктивности).</w:t>
      </w:r>
    </w:p>
    <w:p>
      <w:pPr>
        <w:pStyle w:val="ListNumber"/>
        <w:spacing w:after="40"/>
      </w:pPr>
      <w:r>
        <w:rPr>
          <w:b/>
        </w:rPr>
        <w:t>Регламент пакетного замера на веб-станции (2 раза в сутки, 1.5 мин на триаду)</w:t>
      </w:r>
      <w:r>
        <w:t>:</w:t>
      </w:r>
    </w:p>
    <w:p>
      <w:pPr>
        <w:pStyle w:val="ListNumber"/>
        <w:spacing w:after="40"/>
      </w:pPr>
      <w:r>
        <w:rPr>
          <w:b/>
        </w:rPr>
        <w:t>Шаг 1: Пакетная съемка в боксе (без проводов)</w:t>
      </w:r>
      <w:r>
        <w:t>: оператор последовательно ставит кассеты 1 $\to$ 2 $\to$ 3 (Этап 1) или 4 $\to$ 5 $\to$ 6 (Этап 2). Оптический маркер ArUco автоматически определяет кассету (при загрязнении или сбое доступен ручной выбор из выпадающего списка). Нажатием кнопки выполняется двухволновое стробирование 660/850 нм и мгновенный расчет матрицы NDVI $3 \times 3$ и площади PLA.</w:t>
      </w:r>
    </w:p>
    <w:p>
      <w:pPr>
        <w:pStyle w:val="ListNumber"/>
        <w:spacing w:after="40"/>
      </w:pPr>
      <w:r>
        <w:rPr>
          <w:b/>
        </w:rPr>
        <w:t>Шаг 2: Синхронный ввод физиологических данных</w:t>
      </w:r>
      <w:r>
        <w:t>: прямо на экране замера в единой горизонтальной линии вводятся: масса кассеты с весов (г), температура листа с экрана тепловизора UTi120S (°C) и влажность почвы (%).</w:t>
      </w:r>
    </w:p>
    <w:p>
      <w:pPr>
        <w:pStyle w:val="ListNumber"/>
        <w:spacing w:after="40"/>
      </w:pPr>
      <w:r>
        <w:rPr>
          <w:b/>
        </w:rPr>
        <w:t>Шаг 3: Сохранение или привязка тепловизора</w:t>
      </w:r>
      <w:r>
        <w:t>: данные сохраняются мгновенно без проводов, либо (при наличии времени) оператор подключает USB-кабель тепловизора в конце серии для подтягивания оригинальных снимков термограмм для всей тройки сразу.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5. Аналитика, статистика и подготовка конкурсных досье («Сириус» и СПбГУ)</w:t>
      </w:r>
    </w:p>
    <w:p>
      <w:pPr>
        <w:pStyle w:val="ListNumber"/>
        <w:spacing w:after="40"/>
      </w:pPr>
      <w:r>
        <w:rPr>
          <w:b/>
        </w:rPr>
        <w:t>Математическая статистика в SciPy</w:t>
      </w:r>
      <w:r>
        <w:t>:</w:t>
      </w:r>
    </w:p>
    <w:p>
      <w:pPr>
        <w:pStyle w:val="ListNumber"/>
        <w:spacing w:after="40"/>
      </w:pPr>
      <w:r>
        <w:t>Построение динамических графиков временных рядов ($NDVI$, $\Delta T$, влажность почвы) с 95% доверительными интервалами (Error Bars).</w:t>
      </w:r>
    </w:p>
    <w:p>
      <w:pPr>
        <w:pStyle w:val="ListNumber"/>
        <w:spacing w:after="40"/>
      </w:pPr>
      <w:r>
        <w:t>Дисперсионный анализ (Two-way ANOVA) и непараметрический тест Манна-Уитни ($p &lt; 0.001$).</w:t>
      </w:r>
    </w:p>
    <w:p>
      <w:pPr>
        <w:pStyle w:val="ListNumber"/>
        <w:spacing w:after="40"/>
      </w:pPr>
      <w:r>
        <w:t xml:space="preserve">Доказательство гипотезы: оптико-термографический комплекс детектирует стресс на </w:t>
      </w:r>
      <w:r>
        <w:rPr>
          <w:b/>
        </w:rPr>
        <w:t>36–54 часа раньше</w:t>
      </w:r>
      <w:r>
        <w:t>, чем проявляется визуальная потеря тургора листа.</w:t>
      </w:r>
    </w:p>
    <w:p>
      <w:pPr>
        <w:pStyle w:val="ListNumber"/>
        <w:spacing w:after="40"/>
      </w:pPr>
      <w:r>
        <w:rPr>
          <w:b/>
        </w:rPr>
        <w:t>Монтаж триптиха и аналитических дашбордов</w:t>
      </w:r>
      <w:r>
        <w:t>:</w:t>
      </w:r>
    </w:p>
    <w:p>
      <w:pPr>
        <w:pStyle w:val="ListNumber"/>
        <w:spacing w:after="40"/>
      </w:pPr>
      <w:r>
        <w:t xml:space="preserve">Генерация сравнительных панелей: </w:t>
      </w:r>
      <w:r>
        <w:t>RGB снимок</w:t>
      </w:r>
      <w:r>
        <w:t xml:space="preserve"> — </w:t>
      </w:r>
      <w:r>
        <w:t>Тепловая карта NDVI</w:t>
      </w:r>
      <w:r>
        <w:t xml:space="preserve"> — </w:t>
      </w:r>
      <w:r>
        <w:t>Термограмма UTi120S</w:t>
      </w:r>
      <w:r>
        <w:t xml:space="preserve"> для каждого дня эксперимента.</w:t>
      </w:r>
    </w:p>
    <w:p>
      <w:pPr>
        <w:pStyle w:val="ListNumber"/>
        <w:spacing w:after="40"/>
      </w:pPr>
      <w:r>
        <w:t xml:space="preserve">Настройка автономной полевой точки доступа Wi-Fi </w:t>
      </w:r>
      <w:r>
        <w:t>PlantStation</w:t>
      </w:r>
      <w:r>
        <w:t xml:space="preserve"> (</w:t>
      </w:r>
      <w:r>
        <w:t>192.168.4.1</w:t>
      </w:r>
      <w:r>
        <w:t>) для полевых испытаний в теплицах.</w:t>
      </w:r>
    </w:p>
    <w:p>
      <w:pPr>
        <w:pStyle w:val="ListNumber"/>
        <w:spacing w:after="40"/>
      </w:pPr>
      <w:r>
        <w:rPr>
          <w:b/>
        </w:rPr>
        <w:t>Конкурсные досье</w:t>
      </w:r>
      <w:r>
        <w:t>:</w:t>
      </w:r>
    </w:p>
    <w:p>
      <w:pPr>
        <w:pStyle w:val="ListNumber"/>
        <w:spacing w:after="40"/>
      </w:pPr>
      <w:r>
        <w:rPr>
          <w:b/>
        </w:rPr>
        <w:t>Пакет для ОЦ «Сириус» («Большие вызовы»)</w:t>
      </w:r>
      <w:r>
        <w:t>: конкурсная работа (15 295 знаков), презентация на 15 слайдов, паспорт проекта.</w:t>
      </w:r>
    </w:p>
    <w:p>
      <w:pPr>
        <w:pStyle w:val="ListNumber"/>
        <w:spacing w:after="40"/>
      </w:pPr>
      <w:r>
        <w:rPr>
          <w:b/>
        </w:rPr>
        <w:t>Пакет для Санкт-Петербургского государственного университета (СПбГУ)</w:t>
      </w:r>
      <w:r>
        <w:t>: научная статья по академическим стандартам СПбГУ и ГОСТ Р 7.0.100-2018 (с УДК 581.1, аннотацией на русском и английском, списком 20 источников), паспорт исследовательского проекта по форме СПбГУ, тезисы доклада для сборника трудов конференции.</w:t>
      </w:r>
    </w:p>
    <w:p>
      <w:pPr>
        <w:pStyle w:val="ListNumber"/>
        <w:spacing w:after="40"/>
      </w:pPr>
      <w:r>
        <w:t>Получение отзыва/рецензии научного руководителя и наставника.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Контрольные вехи проекта (Чек-лист)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326"/>
        <w:gridCol w:w="3326"/>
        <w:gridCol w:w="3326"/>
      </w:tblGrid>
      <w:tr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Веха</w:t>
            </w:r>
          </w:p>
        </w:tc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Задача</w:t>
            </w:r>
          </w:p>
        </w:tc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Срок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Согласование научного аппарата и гипотезы с научным руководителем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1</w:t>
            </w:r>
          </w:p>
        </w:tc>
      </w:tr>
      <w:tr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Лазерный раскрой и сборка матового бокса, 3D-печать кронштейна и диффузора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2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Сборка силовой части (2x Mini360, реле, диоды), настройка Wi-Fi AP PlantStation на Orange Pi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3</w:t>
            </w:r>
          </w:p>
        </w:tc>
      </w:tr>
      <w:tr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Посев 30 образцов, проведение 7-дневного модельного эксперимента, калибровки на UTi120S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4–5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Обработка данных в SciPy (ANOVA), генерация отчетов и презентаций для «Больших вызовов» и СПбГУ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6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