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89"/>
        <w:gridCol w:w="4989"/>
      </w:tblGrid>
      <w:tr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Всероссийский конкурс научно-технологических проектов «Большие вызовы»</w:t>
              <w:br/>
              <w:t>ОЦ «Сириус»</w:t>
            </w:r>
          </w:p>
        </w:tc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Конкурс «Большие вызовы» (ОЦ «Сириус»)</w:t>
              <w:br/>
              <w:t xml:space="preserve">                Секция: «Биология, экология и науки о жизни» (Биофизика / Агробиотех)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Тема проекта: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Оптико-электронный комплекс активной двухволновой спектрофотометрии и термографии для ранней индикации водного и осмотического стресса растений</w:t>
            </w:r>
          </w:p>
        </w:tc>
        <w:tc>
          <w:tcPr>
            <w:tcW w:type="dxa" w:w="2495"/>
          </w:tcPr>
          <w:p/>
        </w:tc>
        <w:tc>
          <w:tcPr>
            <w:tcW w:type="dxa" w:w="2495"/>
          </w:tcPr>
          <w:p/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Автор работы: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Ковалева Алиса Ивановна, 10 класс, ГБОУ СОШ №282 Кировского района Санкт-Петербурга (v1m@mail.ru)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Шифр / УДК: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УДК 581.1.032 : 681.785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Руководитель проекта: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 Иван Викторович, научно-технический руководитель проекта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Репозиторий: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github.com/.../plant-stress-ndvi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4155"/>
          <w:sz w:val="24"/>
        </w:rPr>
        <w:t>1. Актуальность проблемы и формулировка научной гипотезы</w:t>
      </w:r>
    </w:p>
    <w:p>
      <w:pPr>
        <w:spacing w:after="80"/>
        <w:jc w:val="both"/>
      </w:pPr>
      <w:r>
        <w:br/>
      </w:r>
      <w:r>
        <w:rPr>
          <w:b/>
        </w:rPr>
        <w:t>Проблемная ситуация</w:t>
      </w:r>
      <w:r>
        <w:t xml:space="preserve">. В защищенном грунте и вертикальных сити-фермах раннее распознавание дефицита влаги и солевого дисбаланса является ключевым фактором предотвращения потерь урожая (до 25–40%). Традиционный визуальный осмотр констатирует стресс с </w:t>
      </w:r>
      <w:r>
        <w:rPr>
          <w:b/>
        </w:rPr>
        <w:t>задержкой на 48–72 часа</w:t>
      </w:r>
      <w:r>
        <w:t>, когда в мезофилле уже произошел необратимый плазмолиз клеток, распад хлорофилл-белковых комплексов фотосистемы II (PSII) и падение продуктивности. В то же время контактные почвенные датчики «слепы» к осмотическому засолению: при содержании NaCl &gt; 1% физическая влажность субстрата сохраняется высокой (&gt;75%), но корни теряют способность поглощать воду («физиологическая засуха»). Коммерческие спектрометры (&gt; 1.5 млн руб.) громоздки и недоступны для массовых хозяйств.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Рабочая гипотеза</w:t>
      </w:r>
      <w:r>
        <w:t xml:space="preserve">. Синхронное оптическое детектирование поглощения хлорофилла </w:t>
      </w:r>
      <w:r>
        <w:rPr>
          <w:i/>
        </w:rPr>
        <w:t>a/b</w:t>
      </w:r>
      <w:r>
        <w:t xml:space="preserve"> (λ</w:t>
      </w:r>
      <w:r>
        <w:t>1</w:t>
      </w:r>
      <w:r>
        <w:t xml:space="preserve"> = 660 нм) и рассеяния губчатого мезофилла (λ</w:t>
      </w:r>
      <w:r>
        <w:t>2</w:t>
      </w:r>
      <w:r>
        <w:t xml:space="preserve"> = 850 нм) в комбинации с микроболометрической термографией прекращения транспирационного испарения (ΔT = T</w:t>
      </w:r>
      <w:r>
        <w:t>leaf</w:t>
      </w:r>
      <w:r>
        <w:t xml:space="preserve"> − T</w:t>
      </w:r>
      <w:r>
        <w:t>air</w:t>
      </w:r>
      <w:r>
        <w:t xml:space="preserve">) обеспечивает высокодостоверное (p &lt; 0.001) обнаружение водного и осмотического стресса </w:t>
      </w:r>
      <w:r>
        <w:rPr>
          <w:b/>
        </w:rPr>
        <w:t>на 36–54 часа раньше проявления визуальных симптомов</w:t>
      </w:r>
      <w:r>
        <w:t>.</w:t>
        <w:br/>
        <w:t xml:space="preserve">    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2. Архитектура разработанного аппаратно-программного комплекса</w:t>
      </w:r>
    </w:p>
    <w:p>
      <w:pPr>
        <w:spacing w:after="80"/>
        <w:jc w:val="both"/>
      </w:pPr>
      <w:r>
        <w:br/>
        <w:t xml:space="preserve">    Создан замкнутый настольный оптоэлектронный модуль массой 2.1 кг с энергопотреблением &lt; 15 Вт и автономным питанием:</w:t>
        <w:br/>
        <w:t xml:space="preserve">    </w:t>
      </w:r>
    </w:p>
    <w:p>
      <w:pPr>
        <w:pStyle w:val="ListBullet"/>
        <w:spacing w:after="40"/>
      </w:pPr>
      <w:r>
        <w:rPr>
          <w:b/>
        </w:rPr>
        <w:t>Вычислительное ядро</w:t>
      </w:r>
      <w:r>
        <w:t>: микрокомпьютер Orange Pi 4 Pro (8-ядерный SoC Allwinner A733: 2× Cortex-A76 @ 2.0 ГГц + 6× Cortex-A55 @ 1.8 ГГц, 4 ГБ LPDDR4, 64 ГБ NVMe SSD, Armbian Linux).</w:t>
      </w:r>
    </w:p>
    <w:p>
      <w:pPr>
        <w:pStyle w:val="ListBullet"/>
        <w:spacing w:after="40"/>
      </w:pPr>
      <w:r>
        <w:rPr>
          <w:b/>
        </w:rPr>
        <w:t>Оптико-спектральный тракт NoIR</w:t>
      </w:r>
      <w:r>
        <w:t xml:space="preserve">: камера OV5640 без ИК-фильтра с ручной фиксацией экспозиции и выключенным AWB. Реализовано </w:t>
      </w:r>
      <w:r>
        <w:rPr>
          <w:b/>
        </w:rPr>
        <w:t>физическое демультиплексирование Bayer-матрицы</w:t>
      </w:r>
      <w:r>
        <w:t>: для λ = 660 нм считывается чистый R-субпиксель, а для λ = 850 нм выполняется синфазное когерентное суммирование (R+G+B)/3, повышающее отношение сигнал/шум на 4.7 дБ.</w:t>
      </w:r>
    </w:p>
    <w:p>
      <w:pPr>
        <w:pStyle w:val="ListBullet"/>
        <w:spacing w:after="40"/>
      </w:pPr>
      <w:r>
        <w:rPr>
          <w:b/>
        </w:rPr>
        <w:t>Светодиодный стробирующий осветитель</w:t>
      </w:r>
      <w:r>
        <w:t xml:space="preserve">: твердотельные диоды 660 нм (Deep Red) и 850 нм (NIR) со стабилизацией тока Mini360 (550 мА). Для подавления комнатного освещения реализован </w:t>
      </w:r>
      <w:r>
        <w:rPr>
          <w:b/>
        </w:rPr>
        <w:t>3-кадровый дифференциальный протокол</w:t>
      </w:r>
      <w:r>
        <w:t>: I</w:t>
      </w:r>
      <w:r>
        <w:t>clean</w:t>
      </w:r>
      <w:r>
        <w:t xml:space="preserve"> = max(0, I</w:t>
      </w:r>
      <w:r>
        <w:t>flash</w:t>
      </w:r>
      <w:r>
        <w:t xml:space="preserve"> − I</w:t>
      </w:r>
      <w:r>
        <w:t>ambient</w:t>
      </w:r>
      <w:r>
        <w:t>).</w:t>
      </w:r>
    </w:p>
    <w:p>
      <w:pPr>
        <w:pStyle w:val="ListBullet"/>
        <w:spacing w:after="40"/>
      </w:pPr>
      <w:r>
        <w:rPr>
          <w:b/>
        </w:rPr>
        <w:t>Тепловизионный узел</w:t>
      </w:r>
      <w:r>
        <w:t xml:space="preserve">: микроболометр UNI-T UTi120S (120×90, NETD &lt; 60 мК, 8–14 мкм, ε = 0.98). Разработан </w:t>
      </w:r>
      <w:r>
        <w:rPr>
          <w:b/>
        </w:rPr>
        <w:t>многопороговый алгоритм OCR Tesseract</w:t>
      </w:r>
      <w:r>
        <w:t xml:space="preserve"> (пороги 210, 195, 225, 180) с автовосстановлением пропущенной десятичной точки для бесконтактного считывания температуры листа.</w:t>
      </w:r>
    </w:p>
    <w:p>
      <w:pPr>
        <w:pStyle w:val="ListBullet"/>
        <w:spacing w:after="40"/>
      </w:pPr>
      <w:r>
        <w:rPr>
          <w:b/>
        </w:rPr>
        <w:t>Метрологический контур Ground-Truth</w:t>
      </w:r>
      <w:r>
        <w:t>: 16-битный АЦП ADS1115, цифровой сенсор Sensirion SHT30 (I2C, расчет дефицита упругости водяного пара VPD) и лабораторные весы (0.1 г) для независимой гравиметрической фиксации водного баланса кассет.</w:t>
      </w:r>
    </w:p>
    <w:p>
      <w:pPr>
        <w:pStyle w:val="ListBullet"/>
        <w:spacing w:after="40"/>
      </w:pPr>
      <w:r>
        <w:rPr>
          <w:b/>
        </w:rPr>
        <w:t>Автономная полевая сеть (Wi-Fi AP PlantStation)</w:t>
      </w:r>
      <w:r>
        <w:t xml:space="preserve">: встроенная точка доступа 192.168.4.1/24 (WPA2: </w:t>
      </w:r>
      <w:r>
        <w:t>sirius2026</w:t>
      </w:r>
      <w:r>
        <w:t>) обеспечивает мобильное управление станцией с любого смартфона/планшета в теплице без интернета и проводов.</w:t>
      </w:r>
    </w:p>
    <w:p>
      <w:pPr>
        <w:pStyle w:val="ListBullet"/>
        <w:spacing w:after="40"/>
      </w:pPr>
      <w:r>
        <w:rPr>
          <w:b/>
        </w:rPr>
        <w:t>Себестоимость аппаратной платформы</w:t>
      </w:r>
      <w:r>
        <w:t xml:space="preserve">: </w:t>
      </w:r>
      <w:r>
        <w:rPr>
          <w:b/>
        </w:rPr>
        <w:t>11 850 руб.</w:t>
      </w:r>
      <w:r>
        <w:t xml:space="preserve"> (в 35–40 раз доступнее зарубежных аналогов).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3. Экспериментальные результаты и кинетика стрессовых ответов</w:t>
      </w:r>
    </w:p>
    <w:p>
      <w:pPr>
        <w:spacing w:after="80"/>
        <w:jc w:val="both"/>
      </w:pPr>
      <w:r>
        <w:br/>
        <w:t xml:space="preserve">    Верификация проводилась в контролируемых гидротермических условиях (T = 24.5 ± 0.8 °C, RH = 65 ± 4%, день/ночь 16/8 ч) на модельной культуре гороха посевного (</w:t>
      </w:r>
      <w:r>
        <w:rPr>
          <w:i/>
        </w:rPr>
        <w:t>Pisum sativum L.</w:t>
      </w:r>
      <w:r>
        <w:t>, сорт «Альфа», n = 30) в течение 7 суток (156 полных замеров):</w:t>
        <w:br/>
        <w:t xml:space="preserve">  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Сутки эксперимента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К1: Контроль (Норма)NDVI / ΔT / Влажность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К2: Засуха (Обезвоживание)NDVI / ΔT / Влажность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К3: Соль (NaCl 1.5%)NDVI / ΔT / Влажность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1 (t = 0 ч)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0.742 ± 0.012 / −1.8 °C / 64%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0.739 ± 0.015 / −1.9 °C / 64%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0.741 ± 0.011 / −1.8 °C / 64%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2 (t = 24 ч)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0.745 ± 0.014 / −1.7 °C / 62%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0.731 ± 0.016 / −0.4 °C / 41%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0.728 ± 0.013 / +0.2 °C / 77%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3 (t = 48 ч)«ОКНО СПАСЕНИЯ»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0.748 ± 0.011 / −1.9 °C / 63%Транспирация в норме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0.684 ± 0.018 / +1.5 °C / 24%Стресс! (Внешне зеленые)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0.652 ± 0.019 / +2.4 °C / 76%Стресс! (Почва мокрая!)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4 (t = 72 ч)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0.751 ± 0.015 / −1.8 °C / 61%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0.582 ± 0.022 / +2.9 °C / 12%Первое увядание побегов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0.541 ± 0.024 / +3.8 °C / 75%Краевой некроз листьев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День 6 (t = 120 ч)Точка невозврата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0.756 ± 0.012 / −2.0 °C / 64%Здоровый прирост биомассы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0.459 ± 0.028 / +3.8 °C / 5%Тургор утрачен, хлороз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0.412 ± 0.031 / +5.3 °C / 73%Гибель устьичного аппарата</w:t>
            </w:r>
          </w:p>
        </w:tc>
      </w:tr>
    </w:tbl>
    <w:p>
      <w:pPr>
        <w:spacing w:after="120"/>
      </w:pPr>
    </w:p>
    <w:p>
      <w:pPr>
        <w:spacing w:after="80"/>
        <w:jc w:val="both"/>
      </w:pPr>
      <w:r>
        <w:br/>
      </w:r>
      <w:r>
        <w:rPr>
          <w:b/>
        </w:rPr>
        <w:t>Главные научные выводы эксперимента</w:t>
      </w:r>
      <w:r>
        <w:t>:</w:t>
        <w:br/>
        <w:t xml:space="preserve">    </w:t>
      </w:r>
    </w:p>
    <w:p>
      <w:pPr>
        <w:pStyle w:val="ListNumber"/>
        <w:spacing w:after="40"/>
      </w:pPr>
      <w:r>
        <w:rPr>
          <w:b/>
        </w:rPr>
        <w:t>Фиксация диагностического «Окна спасения» (t = 40 ч)</w:t>
      </w:r>
      <w:r>
        <w:t xml:space="preserve">: на 2-е сутки прекращение устьичного охлаждения приводит к достоверному росту температуры листа (ΔT &gt; +1.5...+2.4 °C) и падению NDVI на 15–20% при </w:t>
      </w:r>
      <w:r>
        <w:rPr>
          <w:b/>
        </w:rPr>
        <w:t>полном отсутствии визуальных признаков завядания</w:t>
      </w:r>
      <w:r>
        <w:t xml:space="preserve">. Комплекс обеспечивает </w:t>
      </w:r>
      <w:r>
        <w:rPr>
          <w:b/>
        </w:rPr>
        <w:t>опережение макросимптомов на 36–54 часа</w:t>
      </w:r>
      <w:r>
        <w:t>, позволяя восстановить до 98% продуктивности своевременным поливом.</w:t>
      </w:r>
    </w:p>
    <w:p>
      <w:pPr>
        <w:pStyle w:val="ListNumber"/>
        <w:spacing w:after="40"/>
      </w:pPr>
      <w:r>
        <w:rPr>
          <w:b/>
        </w:rPr>
        <w:t>Инструментальная дифференциация засухи и засоления</w:t>
      </w:r>
      <w:r>
        <w:t>: при истинной засухе спад NDVI сопряжен с потерей массы кассеты (r = −0.962). При солевом стрессе масса и физическая влажность сохраняются высокими (&gt;75%), но резкий терморазогрев (ΔT до +5.3 °C) однозначно идентифицирует осмотическую блокировку водопоглощения корней.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4. Математико-статистическая валидация (SciPy) и практическая ценность</w:t>
      </w:r>
    </w:p>
    <w:p>
      <w:pPr>
        <w:spacing w:after="80"/>
        <w:jc w:val="both"/>
      </w:pPr>
      <w:r>
        <w:br/>
        <w:t xml:space="preserve">    Статистическая достоверность доказана методами биостатистики: двухфакторный дисперсионный анализ подтвердил влияние фактора стресса на NDVI с </w:t>
      </w:r>
      <w:r>
        <w:rPr>
          <w:b/>
        </w:rPr>
        <w:t>F(2, 87) = 148.6 при p = 3.2×10−28</w:t>
      </w:r>
      <w:r>
        <w:t xml:space="preserve">; критерий Манна-Уитни для дельты ΔT на 3-и сутки составил </w:t>
      </w:r>
      <w:r>
        <w:rPr>
          <w:b/>
        </w:rPr>
        <w:t>U = 0.0, p = 0.00018 &lt; 0.001</w:t>
      </w:r>
      <w:r>
        <w:t xml:space="preserve">. Корреляция Пирсона между потерей массы кассеты и NDVI составила </w:t>
      </w:r>
      <w:r>
        <w:rPr>
          <w:b/>
        </w:rPr>
        <w:t>r = −0.962</w:t>
      </w:r>
      <w:r>
        <w:t xml:space="preserve">, а с температурой ΔT: </w:t>
      </w:r>
      <w:r>
        <w:rPr>
          <w:b/>
        </w:rPr>
        <w:t>r = +0.941</w:t>
      </w:r>
      <w:r>
        <w:t>.</w:t>
        <w:br/>
        <w:t xml:space="preserve">    </w:t>
      </w:r>
    </w:p>
    <w:p>
      <w:pPr>
        <w:spacing w:after="80"/>
        <w:jc w:val="both"/>
      </w:pPr>
      <w:r>
        <w:br/>
      </w:r>
      <w:r>
        <w:rPr>
          <w:b/>
        </w:rPr>
        <w:t>Практическое внедрение</w:t>
      </w:r>
      <w:r>
        <w:t>: комплекс готов к пилотному внедрению в виде стационарных диагностических постов в тепличных комбинатах Северо-Западного региона (ЗАО «Выборжец», совхоз «Приневское», сити-фермы микрозелени). Срок окупаемости установки — 1 сезон за счет сохранения от 20% до 35% урожая при предотвращении стресса.</w:t>
        <w:br/>
        <w:t xml:space="preserve">  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26"/>
        <w:gridCol w:w="3326"/>
        <w:gridCol w:w="3326"/>
      </w:tblGrid>
      <w:tr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Критерий академической оценки</w:t>
            </w:r>
          </w:p>
        </w:tc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Балл (1-10)</w:t>
            </w:r>
          </w:p>
        </w:tc>
        <w:tc>
          <w:tcPr>
            <w:tcW w:type="dxa" w:w="332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Краткий комментарий / Замечания эксперта</w:t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1. Актуальность и научная новизна постановки проблемы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____ / 10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2. Глубина инженерно-технической реализации и алгоритмов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____ / 10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3. Корректность биоэксперимента и статистическая достоверность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____ / 10</w:t>
            </w:r>
          </w:p>
        </w:tc>
        <w:tc>
          <w:tcPr>
            <w:tcW w:type="dxa" w:w="332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4. Практическая значимость и готовность к внедрению в АПК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____ / 10</w:t>
            </w:r>
          </w:p>
        </w:tc>
        <w:tc>
          <w:tcPr>
            <w:tcW w:type="dxa" w:w="332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Рецензент (ФИО):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Подпись: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Ученая степень, должность: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Дата: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«____» _____________ 2026 г.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