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26"/>
        </w:rPr>
        <w:t>РАЗРАБОТКА ПОРТАТИВНОГО АППАРАТНО-ПРОГРАММНОГО КОМПЛЕКСА МУЛЬТИСПЕКТРАЛЬНОГО АНАЛИЗА ДЛЯ РАННЕЙ ДЕТЕКЦИИ АБИОТИЧЕСКОГО СТРЕССА РАСТЕНИЙ НА ОСНОВЕ РАСЧЕТА ВЕГЕТАЦИОННЫХ ИНДЕКСОВ</w:t>
        <w:br/>
      </w:r>
      <w:r>
        <w:rPr>
          <w:rFonts w:ascii="Arial" w:hAnsi="Arial"/>
          <w:b/>
          <w:color w:val="00A499"/>
          <w:sz w:val="19"/>
        </w:rPr>
        <w:t>ПОЛНЫЙ СВОДНЫЙ НАУЧНО-ИНЖЕНЕРНЫЙ ОТЧЕТ И ВЫКЛАДКИ ДЛЯ НЕЙРОСЕТИ И ПАСПОРТА ПРОЕКТА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1. Паспортные данные и концептуальная модель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Конкурс: </w:t>
      </w:r>
      <w:r>
        <w:rPr>
          <w:rFonts w:ascii="Arial" w:hAnsi="Arial"/>
          <w:sz w:val="17"/>
        </w:rPr>
        <w:t>Всероссийский конкурс научно-технологических проектов «Большие вызовы» (ОЦ «Сириус»).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Направление (трек): </w:t>
      </w:r>
      <w:r>
        <w:rPr>
          <w:rFonts w:ascii="Arial" w:hAnsi="Arial"/>
          <w:sz w:val="17"/>
        </w:rPr>
        <w:t>«Агропромышленные и биотехнологии».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Кодовая база: </w:t>
      </w:r>
      <w:r>
        <w:rPr>
          <w:rFonts w:ascii="Arial" w:hAnsi="Arial"/>
          <w:sz w:val="17"/>
        </w:rPr>
        <w:t>репозиторий ezicvtumane/plant-stress-ndvi (Python 3, OpenCV, FastAPI, SciPy, SQLite).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Суть разработки: </w:t>
      </w:r>
      <w:r>
        <w:rPr>
          <w:rFonts w:ascii="Arial" w:hAnsi="Arial"/>
          <w:sz w:val="17"/>
        </w:rPr>
        <w:t>Бесконтактный двухфакторный экспресс-комплекс ранней детекции абиотического стресса (водного дефицита и осмотического засоления), объединяющий активную двухволновую спектрофотометрию (NDVI на 660 и 850 нм) и инфракрасную термографию устьичной проводимости (CWSI / ΔT). Обеспечивает выявление скрытого стресса за 36–54 ч до появления видимого увядания и хлороза.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2. Аппаратная архитектура и метрологический регламент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Вычислитель: </w:t>
      </w:r>
      <w:r>
        <w:rPr>
          <w:rFonts w:ascii="Arial" w:hAnsi="Arial"/>
          <w:sz w:val="17"/>
        </w:rPr>
        <w:t>Одноплатный микрокомпьютер Orange Pi 4 Pro (Rockchip RK3399, 4GB LPDDR4, eMMC/Linux Armbian).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Оптический сенсор: </w:t>
      </w:r>
      <w:r>
        <w:rPr>
          <w:rFonts w:ascii="Arial" w:hAnsi="Arial"/>
          <w:sz w:val="17"/>
        </w:rPr>
        <w:t>NoIR-камера Sony IMX179 (без ИК-фильтра) с ручной фиксацией экспозиции/ISO во избежание автоподстройки.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Активный стробоскопический блок: </w:t>
      </w:r>
      <w:r>
        <w:rPr>
          <w:rFonts w:ascii="Arial" w:hAnsi="Arial"/>
          <w:sz w:val="17"/>
        </w:rPr>
        <w:t>Узкополосные светодиоды Red (660 нм) и NIR (850 нм). Питание через импульсные стабилизаторы Mini360 (второй модуль съюстирован по току 550 мА). Коммутация через транзисторные ключи короткими импульсами 80 мс — исключен нагрев p-n перехода и дрейф длины волны.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Термографический блок: </w:t>
      </w:r>
      <w:r>
        <w:rPr>
          <w:rFonts w:ascii="Arial" w:hAnsi="Arial"/>
          <w:sz w:val="17"/>
        </w:rPr>
        <w:t>Тепловизор UNI-T UTi120S (микроболометр 120×90 пикселей, NETD &lt; 60 мК, спектр 8–14 мкм). Пространственное разрешение позволяет надежно сегментировать температуру именно листовой пластинки, отсекая сухой нагретый субстрат.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Разделение логистики и фотометрии: </w:t>
      </w:r>
      <w:r>
        <w:rPr>
          <w:rFonts w:ascii="Arial" w:hAnsi="Arial"/>
          <w:sz w:val="17"/>
        </w:rPr>
        <w:t>Маркеры ArUco (ID 1–5) отвечают строго за трекинг кассет и субпиксельную адресацию ячеек. Калибровка по ArUco не проводится (чернила прозрачны в NIR, белая бумага дает клиппинг 255). Метрологическая калибровка ведется по стационарной серой карте 18%, жестко закрепленной в зоне видимости камеры.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Подавление паразитной инсоляции: </w:t>
      </w:r>
      <w:r>
        <w:rPr>
          <w:rFonts w:ascii="Arial" w:hAnsi="Arial"/>
          <w:sz w:val="17"/>
        </w:rPr>
        <w:t>Двухфазный алгоритм вычитания темнового кадра (Dark Frame Subtraction): I = I_LED_ON − I_LED_OFF, нивелирующий внешнюю освещенность теплицы.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3. Аудит вегетационной базы и анализ динамики побегов</w:t>
      </w:r>
    </w:p>
    <w:p>
      <w:pPr>
        <w:spacing w:after="40"/>
      </w:pPr>
      <w:r>
        <w:rPr>
          <w:rFonts w:ascii="Arial" w:hAnsi="Arial"/>
          <w:sz w:val="17"/>
        </w:rPr>
        <w:t>Натурная фотофиксация кассет подтвердила вертикальную ориентацию побегов и отсутствие полегания, вскрыв причины динамики: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Сортовой фактор: </w:t>
      </w:r>
      <w:r>
        <w:rPr>
          <w:rFonts w:ascii="Arial" w:hAnsi="Arial"/>
          <w:sz w:val="17"/>
        </w:rPr>
        <w:t>Использован горох афильного («усатого») типа. Листовые пластинки на ранних стадиях редуцированы в усики, что на виде сверху (nadir view) снижало проективное покрытие ячейки до &lt; 15%.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Разновозрастность кассет: </w:t>
      </w:r>
      <w:r>
        <w:rPr>
          <w:rFonts w:ascii="Arial" w:hAnsi="Arial"/>
          <w:sz w:val="17"/>
        </w:rPr>
        <w:t>Правая кассета имеет возраст 14 дней, а средние и левые кассеты были посеяны на 7 дней позже и только выходят в фазу активного вегетативного роста (все семена взошли, всхожесть ~100%).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Световой режим и расстояние: </w:t>
      </w:r>
      <w:r>
        <w:rPr>
          <w:rFonts w:ascii="Arial" w:hAnsi="Arial"/>
          <w:sz w:val="17"/>
        </w:rPr>
        <w:t>Линейный светильник расположен на высоте ~70 см (над комнатными растениями). По закону обратных квадратов освещенность на поверхности грунта ослаблена в 20–25 раз по сравнению со штатной высотой 15 см.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Нижний подогрев: </w:t>
      </w:r>
      <w:r>
        <w:rPr>
          <w:rFonts w:ascii="Arial" w:hAnsi="Arial"/>
          <w:sz w:val="17"/>
        </w:rPr>
        <w:t>Наличие радиатора отопления под подоконником обеспечивает оптимальную температуру корневой зоны (+22...+24°C), что стимулировало резкий рост побегов и раскрытие первых листьев за последние сутки.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Статус нулевой кассеты: </w:t>
      </w:r>
      <w:r>
        <w:rPr>
          <w:rFonts w:ascii="Arial" w:hAnsi="Arial"/>
          <w:sz w:val="17"/>
        </w:rPr>
        <w:t>14-дневная кассета выведена из конкурсной выборки и используется для отладки софта и цитологических отпечатков.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4. Сравнительный межвидовой биологический дизайн</w:t>
      </w:r>
    </w:p>
    <w:p>
      <w:pPr>
        <w:spacing w:after="40"/>
      </w:pPr>
      <w:r>
        <w:rPr>
          <w:rFonts w:ascii="Arial" w:hAnsi="Arial"/>
          <w:sz w:val="17"/>
        </w:rPr>
        <w:t>Вместо монокультурного пилота реализуется полноценное сравнительное межвидовое исследование двух контрастных таксонов:</w:t>
        <w:br/>
        <w:t>• Культура №1: Горох посевной (Pisum sativum L., сем. Бобовые) — вертикальный побег, проверка сегментации фона при малой площади.</w:t>
        <w:br/>
        <w:t>• Культура №2: Огурец посевной (Cucumis sativus L., сорт «Каскад», сем. Тыквенные) — флагманский объект СЗФО, семядоли 3×4 см (90–95% ячейки), высокая плотность устьиц для тепловизора.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rFonts w:ascii="Arial" w:hAnsi="Arial"/>
                <w:b/>
                <w:sz w:val="16"/>
              </w:rPr>
              <w:t>Параметр сравнения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Arial" w:hAnsi="Arial"/>
                <w:b/>
                <w:sz w:val="16"/>
              </w:rPr>
              <w:t>Pisum sativum (Горох)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Arial" w:hAnsi="Arial"/>
                <w:b/>
                <w:sz w:val="16"/>
              </w:rPr>
              <w:t>Cucumis sativus (Огурец)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Arial" w:hAnsi="Arial"/>
                <w:b/>
                <w:sz w:val="16"/>
              </w:rPr>
              <w:t>Helianthus annuus (Подсолнечник)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Таксон / Семейство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Бобовые (Fabaceae)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Тыквенные (Cucurbitaceae)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Астровые (Asteraceae)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Морфология листа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Прилистники + усики, вертикальный побег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Широкие плоские горизонтальные семядоли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Толстые мясистые семядоли, плотный мезофилл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Проективное покрытие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15–30% (тест сегментации фона)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85–95% (экранирование грунта)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80–90% (максимальный сигнал в NIR)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Отклик на стресс (ΔT)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+1.5...+2.2 °C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+3.0...+4.0 °C (рекордная транспирация)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+2.0...+3.5 °C (анизогидрический тип)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Роль в проекте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Сравнительная модель №1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Флагманский целевой объект АПК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Калибровочный эталон NIR (NDVI &gt; 0.80)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5. Цитологический Ground Truth: регламент лаковых реплик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Отказ от микроскопа в боксе: </w:t>
      </w:r>
      <w:r>
        <w:rPr>
          <w:rFonts w:ascii="Arial" w:hAnsi="Arial"/>
          <w:sz w:val="17"/>
        </w:rPr>
        <w:t>Встраивание микрообъектива внутрь прибора исключено как архитектурная ошибка (глубина резкости &lt; 20 мкм, микровибрации и кривизна листа на растении требуют 5 минут наведения, что убивает концепцию 2-секундного экспресс-сканера).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Арбитражный контроль: </w:t>
      </w:r>
      <w:r>
        <w:rPr>
          <w:rFonts w:ascii="Arial" w:hAnsi="Arial"/>
          <w:sz w:val="17"/>
        </w:rPr>
        <w:t>Школьный световой микроскоп (40×, суммарно 400×) на лабораторном столе для доказательства устьичной природы термального скачка методом отпечатков эпидермиса:</w:t>
        <w:br/>
        <w:t>1. Нанесение микрослоя прозрачного нитролака на абаксиальную (нижнюю) сторону листа живого растения.</w:t>
        <w:br/>
        <w:t>2. Высыхание пленки за 120 с без отделения листа (исключен гидропассивный шок срезания).</w:t>
        <w:br/>
        <w:t>3. Снятие реплики адгезивной лентой, фиксация на предметном стекле и микроскопия на просвет.</w:t>
        <w:br/>
        <w:t>4. Фотофиксация через окуляр: закрытие устьичной апертуры (с 6–8 мкм в контроле до 0–1 мкм при стрессе) служит 100% доказательством.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6. Защитная матрица ответов для экспертов жюри «Больших вызовов»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2E8F0"/>
          </w:tcPr>
          <w:p>
            <w:r>
              <w:rPr>
                <w:rFonts w:ascii="Arial" w:hAnsi="Arial"/>
                <w:b/>
                <w:sz w:val="16"/>
              </w:rPr>
              <w:t>Вопрос эксперта</w:t>
            </w:r>
          </w:p>
        </w:tc>
        <w:tc>
          <w:tcPr>
            <w:tcW w:type="dxa" w:w="5256"/>
            <w:shd w:fill="E2E8F0"/>
          </w:tcPr>
          <w:p>
            <w:r>
              <w:rPr>
                <w:rFonts w:ascii="Arial" w:hAnsi="Arial"/>
                <w:b/>
                <w:sz w:val="16"/>
              </w:rPr>
              <w:t>Аргументированный ответ соискателя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5"/>
              </w:rPr>
              <w:t>«Бокс изолирован. Как масштабировать на гектары теплиц?»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5"/>
              </w:rPr>
              <w:t>Комплекс спроектирован как инспекционный шлюз на конвейере малообъемной гидропоники (где рассада регулярно перемещается). Сканирование кассеты по ArUco занимает 2 с. Для открытых стеллажей заложен режим вычитания темнового кадра (I = I_on - I_off).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5"/>
              </w:rPr>
              <w:t>«Как отличить водный дефицит от нехватки азота/железа?»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5"/>
              </w:rPr>
              <w:t>Сепарация строится на анализе фазового сдвига: при засухе/соли устьица закрываются в первые часы (всплеск ΔT &gt; 0), а NDVI падает через 36–54 ч. При минеральном голодании транспирация сохраняется (ΔT около нуля), а NDVI снижается медленно.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5"/>
              </w:rPr>
              <w:t>«Как исключен перегрев светодиодов 850 нм?»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5"/>
              </w:rPr>
              <w:t>Импульсное стробирование: подсветка включается всего на 80 мс на время экспозиции кадра, нагрев исключен. Калибровка ведется по стационарной 18% серой карте в каждом кадре.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5"/>
              </w:rPr>
              <w:t>«Почему не калиброваться прямо по ArUco-маркеру?»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5"/>
              </w:rPr>
              <w:t>Струйные чернила прозрачны в NIR (850 нм), тонер лазера дает зеркальные блики. Белая бумага уходит в насыщение (255), черный цвет — в шумы. Серая карта 18% спектрально плоская и находится в линейной зоне сенсора.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7. Экономика внедрения и календарный план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Отраслевая привязка: </w:t>
      </w:r>
      <w:r>
        <w:rPr>
          <w:rFonts w:ascii="Arial" w:hAnsi="Arial"/>
          <w:sz w:val="17"/>
        </w:rPr>
        <w:t>Тепличные комплексы СЗФО (АО «Выборжец», ЗАО «Приневское»). Мониторинг накопления солей (EC) в матах и засорения капельниц. Упреждение 36–54 ч обеспечивает сохранение 98.2% биомассы против 45.9% потерь при запоздалом реагировании.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Календарный план: </w:t>
      </w:r>
      <w:r>
        <w:rPr>
          <w:rFonts w:ascii="Arial" w:hAnsi="Arial"/>
          <w:sz w:val="17"/>
        </w:rPr>
        <w:t>• День 0–1: Подъем кассет с горохом на 15 см к светильнику. Запуск Серии №1 (Контроль vs Засуха vs Соль 150 мМ NaCl). Отработка лаковых отпечатков на микроскопе (400×).</w:t>
        <w:br/>
        <w:t>• День 2–3: Получение семян («Каскад», «Золотая сакса», «Богучарец») из «Лемана ПРО». Синхронный посев огурца на теплом подоконнике (+22...+24°C).</w:t>
        <w:br/>
        <w:t>• День 5–7: Разворачивание семядолей огурца. Запуск флагманской Серии №2 (n=45). Сведение сравнительных матриц для презентации.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