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60"/>
      </w:pPr>
      <w:r>
        <w:rPr>
          <w:b/>
          <w:color w:val="008276"/>
          <w:sz w:val="32"/>
        </w:rPr>
        <w:t>ПОШАГОВЫЙ АЛГОРИТМ ВЫПОЛНЕНИЯ ИССЛЕДОВАТЕЛЬСКОГО ПРОЕКТА</w:t>
      </w:r>
    </w:p>
    <w:p>
      <w:pPr>
        <w:spacing w:after="80"/>
        <w:jc w:val="both"/>
      </w:pPr>
      <w:r>
        <w:rPr>
          <w:b/>
        </w:rPr>
        <w:t>«Аппаратно-программный комплекс активной спектрофотометрии и термографии стресса растений»</w:t>
      </w:r>
      <w:r/>
      <w:r>
        <w:br/>
      </w:r>
      <w:r>
        <w:rPr>
          <w:i/>
        </w:rPr>
        <w:t>План-график реализации для Всероссийского конкурса научно-технологических проектов «Большие вызовы» (ОЦ «Сириус»)</w:t>
      </w:r>
    </w:p>
    <w:p>
      <w:pPr>
        <w:keepNext/>
        <w:spacing w:before="240" w:after="120"/>
      </w:pPr>
      <w:r>
        <w:rPr>
          <w:b/>
          <w:color w:val="0F766E"/>
          <w:sz w:val="27"/>
        </w:rPr>
        <w:t>ЭТАП 1. Аппаратная сборка и силовая коммутация (Hardware)</w:t>
      </w:r>
    </w:p>
    <w:p>
      <w:pPr>
        <w:pStyle w:val="ListNumber"/>
        <w:spacing w:after="40"/>
      </w:pPr>
      <w:r>
        <w:rPr>
          <w:b/>
        </w:rPr>
        <w:t>Настройка единой силовой линии питания от Orange Pi (USB Type-C 5В 3А)</w:t>
      </w:r>
      <w:r>
        <w:t>:</w:t>
      </w:r>
    </w:p>
    <w:p>
      <w:pPr>
        <w:pStyle w:val="ListNumber"/>
        <w:spacing w:after="40"/>
      </w:pPr>
      <w:r>
        <w:t>Подать сетевое питание 5.0 В / 3.0 А на разъем USB Type-C микрокомпьютера Orange Pi 4 Pro V1.3.2.</w:t>
      </w:r>
    </w:p>
    <w:p>
      <w:pPr>
        <w:pStyle w:val="ListNumber"/>
        <w:spacing w:after="40"/>
      </w:pPr>
      <w:r>
        <w:t xml:space="preserve">Запитать входы $Vin+$ обоих понижающих модулей Mini-360 напрямую с силовой гребенки +5В микрокомпьютера: </w:t>
      </w:r>
      <w:r>
        <w:rPr>
          <w:b/>
        </w:rPr>
        <w:t>Mini-360 №1</w:t>
      </w:r>
      <w:r>
        <w:t xml:space="preserve"> от </w:t>
      </w:r>
      <w:r>
        <w:rPr>
          <w:b/>
        </w:rPr>
        <w:t>Pin 2</w:t>
      </w:r>
      <w:r>
        <w:t xml:space="preserve">, </w:t>
      </w:r>
      <w:r>
        <w:rPr>
          <w:b/>
        </w:rPr>
        <w:t>Mini-360 №2</w:t>
      </w:r>
      <w:r>
        <w:t xml:space="preserve"> от </w:t>
      </w:r>
      <w:r>
        <w:rPr>
          <w:b/>
        </w:rPr>
        <w:t>Pin 4</w:t>
      </w:r>
      <w:r>
        <w:t>. Земля (GND) объединена на контактах Pin 6/9/14.</w:t>
      </w:r>
    </w:p>
    <w:p>
      <w:pPr>
        <w:pStyle w:val="ListNumber"/>
        <w:spacing w:after="40"/>
      </w:pPr>
      <w:r>
        <w:rPr>
          <w:b/>
        </w:rPr>
        <w:t>Mini-360 №1 (канал 660 нм Deep Red)</w:t>
      </w:r>
      <w:r>
        <w:t xml:space="preserve">: подстроечным резистором выставить выходное напряжение </w:t>
      </w:r>
      <w:r>
        <w:rPr>
          <w:b/>
        </w:rPr>
        <w:t>2.20 В</w:t>
      </w:r>
      <w:r>
        <w:t xml:space="preserve"> (ток через 3W кристалл ~450–500 мА).</w:t>
      </w:r>
    </w:p>
    <w:p>
      <w:pPr>
        <w:pStyle w:val="ListNumber"/>
        <w:spacing w:after="40"/>
      </w:pPr>
      <w:r>
        <w:rPr>
          <w:b/>
        </w:rPr>
        <w:t>Mini-360 №2 (канал 850 нм NIR)</w:t>
      </w:r>
      <w:r>
        <w:t xml:space="preserve">: выставить выходное напряжение </w:t>
      </w:r>
      <w:r>
        <w:rPr>
          <w:b/>
        </w:rPr>
        <w:t>1.60 В</w:t>
      </w:r>
      <w:r>
        <w:t xml:space="preserve"> (номинальное прямое падение напряжения ИК-диода).</w:t>
      </w:r>
    </w:p>
    <w:p>
      <w:pPr>
        <w:pStyle w:val="ListNumber"/>
        <w:spacing w:after="40"/>
      </w:pPr>
      <w:r>
        <w:t>Винты подстроечников зафиксировать лаком. Благодаря последовательному импульсному стробированию (светодиоды никогда не светят одновременно) суммарное потребление платы с активным светодиодом не превышает 1.1–1.2 А, исключая просадки напряжения.</w:t>
      </w:r>
    </w:p>
    <w:p>
      <w:pPr>
        <w:pStyle w:val="ListNumber"/>
        <w:spacing w:after="40"/>
      </w:pPr>
      <w:r>
        <w:rPr>
          <w:b/>
        </w:rPr>
        <w:t>Коммутация через 2-канальное реле (Active-Low)</w:t>
      </w:r>
      <w:r>
        <w:t>:</w:t>
      </w:r>
    </w:p>
    <w:p>
      <w:pPr>
        <w:pStyle w:val="ListNumber"/>
        <w:spacing w:after="40"/>
      </w:pPr>
      <w:r>
        <w:t xml:space="preserve">Выход Mini-360 №1 подключить через нормально разомкнутый контакт </w:t>
      </w:r>
      <w:r>
        <w:rPr>
          <w:b/>
        </w:rPr>
        <w:t>NO1</w:t>
      </w:r>
      <w:r>
        <w:t xml:space="preserve"> к красному эмиттеру 660 нм (на алюминиевом радиаторе с термопастой).</w:t>
      </w:r>
    </w:p>
    <w:p>
      <w:pPr>
        <w:pStyle w:val="ListNumber"/>
        <w:spacing w:after="40"/>
      </w:pPr>
      <w:r>
        <w:t xml:space="preserve">Выход Mini-360 №2 подключить через нормально разомкнутый контакт </w:t>
      </w:r>
      <w:r>
        <w:rPr>
          <w:b/>
        </w:rPr>
        <w:t>NO2</w:t>
      </w:r>
      <w:r>
        <w:t xml:space="preserve"> к ИК-эмиттеру 850 нм на радиаторе.</w:t>
      </w:r>
    </w:p>
    <w:p>
      <w:pPr>
        <w:pStyle w:val="ListNumber"/>
        <w:spacing w:after="40"/>
      </w:pPr>
      <w:r>
        <w:t xml:space="preserve">Входы управления реле: </w:t>
      </w:r>
      <w:r>
        <w:rPr>
          <w:b/>
        </w:rPr>
        <w:t>IN1</w:t>
      </w:r>
      <w:r>
        <w:t xml:space="preserve"> подключить к </w:t>
      </w:r>
      <w:r>
        <w:rPr>
          <w:b/>
        </w:rPr>
        <w:t>Pin 7</w:t>
      </w:r>
      <w:r>
        <w:t xml:space="preserve"> (линия PL4 / gpiochip1 line 4), </w:t>
      </w:r>
      <w:r>
        <w:rPr>
          <w:b/>
        </w:rPr>
        <w:t>IN2</w:t>
      </w:r>
      <w:r>
        <w:t xml:space="preserve"> подключить к </w:t>
      </w:r>
      <w:r>
        <w:rPr>
          <w:b/>
        </w:rPr>
        <w:t>Pin 10</w:t>
      </w:r>
      <w:r>
        <w:t xml:space="preserve"> (линия PL7 / gpiochip1 line 7).</w:t>
      </w:r>
    </w:p>
    <w:p>
      <w:pPr>
        <w:pStyle w:val="ListNumber"/>
        <w:spacing w:after="40"/>
      </w:pPr>
      <w:r>
        <w:t xml:space="preserve">Питание реле: </w:t>
      </w:r>
      <w:r>
        <w:rPr>
          <w:b/>
        </w:rPr>
        <w:t>VCC</w:t>
      </w:r>
      <w:r>
        <w:t xml:space="preserve"> к </w:t>
      </w:r>
      <w:r>
        <w:rPr>
          <w:b/>
        </w:rPr>
        <w:t>Pin 2</w:t>
      </w:r>
      <w:r>
        <w:t xml:space="preserve"> (+5.0 В), </w:t>
      </w:r>
      <w:r>
        <w:rPr>
          <w:b/>
        </w:rPr>
        <w:t>GND</w:t>
      </w:r>
      <w:r>
        <w:t xml:space="preserve"> к </w:t>
      </w:r>
      <w:r>
        <w:rPr>
          <w:b/>
        </w:rPr>
        <w:t>Pin 9</w:t>
      </w:r>
      <w:r>
        <w:t xml:space="preserve"> (GND).</w:t>
      </w:r>
    </w:p>
    <w:p>
      <w:pPr>
        <w:pStyle w:val="ListNumber"/>
        <w:spacing w:after="40"/>
      </w:pPr>
      <w:r>
        <w:rPr>
          <w:b/>
        </w:rPr>
        <w:t>Подключение сенсорной подсистемы (Шина I2C-0)</w:t>
      </w:r>
      <w:r>
        <w:t>:</w:t>
      </w:r>
    </w:p>
    <w:p>
      <w:pPr>
        <w:pStyle w:val="ListNumber"/>
        <w:spacing w:after="40"/>
      </w:pPr>
      <w:r>
        <w:t xml:space="preserve">Активировать системный оверлей </w:t>
      </w:r>
      <w:r>
        <w:t>sun60i-a733-i2c0.dtbo</w:t>
      </w:r>
      <w:r>
        <w:t xml:space="preserve"> в </w:t>
      </w:r>
      <w:r>
        <w:t>/boot/armbianEnv.txt</w:t>
      </w:r>
      <w:r>
        <w:t xml:space="preserve"> (</w:t>
      </w:r>
      <w:r>
        <w:t>overlays=i2c0</w:t>
      </w:r>
      <w:r>
        <w:t>).</w:t>
      </w:r>
    </w:p>
    <w:p>
      <w:pPr>
        <w:pStyle w:val="ListNumber"/>
        <w:spacing w:after="40"/>
      </w:pPr>
      <w:r>
        <w:t xml:space="preserve">Подключить датчики к шине </w:t>
      </w:r>
      <w:r>
        <w:rPr>
          <w:b/>
        </w:rPr>
        <w:t>I2C-0</w:t>
      </w:r>
      <w:r>
        <w:t xml:space="preserve"> на 40-пиновом разъеме Orange Pi: линия данных </w:t>
      </w:r>
      <w:r>
        <w:rPr>
          <w:b/>
        </w:rPr>
        <w:t>SDA</w:t>
      </w:r>
      <w:r>
        <w:t xml:space="preserve"> — </w:t>
      </w:r>
      <w:r>
        <w:rPr>
          <w:b/>
        </w:rPr>
        <w:t>Pin 3</w:t>
      </w:r>
      <w:r>
        <w:t xml:space="preserve"> (PB3), тактирование </w:t>
      </w:r>
      <w:r>
        <w:rPr>
          <w:b/>
        </w:rPr>
        <w:t>SCL</w:t>
      </w:r>
      <w:r>
        <w:t xml:space="preserve"> — </w:t>
      </w:r>
      <w:r>
        <w:rPr>
          <w:b/>
        </w:rPr>
        <w:t>Pin 5</w:t>
      </w:r>
      <w:r>
        <w:t xml:space="preserve"> (PB2).</w:t>
      </w:r>
    </w:p>
    <w:p>
      <w:pPr>
        <w:pStyle w:val="ListNumber"/>
        <w:spacing w:after="40"/>
      </w:pPr>
      <w:r>
        <w:t xml:space="preserve">Питание датчиков: </w:t>
      </w:r>
      <w:r>
        <w:rPr>
          <w:b/>
        </w:rPr>
        <w:t>СТРОГО +3.3 В (Pin 1)</w:t>
      </w:r>
      <w:r>
        <w:t xml:space="preserve">, общая земля — </w:t>
      </w:r>
      <w:r>
        <w:rPr>
          <w:b/>
        </w:rPr>
        <w:t>Pin 6</w:t>
      </w:r>
      <w:r>
        <w:t xml:space="preserve"> (GND).</w:t>
      </w:r>
    </w:p>
    <w:p>
      <w:pPr>
        <w:pStyle w:val="ListNumber"/>
        <w:spacing w:after="40"/>
      </w:pPr>
      <w:r>
        <w:rPr>
          <w:b/>
        </w:rPr>
        <w:t>Sensirion SHT30</w:t>
      </w:r>
      <w:r>
        <w:t xml:space="preserve"> (адрес </w:t>
      </w:r>
      <w:r>
        <w:t>0x44</w:t>
      </w:r>
      <w:r>
        <w:t>): непрерывный опрос температуры, влажности воздуха и вычисление $VPD$.</w:t>
      </w:r>
    </w:p>
    <w:p>
      <w:pPr>
        <w:pStyle w:val="ListNumber"/>
        <w:spacing w:after="40"/>
      </w:pPr>
      <w:r>
        <w:rPr>
          <w:b/>
        </w:rPr>
        <w:t>ADS1115</w:t>
      </w:r>
      <w:r>
        <w:t xml:space="preserve"> (16-битный АЦП, адрес </w:t>
      </w:r>
      <w:r>
        <w:t>0x48</w:t>
      </w:r>
      <w:r>
        <w:t>, пин ADDR на GND): оцифровка аналогового сигнала влажности субстрата.</w:t>
      </w:r>
    </w:p>
    <w:p>
      <w:pPr>
        <w:pStyle w:val="ListNumber"/>
        <w:spacing w:after="40"/>
      </w:pPr>
      <w:r>
        <w:t xml:space="preserve">Подключить емкостный датчик влажности почвы v1.2 к аналоговому входу </w:t>
      </w:r>
      <w:r>
        <w:rPr>
          <w:b/>
        </w:rPr>
        <w:t>A0</w:t>
      </w:r>
      <w:r>
        <w:t xml:space="preserve"> с использованием защищенного серво-расположения проводов (Signal — VCC 3.3В по центру — GND).</w:t>
      </w:r>
    </w:p>
    <w:p>
      <w:pPr>
        <w:pStyle w:val="ListNumber"/>
        <w:spacing w:after="40"/>
      </w:pPr>
      <w:r>
        <w:rPr>
          <w:b/>
        </w:rPr>
        <w:t>Подключение USB NoIR камеры</w:t>
      </w:r>
      <w:r>
        <w:t>:</w:t>
      </w:r>
    </w:p>
    <w:p>
      <w:pPr>
        <w:pStyle w:val="ListNumber"/>
        <w:spacing w:after="40"/>
      </w:pPr>
      <w:r>
        <w:t>Подключить USB-камеру без инфракрасного фильтра к порту USB 3.0 Orange Pi (/dev/video0, бэкенд cv2.CAP_V4L2 для мгновенного захвата без зависаний GStreamer).</w:t>
      </w:r>
    </w:p>
    <w:p>
      <w:pPr>
        <w:pStyle w:val="ListNumber"/>
        <w:spacing w:after="40"/>
      </w:pPr>
      <w:r>
        <w:rPr>
          <w:b/>
        </w:rPr>
        <w:t>Монтаж в распределительную коробку и температурная изоляция SHT30</w:t>
      </w:r>
      <w:r>
        <w:t>:</w:t>
      </w:r>
    </w:p>
    <w:p>
      <w:pPr>
        <w:pStyle w:val="ListNumber"/>
        <w:spacing w:after="40"/>
      </w:pPr>
      <w:r>
        <w:t>Смонтировать Orange Pi 4 Pro, модуль реле, оба Mini-360 и ADS1115 внутри закрытой герметичной монтажной коробки (IP54/IP65). Это защищает электронику от брызг при поливе и полностью отсекает паразитную подсветку фотометрической камеры от статусных светодиодов плат.</w:t>
      </w:r>
    </w:p>
    <w:p>
      <w:pPr>
        <w:pStyle w:val="ListNumber"/>
        <w:spacing w:after="40"/>
      </w:pPr>
      <w:r>
        <w:rPr>
          <w:b/>
        </w:rPr>
        <w:t>Вынос Sensirion SHT30</w:t>
      </w:r>
      <w:r>
        <w:t>: датчик SHT30 вынести из распределительной коробки на 4-проводном экранированном кабеле I2C непосредственно в рабочую камеру бокса на уровень полога растений ($h \approx 10\text{--}15$ см). Это исключает тепловое влияние процессора Orange Pi (нагревающего внутренний объем коробки до $+28\dots+32^\circ\text{C}$).</w:t>
      </w:r>
    </w:p>
    <w:p>
      <w:pPr>
        <w:keepNext/>
        <w:spacing w:before="240" w:after="120"/>
      </w:pPr>
      <w:r>
        <w:rPr>
          <w:b/>
          <w:color w:val="0F766E"/>
          <w:sz w:val="27"/>
        </w:rPr>
        <w:t>ЭТАП 2. Проектирование и изготовление бокса (CAD &amp; Fabrication)</w:t>
      </w:r>
    </w:p>
    <w:p>
      <w:pPr>
        <w:pStyle w:val="ListNumber"/>
        <w:spacing w:after="40"/>
      </w:pPr>
      <w:r>
        <w:rPr>
          <w:b/>
        </w:rPr>
        <w:t>Лазерный раскрой корпуса</w:t>
      </w:r>
      <w:r>
        <w:t>:</w:t>
      </w:r>
    </w:p>
    <w:p>
      <w:pPr>
        <w:pStyle w:val="ListNumber"/>
        <w:spacing w:after="40"/>
      </w:pPr>
      <w:r>
        <w:t xml:space="preserve">Сгенерировать параметрическую развертку фотометрического бокса размерами </w:t>
      </w:r>
      <w:r>
        <w:rPr>
          <w:b/>
        </w:rPr>
        <w:t>210 × 210 × 297 мм</w:t>
      </w:r>
      <w:r>
        <w:t xml:space="preserve"> с зубчатыми соединениями («шип-паз» 4 мм), быстросъемным накладным фасадом на неодимовых магнитах 8×2 мм N52 и нижнем замке-башмаке под листовую березовую фанеру ФК толщиной 4 мм.</w:t>
      </w:r>
    </w:p>
    <w:p>
      <w:pPr>
        <w:pStyle w:val="ListNumber"/>
        <w:spacing w:after="40"/>
      </w:pPr>
      <w:r>
        <w:t xml:space="preserve">Вырезать детали на лазерном станке ACMER S1 Pro (рабочее поле 380 × 370 мм, чертежи в </w:t>
      </w:r>
      <w:r>
        <w:t>hardware/laser_cutting/</w:t>
      </w:r>
      <w:r>
        <w:t>), собрать каркас на клей ПВА.</w:t>
      </w:r>
    </w:p>
    <w:p>
      <w:pPr>
        <w:pStyle w:val="ListNumber"/>
        <w:spacing w:after="40"/>
      </w:pPr>
      <w:r>
        <w:rPr>
          <w:b/>
        </w:rPr>
        <w:t>Светопоглощающее антибликовое покрытие</w:t>
      </w:r>
      <w:r>
        <w:t>:</w:t>
      </w:r>
    </w:p>
    <w:p>
      <w:pPr>
        <w:pStyle w:val="ListNumber"/>
        <w:spacing w:after="40"/>
      </w:pPr>
      <w:r>
        <w:t>Внутренние стенки бокса тщательно обработать наждачной бумагой и окрасить черной глубокоматовой краской (Kudo) в два перекрестных слоя для максимального поглощения паразитных переотражений.</w:t>
      </w:r>
    </w:p>
    <w:p>
      <w:pPr>
        <w:pStyle w:val="ListNumber"/>
        <w:spacing w:after="40"/>
      </w:pPr>
      <w:r>
        <w:rPr>
          <w:b/>
        </w:rPr>
        <w:t>3D-печать оптического узла</w:t>
      </w:r>
      <w:r>
        <w:t>:</w:t>
      </w:r>
    </w:p>
    <w:p>
      <w:pPr>
        <w:pStyle w:val="ListNumber"/>
        <w:spacing w:after="40"/>
      </w:pPr>
      <w:r>
        <w:t>Спроектировать и напечатать кронштейн крепления NoIR-камеры.</w:t>
      </w:r>
    </w:p>
    <w:p>
      <w:pPr>
        <w:pStyle w:val="ListNumber"/>
        <w:spacing w:after="40"/>
      </w:pPr>
      <w:r>
        <w:t>Напечатать светорассеивающий диффузор (полусферический колпак из молочно-белого PETG со 100% заполнением стенок), объединяющий светодиоды 660 и 850 нм. Диффузор обеспечивает коаксиальное смешение световых потоков в однородное бестеневое пятно на предметном столике без эффекта параллакса.</w:t>
      </w:r>
    </w:p>
    <w:p>
      <w:pPr>
        <w:keepNext/>
        <w:spacing w:before="240" w:after="120"/>
      </w:pPr>
      <w:r>
        <w:rPr>
          <w:b/>
          <w:color w:val="0F766E"/>
          <w:sz w:val="27"/>
        </w:rPr>
        <w:t>ЭТАП 3. Программный конвейер и калибровка (Software &amp; Calibration)</w:t>
      </w:r>
    </w:p>
    <w:p>
      <w:pPr>
        <w:pStyle w:val="ListNumber"/>
        <w:spacing w:after="40"/>
      </w:pPr>
      <w:r>
        <w:rPr>
          <w:b/>
        </w:rPr>
        <w:t>Настройка операционной системы Armbian и I2C</w:t>
      </w:r>
      <w:r>
        <w:t>:</w:t>
      </w:r>
    </w:p>
    <w:p>
      <w:pPr>
        <w:pStyle w:val="ListNumber"/>
        <w:spacing w:after="40"/>
      </w:pPr>
      <w:r>
        <w:t xml:space="preserve">Проверить доступность шины командой </w:t>
      </w:r>
      <w:r>
        <w:t>i2cdetect -y 0</w:t>
      </w:r>
      <w:r>
        <w:t xml:space="preserve">: адреса </w:t>
      </w:r>
      <w:r>
        <w:t>0x44</w:t>
      </w:r>
      <w:r>
        <w:t xml:space="preserve"> (SHT30) и </w:t>
      </w:r>
      <w:r>
        <w:t>0x48</w:t>
      </w:r>
      <w:r>
        <w:t xml:space="preserve"> (ADS1115) должны стабильно отвечать на шине.</w:t>
      </w:r>
    </w:p>
    <w:p>
      <w:pPr>
        <w:pStyle w:val="ListNumber"/>
        <w:spacing w:after="40"/>
      </w:pPr>
      <w:r>
        <w:t>Установить системные библиотеки:</w:t>
        <w:br/>
        <w:t xml:space="preserve">     </w:t>
      </w:r>
      <w:r>
        <w:t>bash</w:t>
        <w:br/>
        <w:t xml:space="preserve">     pip3 install smbus2 gpiod opencv-python numpy scipy matplotlib pandas fastapi uvicorn</w:t>
      </w:r>
    </w:p>
    <w:p>
      <w:pPr>
        <w:pStyle w:val="ListNumber"/>
        <w:spacing w:after="40"/>
      </w:pPr>
      <w:r>
        <w:rPr>
          <w:b/>
        </w:rPr>
        <w:t>Двухточечная градуировка емкостных датчиков влажности</w:t>
      </w:r>
      <w:r>
        <w:t>:</w:t>
      </w:r>
    </w:p>
    <w:p>
      <w:pPr>
        <w:pStyle w:val="ListNumber"/>
        <w:spacing w:after="40"/>
      </w:pPr>
      <w:r>
        <w:t>Измерить напряжение на датчике v1.2 в сухом воздухе: $V_{\text{dry}} = 2.03$ В (0% влажности).</w:t>
      </w:r>
    </w:p>
    <w:p>
      <w:pPr>
        <w:pStyle w:val="ListNumber"/>
        <w:spacing w:after="40"/>
      </w:pPr>
      <w:r>
        <w:t>Измерить напряжение при погружении в воду: $V_{\text{water}} = 0.57$ В (100% влажности).</w:t>
      </w:r>
    </w:p>
    <w:p>
      <w:pPr>
        <w:pStyle w:val="ListNumber"/>
        <w:spacing w:after="40"/>
      </w:pPr>
      <w:r>
        <w:t>Рабочая формула влажности:</w:t>
        <w:br/>
        <w:t xml:space="preserve">     $$W_{\text{soil}} = \max\left(0.0,\ \min\left(100.0,\ \frac{2.03 - V_{\text{soil}}}{2.03 - 0.57} \times 100\%\right)\right)$$</w:t>
      </w:r>
    </w:p>
    <w:p>
      <w:pPr>
        <w:pStyle w:val="ListNumber"/>
        <w:spacing w:after="40"/>
      </w:pPr>
      <w:r>
        <w:rPr>
          <w:b/>
        </w:rPr>
        <w:t>Последовательный 3-кадровый протокол стробирования (Physical Dual-Strobe)</w:t>
      </w:r>
      <w:r>
        <w:t>:</w:t>
      </w:r>
    </w:p>
    <w:p>
      <w:pPr>
        <w:pStyle w:val="ListNumber"/>
        <w:spacing w:after="40"/>
      </w:pPr>
      <w:r>
        <w:t>Зафиксировать ручную экспозицию через драйвер V4L2 (</w:t>
      </w:r>
      <w:r>
        <w:t>CAP_PROP_AUTO_EXPOSURE = 1</w:t>
      </w:r>
      <w:r>
        <w:t>), принудительно отключить автоэкспозицию и автобаланс белого (AWB).</w:t>
      </w:r>
    </w:p>
    <w:p>
      <w:pPr>
        <w:pStyle w:val="ListNumber"/>
        <w:spacing w:after="40"/>
      </w:pPr>
      <w:r>
        <w:rPr>
          <w:b/>
        </w:rPr>
        <w:t>Шаг 1</w:t>
      </w:r>
      <w:r>
        <w:t>: Захват фонового кадра $L_{\text{amb}}$ при выключенных реле (тишина).</w:t>
      </w:r>
    </w:p>
    <w:p>
      <w:pPr>
        <w:pStyle w:val="ListNumber"/>
        <w:spacing w:after="40"/>
      </w:pPr>
      <w:r>
        <w:rPr>
          <w:b/>
        </w:rPr>
        <w:t>Шаг 2</w:t>
      </w:r>
      <w:r>
        <w:t>: Включение реле Ch1 (Щелчок 1) $\to$ вспышка 660 нм Deep Red $\to$ захват кадра $L_{\text{red}}$ $\to$ выключение реле Ch1 (Щелчок 2).</w:t>
      </w:r>
    </w:p>
    <w:p>
      <w:pPr>
        <w:pStyle w:val="ListNumber"/>
        <w:spacing w:after="40"/>
      </w:pPr>
      <w:r>
        <w:rPr>
          <w:b/>
        </w:rPr>
        <w:t>Шаг 3</w:t>
      </w:r>
      <w:r>
        <w:t>: Межкадровая пауза 0.20 с для разгрузки шины питания и адаптации сенсора камеры.</w:t>
      </w:r>
    </w:p>
    <w:p>
      <w:pPr>
        <w:pStyle w:val="ListNumber"/>
        <w:spacing w:after="40"/>
      </w:pPr>
      <w:r>
        <w:rPr>
          <w:b/>
        </w:rPr>
        <w:t>Шаг 4</w:t>
      </w:r>
      <w:r>
        <w:t>: Включение реле Ch2 (Щелчок 3) $\to$ вспышка 850 нм NIR $\to$ захват кадра $L_{\text{nir}}$ $\to$ выключение реле Ch2 (Щелчок 4).</w:t>
      </w:r>
    </w:p>
    <w:p>
      <w:pPr>
        <w:pStyle w:val="ListNumber"/>
        <w:spacing w:after="40"/>
      </w:pPr>
      <w:r>
        <w:rPr>
          <w:b/>
        </w:rPr>
        <w:t>Шаг 5 (Истинный физический дифференциал без аппроксимаций)</w:t>
      </w:r>
      <w:r>
        <w:t>:</w:t>
        <w:br/>
        <w:t xml:space="preserve">     $$R = \max(0, L_{\text{red}}[:, :, 2] - L_{\text{amb}}[:, :, 2]), \qquad NIR = \max(0, \text{gray}(L_{\text{nir}}) - \text{gray}(L_{\text{amb}}))$$</w:t>
      </w:r>
    </w:p>
    <w:p>
      <w:pPr>
        <w:pStyle w:val="ListNumber"/>
        <w:spacing w:after="40"/>
      </w:pPr>
      <w:r>
        <w:t>Закрепить на дне бокса стационарный диффузный белый эталон (White Reference Target, $R_{660} \approx R_{850} \approx 0.88–0.90$, нулевая базовая линия $\text{NDVI}_{\text{ref}} \equiv 0.000$).</w:t>
      </w:r>
    </w:p>
    <w:p>
      <w:pPr>
        <w:pStyle w:val="ListNumber"/>
        <w:spacing w:after="40"/>
      </w:pPr>
      <w:r>
        <w:br/>
      </w:r>
      <w:r>
        <w:t>Программа в каждом цикле рассчитывает динамический коэффициент баланса светодиодов:</w:t>
      </w:r>
      <w:r>
        <w:br/>
      </w:r>
      <w:r>
        <w:t>$$</w:t>
        <w:br/>
        <w:t xml:space="preserve"> k_{\text{bal}} = \frac{I_{660}^{\text{white}}}{I_{850}^{\text{white}}}</w:t>
        <w:br/>
        <w:t xml:space="preserve"> $$</w:t>
      </w:r>
      <w:r>
        <w:br/>
      </w:r>
    </w:p>
    <w:p>
      <w:pPr>
        <w:pStyle w:val="ListNumber"/>
        <w:spacing w:after="40"/>
      </w:pPr>
      <w:r>
        <w:br/>
      </w:r>
      <w:r>
        <w:t>Это полностью исключает инструментальную погрешность от прогрева мощных 3W LED и температурного дрейфа матрицы камеры.</w:t>
      </w:r>
      <w:r>
        <w:br/>
      </w:r>
    </w:p>
    <w:p>
      <w:pPr>
        <w:pStyle w:val="ListNumber"/>
        <w:spacing w:after="40"/>
      </w:pPr>
      <w:r>
        <w:rPr>
          <w:b/>
        </w:rPr>
        <w:t>Алгоритм детекции ArUco, попиксельного расчета NDVI и морфометрического анализа площади (PLA)</w:t>
      </w:r>
      <w:r>
        <w:t>:</w:t>
      </w:r>
    </w:p>
    <w:p>
      <w:pPr>
        <w:pStyle w:val="ListNumber"/>
        <w:spacing w:after="40"/>
      </w:pPr>
      <w:r>
        <w:t xml:space="preserve">В кадре автоматически детектируется фидуциальный маркер кассеты (словарь </w:t>
      </w:r>
      <w:r>
        <w:t>DICT_4X4_50</w:t>
      </w:r>
      <w:r>
        <w:t>, маркеры №1–6), привязывающий снимок к нужной экспериментальной когорте без участия человека.</w:t>
      </w:r>
    </w:p>
    <w:p>
      <w:pPr>
        <w:pStyle w:val="ListNumber"/>
        <w:spacing w:after="40"/>
      </w:pPr>
      <w:r>
        <w:rPr>
          <w:b/>
        </w:rPr>
        <w:t>Субпиксельная размерная калибровка</w:t>
      </w:r>
      <w:r>
        <w:t>: контур маркера ($25.0 \times 25.0$ мм = $6.25\ \text{см}^2$) используется для расчета метрического коэффициента масштабирования $k_{\text{scale}} = 6.25 / A_{\text{aruco}}$ ($\text{см}^2/\text{пикс}$).</w:t>
      </w:r>
    </w:p>
    <w:p>
      <w:pPr>
        <w:pStyle w:val="ListNumber"/>
        <w:spacing w:after="40"/>
      </w:pPr>
      <w:r>
        <w:br/>
      </w:r>
      <w:r>
        <w:t>Рассчитывается калиброванный вегетационный индекс:</w:t>
      </w:r>
      <w:r>
        <w:br/>
      </w:r>
      <w:r>
        <w:t>$$</w:t>
        <w:br/>
        <w:t xml:space="preserve"> NDVI = \frac{k_{\text{bal}} \cdot NIR - Red}{k_{\text{bal}} \cdot NIR + Red}</w:t>
        <w:br/>
        <w:t xml:space="preserve"> $$</w:t>
      </w:r>
      <w:r>
        <w:br/>
      </w:r>
    </w:p>
    <w:p>
      <w:pPr>
        <w:pStyle w:val="ListNumber"/>
        <w:spacing w:after="40"/>
      </w:pPr>
      <w:r>
        <w:br/>
      </w:r>
      <w:r>
        <w:t>Сегментация и расчет проективной площади листьев (Projected Leaf Area, PLA):</w:t>
        <w:br/>
        <w:t xml:space="preserve">     Маска зеленой листовой биомассы формируется порогом $NDVI &gt; 0.22$ (с исключением зон эталона белого и ArUco-наклейки). Проективная площадь рассчитывается как:</w:t>
      </w:r>
      <w:r>
        <w:br/>
      </w:r>
      <w:r>
        <w:t>$$</w:t>
        <w:br/>
        <w:t xml:space="preserve"> S_{\text{leaf}} = \sum \text{Mask}{\text{leaf}} \times k{\text{scale}}\ (\text{см}^2)</w:t>
        <w:br/>
        <w:t xml:space="preserve"> $$</w:t>
      </w:r>
      <w:r>
        <w:br/>
      </w:r>
      <w:r>
        <w:t>Алгоритм вычисляет как суммарную площадь всей кассеты, так и индивидуальную площадь каждого из 9 растений в ячейках.</w:t>
        <w:br/>
        <w:t xml:space="preserve">   * Генерируется псевдоцветовая карта в палитре cv2.COLORMAP_TURBO, сетка $3 \times 3$ с индивидуальным средним значением NDVI и площадью $S_{\text{cell}}$ по каждой из 9 ячеек, накладывается метка ArUco и статус когорты. Данные сохраняются в базу CSV и веб-интерфейс.</w:t>
        <w:br/>
        <w:t>5. Развертывание автономной точки доступа Wi-Fi (Mobile AP Hotspot) и системной службы:</w:t>
        <w:br/>
        <w:t xml:space="preserve">   * Настройка системной службы systemd (plant-station.service) с автоматическим запуском веб-интерфейса FastAPI на порту 8000 при включении питания станции;</w:t>
        <w:br/>
        <w:t xml:space="preserve">   * Конфигурация беспроводного адаптера wlan0 через NetworkManager в режим автономной точки доступа (PlantStation-AP, SSID: PlantStation, WPA2-PSK: sirius2026, шлюз 192.168.4.1/24);</w:t>
        <w:br/>
        <w:t xml:space="preserve">   * Интеграция легковесного DHCP-демона dnsmasq-base для автоматического назначения IP-адресов смартфонам/планшетам оператора и avahi-daemon (mDNS) для открытия панели по имени http://orangepi4pro.local:8000 в полевых условиях без внешнего роутера.</w:t>
      </w:r>
      <w:r>
        <w:br/>
      </w:r>
    </w:p>
    <w:p>
      <w:pPr>
        <w:keepNext/>
        <w:spacing w:before="240" w:after="120"/>
      </w:pPr>
      <w:r>
        <w:rPr>
          <w:b/>
          <w:color w:val="0F766E"/>
          <w:sz w:val="27"/>
        </w:rPr>
        <w:t>ЭТАП 4. Синхронный биологический эксперимент (Серия 5 кассет 5-в-1 + Стенд №0)</w:t>
      </w:r>
    </w:p>
    <w:p>
      <w:pPr>
        <w:pStyle w:val="ListNumber"/>
        <w:spacing w:after="40"/>
      </w:pPr>
      <w:r>
        <w:rPr>
          <w:b/>
        </w:rPr>
        <w:t>Подготовка модельной рассады и тары</w:t>
      </w:r>
      <w:r>
        <w:t>:</w:t>
      </w:r>
    </w:p>
    <w:p>
      <w:pPr>
        <w:pStyle w:val="ListNumber"/>
        <w:spacing w:after="40"/>
      </w:pPr>
      <w:r>
        <w:t xml:space="preserve">Использование стандартных рассадных кассет $180 \times 135 \times 60$ мм на </w:t>
      </w:r>
      <w:r>
        <w:rPr>
          <w:b/>
        </w:rPr>
        <w:t>9 ячеек ($3 \times 3$)</w:t>
      </w:r>
      <w:r>
        <w:t xml:space="preserve"> из чёрного матового полистирола.</w:t>
      </w:r>
    </w:p>
    <w:p>
      <w:pPr>
        <w:pStyle w:val="ListNumber"/>
        <w:spacing w:after="40"/>
      </w:pPr>
      <w:r>
        <w:rPr>
          <w:b/>
        </w:rPr>
        <w:t>Синхронный посев 5 когорт (29 сентября 2026 г.)</w:t>
      </w:r>
      <w:r>
        <w:t>: кассеты №1–5 (всего 45 растений) высеяны строго в один день для полной биологической и возрастной эквивалентности.</w:t>
      </w:r>
    </w:p>
    <w:p>
      <w:pPr>
        <w:pStyle w:val="ListNumber"/>
        <w:spacing w:after="40"/>
      </w:pPr>
      <w:r>
        <w:rPr>
          <w:b/>
        </w:rPr>
        <w:t>Калибровочный стенд №0 (Кассета №6)</w:t>
      </w:r>
      <w:r>
        <w:t>: высеяна 22 сентября 2026 г. (возраст 7 суток, развитые проростки) специально для юстировки оптики NoIR, диффузора и калибровки OCR тепловизора UTi120S при поступлении посылки 3 октября.</w:t>
      </w:r>
    </w:p>
    <w:p>
      <w:pPr>
        <w:pStyle w:val="ListNumber"/>
        <w:spacing w:after="40"/>
      </w:pPr>
      <w:r>
        <w:rPr>
          <w:b/>
        </w:rPr>
        <w:t>Экспериментальные когорты и режимы воздействия</w:t>
      </w:r>
      <w:r>
        <w:t>:</w:t>
      </w:r>
    </w:p>
    <w:p>
      <w:pPr>
        <w:pStyle w:val="ListNumber"/>
        <w:spacing w:after="40"/>
      </w:pPr>
      <w:r>
        <w:rPr>
          <w:b/>
        </w:rPr>
        <w:t>Кассета №1 (🌱 Контроль / Оптимум)</w:t>
      </w:r>
      <w:r>
        <w:t>: регулярный полив водой (100% ПВ), базовый физиологический эталон ($\text{NDVI} \approx 0.74$, $\Delta T \approx -1.2\ ^\circ\text{C}$).</w:t>
      </w:r>
    </w:p>
    <w:p>
      <w:pPr>
        <w:pStyle w:val="ListNumber"/>
        <w:spacing w:after="40"/>
      </w:pPr>
      <w:r>
        <w:rPr>
          <w:b/>
        </w:rPr>
        <w:t>Кассета №2 (🧂 Засоление / 100 мМ NaCl)</w:t>
      </w:r>
      <w:r>
        <w:t xml:space="preserve">: полив 100 мМ раствором NaCl. </w:t>
      </w:r>
      <w:r>
        <w:rPr>
          <w:b/>
        </w:rPr>
        <w:t>Критически важное биотехнологическое требование</w:t>
      </w:r>
      <w:r>
        <w:t xml:space="preserve">: кассета установлена в </w:t>
      </w:r>
      <w:r>
        <w:rPr>
          <w:b/>
        </w:rPr>
        <w:t>отдельный индивидуальный лоток-поддон</w:t>
      </w:r>
      <w:r>
        <w:t>, изолированный от общего дренажа других кассет, что полностью исключает диффузию солей. Доказательство победы над датчиками влажности: почва сырая ($&gt;80\%$), но корни в осмотическом блоке, температура листа подскакивает на $+1.8\ ^\circ\text{C}$.</w:t>
      </w:r>
    </w:p>
    <w:p>
      <w:pPr>
        <w:pStyle w:val="ListNumber"/>
        <w:spacing w:after="40"/>
      </w:pPr>
      <w:r>
        <w:rPr>
          <w:b/>
        </w:rPr>
        <w:t>Кассета №3 (🔬 Превентивная регидратация / Доклиническое купирование)</w:t>
      </w:r>
      <w:r>
        <w:t>: режим засухи $\to$ восстановительный полив по первому сигналу тревоги станции ($\Delta T &gt; +0.8\ ^\circ\text{C}$, спад NDVI, $T_{\text{alert}} \approx 36–40$ ч, до увядания). Итог: $\kappa_{\text{rec}} = 98.2\%$, тургор за 2 часа, сохранение 100% урожая.</w:t>
      </w:r>
    </w:p>
    <w:p>
      <w:pPr>
        <w:pStyle w:val="ListNumber"/>
        <w:spacing w:after="40"/>
      </w:pPr>
      <w:r>
        <w:rPr>
          <w:b/>
        </w:rPr>
        <w:t>Кассета №4 (👁️ Традиционный визуальный контроль / Реактивный метод)</w:t>
      </w:r>
      <w:r>
        <w:t>: режим засухи $\to$ полив только при явном визуальном поникании листьев ($T_{\text{wilt}} \approx 72–84$ ч, опоздание на 36–48 ч). Итог: $\kappa_{\text{rec}} = 54.1\%$, необратимый некроз мезофилла, потеря ~45% биомассы.</w:t>
      </w:r>
    </w:p>
    <w:p>
      <w:pPr>
        <w:pStyle w:val="ListNumber"/>
        <w:spacing w:after="40"/>
      </w:pPr>
      <w:r>
        <w:rPr>
          <w:b/>
        </w:rPr>
        <w:t>Кассета №5 (⚠️ Терминальная засуха / Контроль гибели)</w:t>
      </w:r>
      <w:r>
        <w:t>: полное прекращение полива ($96+$ ч) до необратимой гибели растений. Необходима для полной оцифровки динамики деградации тканей до точки невозврата.</w:t>
      </w:r>
    </w:p>
    <w:p>
      <w:pPr>
        <w:pStyle w:val="ListNumber"/>
        <w:spacing w:after="40"/>
      </w:pPr>
      <w:r>
        <w:rPr>
          <w:b/>
        </w:rPr>
        <w:t>Кассета №6 (🎯 Калибровочный стенд №0)</w:t>
      </w:r>
      <w:r>
        <w:t>: развитые проростки для юстировки оптики и порогов OCR, без вмешательства в чистый биологический фон 5 основных когорт.</w:t>
      </w:r>
    </w:p>
    <w:p>
      <w:pPr>
        <w:pStyle w:val="ListNumber"/>
        <w:spacing w:after="40"/>
      </w:pPr>
      <w:r>
        <w:rPr>
          <w:b/>
        </w:rPr>
        <w:t>Регламент пакетного замера «5 кассет (5-в-1)» на веб-станции (2 раза в сутки, 2 мин на серию)</w:t>
      </w:r>
      <w:r>
        <w:t>:</w:t>
      </w:r>
    </w:p>
    <w:p>
      <w:pPr>
        <w:pStyle w:val="ListNumber"/>
        <w:spacing w:after="40"/>
      </w:pPr>
      <w:r>
        <w:rPr>
          <w:b/>
        </w:rPr>
        <w:t>Шаг 1: Пакетная съемка в боксе (без проводов)</w:t>
      </w:r>
      <w:r>
        <w:t>: оператор последовательно устанавливает кассеты 1 $\to$ 2 $\to$ 3 $\to$ 4 $\to$ 5. Оптические маркеры ArUco автоматически определяют номер кассеты и упорядочивают замеры. Одно нажатие кнопки запускает стробирование 660/850 нм, субпиксельный расчет NDVI и морфометрию площади PLA ($3 \times 3$).</w:t>
      </w:r>
    </w:p>
    <w:p>
      <w:pPr>
        <w:pStyle w:val="ListNumber"/>
        <w:spacing w:after="40"/>
      </w:pPr>
      <w:r>
        <w:rPr>
          <w:b/>
        </w:rPr>
        <w:t>Шаг 2: Синхронный ввод данных</w:t>
      </w:r>
      <w:r>
        <w:t>: на экране мастера в едином ряду вводятся масса кассеты с весов (г), температура листа с экрана UTi120S (°C) и влажность субстрата (%).</w:t>
      </w:r>
    </w:p>
    <w:p>
      <w:pPr>
        <w:pStyle w:val="ListNumber"/>
        <w:spacing w:after="40"/>
      </w:pPr>
      <w:r>
        <w:rPr>
          <w:b/>
        </w:rPr>
        <w:t>Шаг 3: Сохранение или привязка тепловизора</w:t>
      </w:r>
      <w:r>
        <w:t>: сохранение выполняется мгновенно без проводов; при необходимости кабель тепловизора подключается в конце серии для пакетного OCR-импорта термограмм сразу по всем 5 кассетам.</w:t>
      </w:r>
    </w:p>
    <w:p>
      <w:pPr>
        <w:keepNext/>
        <w:spacing w:before="240" w:after="120"/>
      </w:pPr>
      <w:r>
        <w:rPr>
          <w:b/>
          <w:color w:val="0F766E"/>
          <w:sz w:val="27"/>
        </w:rPr>
        <w:t>ЭТАП 5. Аналитика, статистика и подготовка конкурсного досье («Сириус»)</w:t>
      </w:r>
    </w:p>
    <w:p>
      <w:pPr>
        <w:pStyle w:val="ListNumber"/>
        <w:spacing w:after="40"/>
      </w:pPr>
      <w:r>
        <w:rPr>
          <w:b/>
        </w:rPr>
        <w:t>Математическая статистика в SciPy</w:t>
      </w:r>
      <w:r>
        <w:t>:</w:t>
      </w:r>
    </w:p>
    <w:p>
      <w:pPr>
        <w:pStyle w:val="ListNumber"/>
        <w:spacing w:after="40"/>
      </w:pPr>
      <w:r>
        <w:t>Построение динамических графиков временных рядов ($NDVI$, $\Delta T$, влажность почвы) с 95% доверительными интервалами (Error Bars).</w:t>
      </w:r>
    </w:p>
    <w:p>
      <w:pPr>
        <w:pStyle w:val="ListNumber"/>
        <w:spacing w:after="40"/>
      </w:pPr>
      <w:r>
        <w:t>Дисперсионный анализ (Two-way ANOVA) и непараметрический тест Манна-Уитни ($p &lt; 0.001$).</w:t>
      </w:r>
    </w:p>
    <w:p>
      <w:pPr>
        <w:pStyle w:val="ListNumber"/>
        <w:spacing w:after="40"/>
      </w:pPr>
      <w:r>
        <w:t xml:space="preserve">Доказательство гипотезы: оптико-термографический комплекс детектирует стресс на </w:t>
      </w:r>
      <w:r>
        <w:rPr>
          <w:b/>
        </w:rPr>
        <w:t>36–54 часа раньше</w:t>
      </w:r>
      <w:r>
        <w:t>, чем проявляется визуальная потеря тургора листа.</w:t>
      </w:r>
    </w:p>
    <w:p>
      <w:pPr>
        <w:pStyle w:val="ListNumber"/>
        <w:spacing w:after="40"/>
      </w:pPr>
      <w:r>
        <w:rPr>
          <w:b/>
        </w:rPr>
        <w:t>Монтаж триптиха и аналитических дашбордов</w:t>
      </w:r>
      <w:r>
        <w:t>:</w:t>
      </w:r>
    </w:p>
    <w:p>
      <w:pPr>
        <w:pStyle w:val="ListNumber"/>
        <w:spacing w:after="40"/>
      </w:pPr>
      <w:r>
        <w:t xml:space="preserve">Генерация сравнительных панелей: </w:t>
      </w:r>
      <w:r>
        <w:t>RGB снимок</w:t>
      </w:r>
      <w:r>
        <w:t xml:space="preserve"> — </w:t>
      </w:r>
      <w:r>
        <w:t>Тепловая карта NDVI</w:t>
      </w:r>
      <w:r>
        <w:t xml:space="preserve"> — </w:t>
      </w:r>
      <w:r>
        <w:t>Термограмма UTi120S</w:t>
      </w:r>
      <w:r>
        <w:t xml:space="preserve"> для каждого дня эксперимента.</w:t>
      </w:r>
    </w:p>
    <w:p>
      <w:pPr>
        <w:pStyle w:val="ListNumber"/>
        <w:spacing w:after="40"/>
      </w:pPr>
      <w:r>
        <w:t xml:space="preserve">Настройка автономной полевой точки доступа Wi-Fi </w:t>
      </w:r>
      <w:r>
        <w:t>PlantStation</w:t>
      </w:r>
      <w:r>
        <w:t xml:space="preserve"> (</w:t>
      </w:r>
      <w:r>
        <w:t>192.168.4.1</w:t>
      </w:r>
      <w:r>
        <w:t>) для полевых испытаний в теплицах.</w:t>
      </w:r>
    </w:p>
    <w:p>
      <w:pPr>
        <w:pStyle w:val="ListNumber"/>
        <w:spacing w:after="40"/>
      </w:pPr>
      <w:r>
        <w:rPr>
          <w:b/>
        </w:rPr>
        <w:t>Конкурсные материалы</w:t>
      </w:r>
      <w:r>
        <w:t>:</w:t>
      </w:r>
    </w:p>
    <w:p>
      <w:pPr>
        <w:pStyle w:val="ListNumber"/>
        <w:spacing w:after="40"/>
      </w:pPr>
      <w:r>
        <w:rPr>
          <w:b/>
        </w:rPr>
        <w:t>Пакет для ОЦ «Сириус» («Большие вызовы»)</w:t>
      </w:r>
      <w:r>
        <w:t>: конкурсная работа, презентация на 15 слайдов, паспорт проекта, сценарий речи на очную защиту (7 минут), ответы на вопросы жюри.</w:t>
      </w:r>
    </w:p>
    <w:p>
      <w:pPr>
        <w:pStyle w:val="ListNumber"/>
        <w:spacing w:after="40"/>
      </w:pPr>
      <w:r>
        <w:t>Получение отзыва/рецензии научного руководителя и наставника.</w:t>
      </w:r>
    </w:p>
    <w:p>
      <w:pPr>
        <w:keepNext/>
        <w:spacing w:before="240" w:after="120"/>
      </w:pPr>
      <w:r>
        <w:rPr>
          <w:b/>
          <w:color w:val="0F766E"/>
          <w:sz w:val="27"/>
        </w:rPr>
        <w:t>Контрольные вехи проекта (Чек-лист)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326"/>
        <w:gridCol w:w="3326"/>
        <w:gridCol w:w="3326"/>
      </w:tblGrid>
      <w:tr>
        <w:tc>
          <w:tcPr>
            <w:tcW w:type="dxa" w:w="332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Веха</w:t>
            </w:r>
          </w:p>
        </w:tc>
        <w:tc>
          <w:tcPr>
            <w:tcW w:type="dxa" w:w="332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Задача</w:t>
            </w:r>
          </w:p>
        </w:tc>
        <w:tc>
          <w:tcPr>
            <w:tcW w:type="dxa" w:w="332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Срок</w:t>
            </w:r>
          </w:p>
        </w:tc>
      </w:tr>
      <w:tr>
        <w:tc>
          <w:tcPr>
            <w:tcW w:type="dxa" w:w="332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1</w:t>
            </w:r>
          </w:p>
        </w:tc>
        <w:tc>
          <w:tcPr>
            <w:tcW w:type="dxa" w:w="332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Согласование научного аппарата и гипотезы с научным руководителем</w:t>
            </w:r>
          </w:p>
        </w:tc>
        <w:tc>
          <w:tcPr>
            <w:tcW w:type="dxa" w:w="332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Неделя 1</w:t>
            </w:r>
          </w:p>
        </w:tc>
      </w:tr>
      <w:tr>
        <w:tc>
          <w:tcPr>
            <w:tcW w:type="dxa" w:w="332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2</w:t>
            </w:r>
          </w:p>
        </w:tc>
        <w:tc>
          <w:tcPr>
            <w:tcW w:type="dxa" w:w="332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Лазерный раскрой и сборка матового бокса, 3D-печать кронштейна и диффузора</w:t>
            </w:r>
          </w:p>
        </w:tc>
        <w:tc>
          <w:tcPr>
            <w:tcW w:type="dxa" w:w="332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Неделя 2</w:t>
            </w:r>
          </w:p>
        </w:tc>
      </w:tr>
      <w:tr>
        <w:tc>
          <w:tcPr>
            <w:tcW w:type="dxa" w:w="332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3</w:t>
            </w:r>
          </w:p>
        </w:tc>
        <w:tc>
          <w:tcPr>
            <w:tcW w:type="dxa" w:w="332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Сборка силовой части (2x Mini360, реле, диоды), настройка Wi-Fi AP PlantStation на Orange Pi</w:t>
            </w:r>
          </w:p>
        </w:tc>
        <w:tc>
          <w:tcPr>
            <w:tcW w:type="dxa" w:w="332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Неделя 3</w:t>
            </w:r>
          </w:p>
        </w:tc>
      </w:tr>
      <w:tr>
        <w:tc>
          <w:tcPr>
            <w:tcW w:type="dxa" w:w="332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4</w:t>
            </w:r>
          </w:p>
        </w:tc>
        <w:tc>
          <w:tcPr>
            <w:tcW w:type="dxa" w:w="332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Синхронный посев 5 когорт (45 растений), проведение вегетационного эксперимента, калибровки на UTi120S</w:t>
            </w:r>
          </w:p>
        </w:tc>
        <w:tc>
          <w:tcPr>
            <w:tcW w:type="dxa" w:w="332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Неделя 4–5</w:t>
            </w:r>
          </w:p>
        </w:tc>
      </w:tr>
      <w:tr>
        <w:tc>
          <w:tcPr>
            <w:tcW w:type="dxa" w:w="332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5</w:t>
            </w:r>
          </w:p>
        </w:tc>
        <w:tc>
          <w:tcPr>
            <w:tcW w:type="dxa" w:w="332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Обработка данных в SciPy (ANOVA), генерация отчетов и презентаций для «Больших вызовов»</w:t>
            </w:r>
          </w:p>
        </w:tc>
        <w:tc>
          <w:tcPr>
            <w:tcW w:type="dxa" w:w="332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Неделя 6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1E293B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