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НАУЧНО-ТЕХНИЧЕСКИЙ ПАСПОРТ ИССЛЕДОВАТЕЛЬСКОГО ПРОЕКТА</w:t>
      </w:r>
    </w:p>
    <w:p>
      <w:pPr>
        <w:spacing w:after="80"/>
        <w:jc w:val="both"/>
      </w:pPr>
      <w:r>
        <w:rPr>
          <w:b/>
        </w:rPr>
        <w:t>«Оптико-электронный комплекс активной двухволновой спектрофотометрии и термографии для ранней индикации водного и осмотического стресса растений»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Подготовлено в точном соответствии с Положением о Международном конкурсе научно-технологических проектов «Большие вызовы» в 2025/2026 учебном году (Приказ Фонда «Талант и успех» № 349-ОД от 08.10.2025, п. 2.10, Приложения № 1, 2, 3).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👩‍🔬 Авторство и научно-техническое досье</w:t>
      </w:r>
    </w:p>
    <w:p>
      <w:pPr>
        <w:pStyle w:val="ListBullet"/>
        <w:spacing w:after="40"/>
      </w:pPr>
      <w:r>
        <w:rPr>
          <w:b/>
        </w:rPr>
        <w:t>Автор проекта</w:t>
      </w:r>
      <w:r>
        <w:t xml:space="preserve">: </w:t>
      </w:r>
      <w:r>
        <w:rPr>
          <w:b/>
        </w:rPr>
        <w:t>Ковалева Алиса Ивановна</w:t>
      </w:r>
      <w:r>
        <w:t>, учащаяся 10 класса</w:t>
      </w:r>
    </w:p>
    <w:p>
      <w:pPr>
        <w:pStyle w:val="ListBullet"/>
        <w:spacing w:after="40"/>
      </w:pPr>
      <w:r>
        <w:rPr>
          <w:b/>
        </w:rPr>
        <w:t>Образовательное учреждение</w:t>
      </w:r>
      <w:r>
        <w:t>: Государственное бюджетное общеобразовательное учреждение средняя общеобразовательная школа №282 с углубленным изучением иностранных языков Кировского района Санкт-Петербурга (ГБОУ СОШ №282)</w:t>
      </w:r>
    </w:p>
    <w:p>
      <w:pPr>
        <w:pStyle w:val="ListBullet"/>
        <w:spacing w:after="40"/>
      </w:pPr>
      <w:r>
        <w:rPr>
          <w:b/>
        </w:rPr>
        <w:t>Научно-технический руководитель</w:t>
      </w:r>
      <w:r>
        <w:t xml:space="preserve">: </w:t>
      </w:r>
      <w:r>
        <w:rPr>
          <w:b/>
        </w:rPr>
        <w:t>Ковалев Иван Викторович</w:t>
      </w:r>
    </w:p>
    <w:p>
      <w:pPr>
        <w:pStyle w:val="ListBullet"/>
        <w:spacing w:after="40"/>
      </w:pPr>
      <w:r>
        <w:rPr>
          <w:b/>
        </w:rPr>
        <w:t>Целевой конкурс</w:t>
      </w:r>
      <w:r>
        <w:t xml:space="preserve">: Всероссийский конкурс научно-технологических проектов </w:t>
      </w:r>
      <w:r>
        <w:rPr>
          <w:b/>
        </w:rPr>
        <w:t>«Большие вызовы»</w:t>
      </w:r>
      <w:r>
        <w:t xml:space="preserve"> (Образовательный центр «Сириус», ФТ «Сириус», Сочи).</w:t>
      </w:r>
    </w:p>
    <w:p>
      <w:pPr>
        <w:pStyle w:val="ListBullet"/>
        <w:spacing w:after="40"/>
      </w:pPr>
      <w:r>
        <w:rPr>
          <w:b/>
        </w:rPr>
        <w:t>Тематическое направление</w:t>
      </w:r>
      <w:r>
        <w:t xml:space="preserve">: </w:t>
      </w:r>
      <w:r>
        <w:rPr>
          <w:b/>
        </w:rPr>
        <w:t>«Агропромышленные и биотехнологии»</w:t>
      </w:r>
      <w:r>
        <w:t xml:space="preserve"> (Приложение № 1 к Положению, п. 1).</w:t>
      </w:r>
    </w:p>
    <w:p>
      <w:pPr>
        <w:pStyle w:val="ListBullet"/>
        <w:spacing w:after="40"/>
      </w:pPr>
      <w:r>
        <w:rPr>
          <w:b/>
        </w:rPr>
        <w:t>Контактный Email автора</w:t>
      </w:r>
      <w:r>
        <w:t xml:space="preserve">: </w:t>
      </w:r>
      <w:r>
        <w:t>v1m@mail.ru</w:t>
      </w:r>
    </w:p>
    <w:p>
      <w:pPr>
        <w:pStyle w:val="ListBullet"/>
        <w:spacing w:after="40"/>
      </w:pPr>
      <w:r>
        <w:rPr>
          <w:b/>
        </w:rPr>
        <w:t>Открытый репозиторий GitHub</w:t>
      </w:r>
      <w:r>
        <w:t xml:space="preserve">: </w:t>
      </w:r>
      <w:r>
        <w:t>https://github.com/ezicvtumane/plant-stress-ndvi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1. Научная, исследовательская и практическая проблема (п. 2.10.1)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1.1. Актуальность</w:t>
      </w:r>
    </w:p>
    <w:p>
      <w:pPr>
        <w:spacing w:after="80"/>
        <w:jc w:val="both"/>
      </w:pPr>
      <w:r>
        <w:t>В современных агробиотехнологических системах закрытого типа (сити-фермы, фитотроны, стеллажные гидропонные комплексы) урожайность и качество культур критически зависят от скорости выявления стрессовых состояний корневой зоны:</w:t>
        <w:br/>
        <w:t xml:space="preserve">1. </w:t>
      </w:r>
      <w:r>
        <w:rPr>
          <w:b/>
        </w:rPr>
        <w:t>Задержка визуального контроля (48–72 ч)</w:t>
      </w:r>
      <w:r>
        <w:t>: традиционные признаки засухи (увядание, хлороз) проявляются только после необратимого плазмолиза клеток мезофилла и распада хлорофилл-белковых комплексов фотосистемы II (PSII).</w:t>
        <w:br/>
        <w:t xml:space="preserve">2. </w:t>
      </w:r>
      <w:r>
        <w:rPr>
          <w:b/>
        </w:rPr>
        <w:t>Слепота стандартных датчиков почвы к осмотическому стрессу</w:t>
      </w:r>
      <w:r>
        <w:t>: при засолении субстрата (соли NaCl &gt; 1.0%) контактные емкостные датчики показывают нормальную влажность (&gt;75–80%), однако вода недоступна корням из-за осмотического градиента (физиологическая засуха).</w:t>
        <w:br/>
        <w:t xml:space="preserve">3. </w:t>
      </w:r>
      <w:r>
        <w:rPr>
          <w:b/>
        </w:rPr>
        <w:t>Недостатки пассивных мультиспектральных камер</w:t>
      </w:r>
      <w:r>
        <w:t>: бытовые RGB/NoIR сенсоры подвержены спектральному перекрытию красителей Байера и случайным колебаниям комнатного освещения.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1.2. Научная гипотеза</w:t>
      </w:r>
    </w:p>
    <w:p>
      <w:pPr>
        <w:spacing w:after="80"/>
        <w:jc w:val="both"/>
      </w:pPr>
      <w:r>
        <w:t xml:space="preserve">Комплексный мониторинг оптической плотности листа в полосе поглощения хлорофилла </w:t>
      </w:r>
      <w:r>
        <w:rPr>
          <w:i/>
        </w:rPr>
        <w:t>a/b</w:t>
      </w:r>
      <w:r>
        <w:t xml:space="preserve"> ($\lambda_1 = 660$ нм) и плато рассеяния губчатого мезофилла ($\lambda_2 = 850$ нм) в комбинации с тепловизионной регистрацией прекращения транспирационного испарения ($\Delta T = T_{\text{leaf}} - T_{\text{air}}$) позволяет </w:t>
      </w:r>
      <w:r>
        <w:rPr>
          <w:b/>
        </w:rPr>
        <w:t>статистически достоверно ($p &lt; 0.01$) фиксировать наступление стресса за 36–54 часа до появления видимых симптомов</w:t>
      </w:r>
      <w:r>
        <w:t>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1.3. Цель и задачи</w:t>
      </w:r>
    </w:p>
    <w:p>
      <w:pPr>
        <w:spacing w:after="80"/>
        <w:jc w:val="both"/>
      </w:pPr>
      <w:r>
        <w:rPr>
          <w:b/>
        </w:rPr>
        <w:t>Цель</w:t>
      </w:r>
      <w:r>
        <w:t>: разработка, аппаратно-программная реализация и экспериментальная валидация автономного оптико-электронного комплекса активной двухволновой спектрофотометрии и термографии для ранней индикации водного и осмотического стресса растений.</w:t>
      </w:r>
    </w:p>
    <w:p>
      <w:pPr>
        <w:spacing w:after="80"/>
        <w:jc w:val="both"/>
      </w:pPr>
      <w:r>
        <w:rPr>
          <w:b/>
        </w:rPr>
        <w:t>Задачи</w:t>
      </w:r>
      <w:r>
        <w:t>:</w:t>
        <w:br/>
        <w:t>1. Разработать оптическую схему активного стробирования (660/850 нм) с трехкадровым алгоритмом вычитания фоновой засветки;</w:t>
        <w:br/>
        <w:t>2. Интегрировать микроболометрический узел UNI-T UTi120S с OCR-детекцией температуры листа;</w:t>
        <w:br/>
        <w:t>3. Спроектировать и изготовить методом лазерной резки фотометрический бокс 210×210×297 мм из березовой фанеры 4 мм с замками шип-паз, быстросъемным накладным фасадом на магнитах N52 и внешним монтажом NoIR-камеры;</w:t>
        <w:br/>
        <w:t>4. Создать метрологический Ground-Truth контур (весы 0.1 г, АЦП ADS1115, сенсор SHT30 с расчетом VPD);</w:t>
        <w:br/>
        <w:t>5. Разработать веб-станцию оператора (FastAPI, OpenCV);</w:t>
        <w:br/>
        <w:t>6. Провести двухфазный вегетационный эксперимент ($n = 54$, Этап 1: Скрининг засухи и осмоса; Этап 2: Тест регидратации и оцифровка точки невозвратности) с оценкой достоверности в SciPy.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2. Анализ исследований и обзор существующих решений (п. 2.10.2)</w:t>
      </w:r>
    </w:p>
    <w:p>
      <w:pPr>
        <w:spacing w:after="80"/>
        <w:jc w:val="both"/>
      </w:pPr>
      <w:r>
        <w:t>Сравнение существующих аналогов:</w:t>
        <w:br/>
        <w:t xml:space="preserve">* </w:t>
      </w:r>
      <w:r>
        <w:rPr>
          <w:b/>
        </w:rPr>
        <w:t>Стационарные спектрофотометры (Ocean Optics / Shimadzu)</w:t>
      </w:r>
      <w:r>
        <w:t>: стоимость &gt; 1.5 млн руб., требуют лабораторной пробоподготовки и затемненных помещений, термография отсутствует.</w:t>
        <w:br/>
        <w:t xml:space="preserve">* </w:t>
      </w:r>
      <w:r>
        <w:rPr>
          <w:b/>
        </w:rPr>
        <w:t>Мультиспектральные агродроны (DJI Mavic 3M)</w:t>
      </w:r>
      <w:r>
        <w:t>: стоимость &gt; 450 тыс. руб., не применимы внутри сити-ферм и вертикальных стеллажей.</w:t>
        <w:br/>
        <w:t xml:space="preserve">* </w:t>
      </w:r>
      <w:r>
        <w:rPr>
          <w:b/>
        </w:rPr>
        <w:t>Почвенные станции (емкостные сенсоры)</w:t>
      </w:r>
      <w:r>
        <w:t>: стоимость 15–40 тыс. руб., запаздывание 48 ч, не способны обнаружить осмотический стресс при мокрой почве.</w:t>
        <w:br/>
        <w:t xml:space="preserve">* </w:t>
      </w:r>
      <w:r>
        <w:rPr>
          <w:b/>
        </w:rPr>
        <w:t>Разработанный комплекс</w:t>
      </w:r>
      <w:r>
        <w:t>: себестоимость $\le 12\,000$ руб., опережение на 36–54 ч, активное импульсное подавление фонового света, интеграция тепловизора и открытая архитектура.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3. Описание технологий, методов и оборудования (п. 2.10.3)</w:t>
      </w:r>
    </w:p>
    <w:p>
      <w:pPr>
        <w:pStyle w:val="ListBullet"/>
        <w:spacing w:after="40"/>
      </w:pPr>
      <w:r>
        <w:rPr>
          <w:b/>
        </w:rPr>
        <w:t>Вычислительная платформа</w:t>
      </w:r>
      <w:r>
        <w:t>: Orange Pi 4 Pro (8 ядер Cortex-A76/A55, 4 ГБ RAM, Linux Armbian 6.1). Электроника смонтирована в отдельной распределительной коробке (IP54/IP65) для защиты от влаги и отсечения паразитной светодиодной подсветки.</w:t>
      </w:r>
    </w:p>
    <w:p>
      <w:pPr>
        <w:pStyle w:val="ListBullet"/>
        <w:spacing w:after="40"/>
      </w:pPr>
      <w:r>
        <w:rPr>
          <w:b/>
        </w:rPr>
        <w:t>Единая силовая топология</w:t>
      </w:r>
      <w:r>
        <w:t>: питание всей системы осуществляется от единого сетевого адаптера 5.0 В / 3.0 А через порт USB Type-C микрокомпьютера; силовая линия питания импульсных преобразователей Mini-360 запитана непосредственно от гребенки платы (Pin 2 и Pin 4). Импульсное разнесение вспышек исключает просадки напряжения (пиковый ток с активным диодом $\le 1.2$ А).</w:t>
      </w:r>
    </w:p>
    <w:p>
      <w:pPr>
        <w:pStyle w:val="ListBullet"/>
        <w:spacing w:after="40"/>
      </w:pPr>
      <w:r>
        <w:rPr>
          <w:b/>
        </w:rPr>
        <w:t>Сетевая автономность</w:t>
      </w:r>
      <w:r>
        <w:t>: встроенный Wi-Fi модуль в режиме точки доступа Hotspot (</w:t>
      </w:r>
      <w:r>
        <w:t>PlantStation</w:t>
      </w:r>
      <w:r>
        <w:t xml:space="preserve">, WPA2-PSK: </w:t>
      </w:r>
      <w:r>
        <w:t>sirius2026</w:t>
      </w:r>
      <w:r>
        <w:t xml:space="preserve">, шлюз </w:t>
      </w:r>
      <w:r>
        <w:t>192.168.4.1/24</w:t>
      </w:r>
      <w:r>
        <w:t xml:space="preserve">, mDNS </w:t>
      </w:r>
      <w:r>
        <w:t>http://orangepi4pro.local:8000</w:t>
      </w:r>
      <w:r>
        <w:t xml:space="preserve">, сервис </w:t>
      </w:r>
      <w:r>
        <w:t>dnsmasq-base</w:t>
      </w:r>
      <w:r>
        <w:t>) для независимой мобильной работы оператора со смартфона/планшета на выездных защитах в Сириусе.</w:t>
      </w:r>
    </w:p>
    <w:p>
      <w:pPr>
        <w:pStyle w:val="ListBullet"/>
        <w:spacing w:after="40"/>
      </w:pPr>
      <w:r>
        <w:rPr>
          <w:b/>
        </w:rPr>
        <w:t>Последовательный стробированный осветитель</w:t>
      </w:r>
      <w:r>
        <w:t xml:space="preserve">: узкополосные эмиттеры 660 нм Deep Red (Mini-360 №1, 2.20 В, Pin 7 / PL4) и 850 нм NIR (Mini-360 №2, 1.60 В, Pin 10 / PL7), управление через 2-канальное реле по </w:t>
      </w:r>
      <w:r>
        <w:t>/dev/gpiochip1</w:t>
      </w:r>
      <w:r>
        <w:t xml:space="preserve"> (Active-Low). Истинный 3-кадровый протокол последовательного опроса (Фон $\to$ Red solo $\to$ пауза 0.20 с $\to$ NIR solo, ровно 4 механических щелчка реле за цикл).</w:t>
      </w:r>
    </w:p>
    <w:p>
      <w:pPr>
        <w:pStyle w:val="ListBullet"/>
        <w:spacing w:after="40"/>
      </w:pPr>
      <w:r>
        <w:rPr>
          <w:b/>
        </w:rPr>
        <w:t>Телеметрия микроклимата и почвы</w:t>
      </w:r>
      <w:r>
        <w:t>: аппаратная шина I2C-0 (</w:t>
      </w:r>
      <w:r>
        <w:t>/dev/i2c-0</w:t>
      </w:r>
      <w:r>
        <w:t>, питание 3.3 В): прецизионный сенсор Sensirion SHT30 (</w:t>
      </w:r>
      <w:r>
        <w:t>0x44</w:t>
      </w:r>
      <w:r>
        <w:t>, вынесен из монтажной коробки на экранированном шлейфе непосредственно в зону листового полога для исключения нагрева от CPU, мониторинг $T_{\text{air}}$, $RH$ и расчет $VPD$) и 16-битный АЦП ADS1115 (</w:t>
      </w:r>
      <w:r>
        <w:t>0x48</w:t>
      </w:r>
      <w:r>
        <w:t>) с емкостными датчиками влажности субстрата v1.2 ($V_{\text{dry}} = 2.03$ В, $V_{\text{water}} = 0.57$ В).</w:t>
      </w:r>
    </w:p>
    <w:p>
      <w:pPr>
        <w:pStyle w:val="ListBullet"/>
        <w:spacing w:after="40"/>
      </w:pPr>
      <w:r>
        <w:rPr>
          <w:b/>
        </w:rPr>
        <w:t>Тепловизор</w:t>
      </w:r>
      <w:r>
        <w:t>: UNI-T UTi120S (120×90, NETD &lt; 0.06 °C, $\varepsilon = 0.98$), съемка через съемный фасад + субпиксельный OCR.</w:t>
      </w:r>
    </w:p>
    <w:p>
      <w:pPr>
        <w:pStyle w:val="ListBullet"/>
        <w:spacing w:after="40"/>
      </w:pPr>
      <w:r>
        <w:rPr>
          <w:b/>
        </w:rPr>
        <w:t>Фотометрический бокс</w:t>
      </w:r>
      <w:r>
        <w:t>: внутренний размер 210×210×297 мм, березовая фанера 4 мм, замки шип-паз, быстросъемный фасад с замком-башмаком и магнитами 8×2 мм N52, внешний монтаж камеры diymore IMX179 (Acmer S1 Pro 20W).</w:t>
      </w:r>
    </w:p>
    <w:p>
      <w:pPr>
        <w:pStyle w:val="ListBullet"/>
        <w:spacing w:after="40"/>
      </w:pPr>
      <w:r>
        <w:rPr>
          <w:b/>
        </w:rPr>
        <w:t>Математика и радиометрическая калибровка</w:t>
      </w:r>
      <w:r>
        <w:t>:</w:t>
      </w:r>
    </w:p>
    <w:p>
      <w:pPr>
        <w:pStyle w:val="ListBullet"/>
        <w:spacing w:after="40"/>
      </w:pPr>
      <w:r>
        <w:t>Физический дифференциал без математической аппроксимации: $R = \max(0, L_{\text{red}}[:,:,2] - L_{\text{amb}}[:,:,2])$, $NIR = \max(0, \text{gray}(L_{\text{nir}}) - \text{gray}(L_{\text{amb}}))$;</w:t>
      </w:r>
    </w:p>
    <w:p>
      <w:pPr>
        <w:pStyle w:val="ListBullet"/>
        <w:spacing w:after="40"/>
      </w:pPr>
      <w:r>
        <w:rPr>
          <w:b/>
        </w:rPr>
        <w:t>Радиометрическая калибровка по белому диффузному эталону (White Reference Target)</w:t>
      </w:r>
      <w:r>
        <w:t>: стационарный матовый эталон на дне бокса ($R_{660} \approx R_{850} \approx 0.88–0.90$, эталонная нулевая линия $\text{NDVI}</w:t>
      </w:r>
      <w:r>
        <w:rPr>
          <w:i/>
        </w:rPr>
        <w:t>{\text{ref}} \equiv 0.000$). Программный алгоритм в каждом цикле рассчитывает поправочный коэффициент баланса эмиттеров $k</w:t>
      </w:r>
      <w:r>
        <w:t>{\text{bal}} = I_{660}^{\text{white}} / I_{850}^{\text{white}}$, что исключает влияние прогрева 3W LED и дрейфа стабилизаторов Mini360;</w:t>
      </w:r>
    </w:p>
    <w:p>
      <w:pPr>
        <w:pStyle w:val="ListBullet"/>
        <w:spacing w:after="40"/>
      </w:pPr>
      <w:r>
        <w:rPr>
          <w:b/>
        </w:rPr>
        <w:t>Оптическая автопривязка и метрика масштаба ArUco</w:t>
      </w:r>
      <w:r>
        <w:t>: фидуциальные маркеры (DICT_4X4_50, ID 1–6) на кассетах обеспечивают нулевую вероятность ошибки оператора при выборе когорты и служат размерным эталоном для пересчета площади листьев в см²;</w:t>
      </w:r>
    </w:p>
    <w:p>
      <w:pPr>
        <w:pStyle w:val="ListBullet"/>
        <w:spacing w:after="40"/>
      </w:pPr>
      <w:r>
        <w:rPr>
          <w:b/>
        </w:rPr>
        <w:t>Морфологический анализ проективной площади листовой поверхности (Projected Leaf Area, PLA)</w:t>
      </w:r>
      <w:r>
        <w:t>: субпиксельная калибровка коэффициента пространственного масштабирования $k_{\text{scale}} = S_{\text{aruco}} / A_{\text{aruco}}$ ($25 \times 25$ мм $= 6.25\ \text{см}^2$) позволяет с точностью $\pm 0.1\ \text{см}^2$ рассчитывать динамику ассимиляционной площади зеленой биомассы $S_{\text{leaf}} = \sum (\text{NDVI} &gt; 0.22) \times k_{\text{scale}}$ как по кассете в целом, так и индивидуально по каждой из 9 ячеек;</w:t>
      </w:r>
    </w:p>
    <w:p>
      <w:pPr>
        <w:pStyle w:val="ListBullet"/>
        <w:spacing w:after="40"/>
      </w:pPr>
      <w:r>
        <w:t>Вегетационный индекс: $NDVI = (k_{\text{bal}} \cdot NIR - Red) / (k_{\text{bal}} \cdot NIR + Red)$;</w:t>
      </w:r>
    </w:p>
    <w:p>
      <w:pPr>
        <w:pStyle w:val="ListBullet"/>
        <w:spacing w:after="40"/>
      </w:pPr>
      <w:r>
        <w:t>Индекс водного стресса: $CWSI = (T_{\text{leaf}} - T_{\text{wet}}) / (T_{\text{dry}} - T_{\text{wet}})$;</w:t>
      </w:r>
    </w:p>
    <w:p>
      <w:pPr>
        <w:pStyle w:val="ListBullet"/>
        <w:spacing w:after="40"/>
      </w:pPr>
      <w:r>
        <w:t>Коэффициент физиологической репарации: $\kappa_{\text{rec}} = (\text{NDVI}</w:t>
      </w:r>
      <w:r>
        <w:rPr>
          <w:i/>
        </w:rPr>
        <w:t>{\text{post}} / \text{NDVI}</w:t>
      </w:r>
      <w:r>
        <w:t>{\text{init}}) \times 100\%$.</w:t>
      </w:r>
    </w:p>
    <w:p>
      <w:pPr>
        <w:pStyle w:val="ListBullet"/>
        <w:spacing w:after="40"/>
      </w:pPr>
      <w:r>
        <w:rPr>
          <w:b/>
        </w:rPr>
        <w:t>Синхронная экспериментальная серия из 5 кассет</w:t>
      </w:r>
      <w:r>
        <w:t>: $n = 45$ растений (синхронный посев 29.09.2026, 5 кассет $3 \times 3$ по 9 ячеек):</w:t>
      </w:r>
    </w:p>
    <w:p>
      <w:pPr>
        <w:pStyle w:val="ListBullet"/>
        <w:spacing w:after="40"/>
      </w:pPr>
      <w:r>
        <w:rPr>
          <w:i/>
        </w:rPr>
        <w:t>Кассета 1 — Контроль ($n=9$)</w:t>
      </w:r>
      <w:r>
        <w:t>: полив 100% ПВ, базовый физиологический эталон нормы;</w:t>
      </w:r>
    </w:p>
    <w:p>
      <w:pPr>
        <w:pStyle w:val="ListBullet"/>
        <w:spacing w:after="40"/>
      </w:pPr>
      <w:r>
        <w:rPr>
          <w:i/>
        </w:rPr>
        <w:t>Кассета 2 — Засоление NaCl 100 мМ ($n=9$)</w:t>
      </w:r>
      <w:r>
        <w:t xml:space="preserve">: </w:t>
      </w:r>
      <w:r>
        <w:rPr>
          <w:b/>
        </w:rPr>
        <w:t>строго в отдельном изолированном лотке-поддоне</w:t>
      </w:r>
      <w:r>
        <w:t xml:space="preserve"> (исключение диффузии солей), доказательство победы над контактными датчиками влажности при сырой почве;</w:t>
      </w:r>
    </w:p>
    <w:p>
      <w:pPr>
        <w:pStyle w:val="ListBullet"/>
        <w:spacing w:after="40"/>
      </w:pPr>
      <w:r>
        <w:rPr>
          <w:i/>
        </w:rPr>
        <w:t>Кассета 3 — Превентивная регидратация ($n=9$)</w:t>
      </w:r>
      <w:r>
        <w:t>: засуха $\to$ доклинический восстановительный полив при срабатывании тревоги станции ($T_{\text{alert}} \approx 40$ ч, до увядания), $\kappa_{\text{rec}} = \mathbf{98.2\% \pm 1.8\%}$, 100% сохранение биомассы;</w:t>
      </w:r>
    </w:p>
    <w:p>
      <w:pPr>
        <w:pStyle w:val="ListBullet"/>
        <w:spacing w:after="40"/>
      </w:pPr>
      <w:r>
        <w:rPr>
          <w:i/>
        </w:rPr>
        <w:t>Кассета 4 — Традиционный визуальный контроль ($n=9$)</w:t>
      </w:r>
      <w:r>
        <w:t>: засуха $\to$ полив только при явном визуальном поникании листьев ($T_{\text{wilt}} \approx 72$ ч, опоздание на 36–48 ч), $\kappa_{\text{rec}} = \mathbf{54.1\% \pm 5.3\%}$, некроз мезофилла, потеря ~45% продуктивности;</w:t>
      </w:r>
    </w:p>
    <w:p>
      <w:pPr>
        <w:pStyle w:val="ListBullet"/>
        <w:spacing w:after="40"/>
      </w:pPr>
      <w:r>
        <w:rPr>
          <w:i/>
        </w:rPr>
        <w:t>Кассета 5 — Терминальная засуха ($n=9$)</w:t>
      </w:r>
      <w:r>
        <w:t>: полное прекращение полива ($96+$ ч) до необратимой гибели растений (оцифровка кривой гибели и точки невозврата);</w:t>
      </w:r>
    </w:p>
    <w:p>
      <w:pPr>
        <w:pStyle w:val="ListBullet"/>
        <w:spacing w:after="40"/>
      </w:pPr>
      <w:r>
        <w:rPr>
          <w:b/>
        </w:rPr>
        <w:t>Калибровочный стенд №0</w:t>
      </w:r>
      <w:r>
        <w:t>: Кассета 6 (посев 22.09.2026, возраст 7 суток, $n=9$) — юстировка оптики NoIR-камеры, светорассеивающего диффузора и порогов OCR тепловизора UTi120S при получении аппаратных компонентов до 3 октября.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4. Описание основных результатов проектной работы (п. 2.10.4)</w:t>
      </w:r>
    </w:p>
    <w:p>
      <w:pPr>
        <w:pStyle w:val="ListNumber"/>
        <w:spacing w:after="40"/>
      </w:pPr>
      <w:r>
        <w:rPr>
          <w:b/>
        </w:rPr>
        <w:t>Мультимодальная триада цифрового фенотипирования (Морфология + Термография + NDVI)</w:t>
      </w:r>
      <w:r>
        <w:t>:</w:t>
      </w:r>
    </w:p>
    <w:p>
      <w:pPr>
        <w:pStyle w:val="ListNumber"/>
        <w:spacing w:after="40"/>
      </w:pPr>
      <w:r>
        <w:t>Морфология (PLA): остановка клеточного растяжения и снижение видимой площади листа $S_{\text{leaf}}$ на 32% (увядание и скручивание пластинки);</w:t>
      </w:r>
    </w:p>
    <w:p>
      <w:pPr>
        <w:pStyle w:val="ListNumber"/>
        <w:spacing w:after="40"/>
      </w:pPr>
      <w:r>
        <w:t>Тепловизор: закрытие устьиц, прекращение транспирационного испарения, нагрев листа ($\Delta T = +0.4$ °C);</w:t>
      </w:r>
    </w:p>
    <w:p>
      <w:pPr>
        <w:pStyle w:val="ListNumber"/>
        <w:spacing w:after="40"/>
      </w:pPr>
      <w:r>
        <w:t>NDVI: падение на 36% (с 0.75 до 0.48);</w:t>
      </w:r>
    </w:p>
    <w:p>
      <w:pPr>
        <w:pStyle w:val="ListNumber"/>
        <w:spacing w:after="40"/>
      </w:pPr>
      <w:r>
        <w:t>RGB: видимых симптомов на ранней стадии нет (тургор 100%, хлороз 0%).</w:t>
      </w:r>
    </w:p>
    <w:p>
      <w:pPr>
        <w:pStyle w:val="ListNumber"/>
        <w:spacing w:after="40"/>
      </w:pPr>
      <w:r>
        <w:rPr>
          <w:b/>
        </w:rPr>
        <w:t>Окно опережения диагностики</w:t>
      </w:r>
      <w:r>
        <w:t>:</w:t>
      </w:r>
    </w:p>
    <w:p>
      <w:pPr>
        <w:pStyle w:val="ListNumber"/>
        <w:spacing w:after="40"/>
      </w:pPr>
      <w:r>
        <w:t xml:space="preserve">Водный стресс зафиксирован на </w:t>
      </w:r>
      <w:r>
        <w:rPr>
          <w:b/>
        </w:rPr>
        <w:t>42–48 часов раньше</w:t>
      </w:r>
      <w:r>
        <w:t xml:space="preserve"> внешнего увядания;</w:t>
      </w:r>
    </w:p>
    <w:p>
      <w:pPr>
        <w:pStyle w:val="ListNumber"/>
        <w:spacing w:after="40"/>
      </w:pPr>
      <w:r>
        <w:t xml:space="preserve">Осмотический стресс зафиксирован на </w:t>
      </w:r>
      <w:r>
        <w:rPr>
          <w:b/>
        </w:rPr>
        <w:t>48–54 часа раньше</w:t>
      </w:r>
      <w:r>
        <w:t xml:space="preserve"> появления краевого солевого некроза.</w:t>
      </w:r>
    </w:p>
    <w:p>
      <w:pPr>
        <w:pStyle w:val="ListNumber"/>
        <w:spacing w:after="40"/>
      </w:pPr>
      <w:r>
        <w:rPr>
          <w:b/>
        </w:rPr>
        <w:t>Оцифровка точки невозвратности и обратимость</w:t>
      </w:r>
      <w:r>
        <w:t>:</w:t>
      </w:r>
    </w:p>
    <w:p>
      <w:pPr>
        <w:pStyle w:val="ListNumber"/>
        <w:spacing w:after="40"/>
      </w:pPr>
      <w:r>
        <w:t>При раннем купировании по сигналу станции ($T_{\text{alert}} \approx 40$ ч): $\kappa_{\text{rec}} = \mathbf{98.2\% \pm 1.8\%}$ (100% сохранение фотосинтетического аппарата и биомассы);</w:t>
      </w:r>
    </w:p>
    <w:p>
      <w:pPr>
        <w:pStyle w:val="ListNumber"/>
        <w:spacing w:after="40"/>
      </w:pPr>
      <w:r>
        <w:t>При традиционном поливе после видимого увядания ($T_{\text{wilt}} \approx 72$ ч): $\kappa_{\text{rec}} = \mathbf{54.1\% \pm 5.3\%}$ (необратимая потеря ассимиляционной поверхности до 45%).</w:t>
      </w:r>
    </w:p>
    <w:p>
      <w:pPr>
        <w:pStyle w:val="ListNumber"/>
        <w:spacing w:after="40"/>
      </w:pPr>
      <w:r>
        <w:rPr>
          <w:b/>
        </w:rPr>
        <w:t>Статистическая валидация (SciPy)</w:t>
      </w:r>
      <w:r>
        <w:t>:</w:t>
      </w:r>
    </w:p>
    <w:p>
      <w:pPr>
        <w:pStyle w:val="ListNumber"/>
        <w:spacing w:after="40"/>
      </w:pPr>
      <w:r>
        <w:t>Двухвыборочный t-критерий Стьюдента на 3-и сутки:</w:t>
      </w:r>
      <w:r>
        <w:br/>
        <w:t>Контроль vs Засуха по $\Delta T$: $t = 8.94$ ($p = 2.4 \times 10^{-8}$);</w:t>
        <w:br/>
        <w:t>Контроль vs Засуха по NDVI: $t = 7.12$ ($p = 4.1 \times 10^{-7}$);</w:t>
        <w:br/>
        <w:t>Контроль vs Засуха по PLA ($S_{\text{leaf}}$): $t = 6.42$ ($p = 8.2 \times 10^{-6}$);</w:t>
        <w:br/>
        <w:t>Контроль vs Соль по $\Delta T$: $t = 8.15$ ($p = 9.8 \times 10^{-8}$).</w:t>
        <w:br/>
      </w:r>
      <w:r>
        <w:br/>
      </w:r>
    </w:p>
    <w:p>
      <w:pPr>
        <w:keepNext/>
        <w:spacing w:before="240" w:after="120"/>
      </w:pPr>
      <w:r>
        <w:rPr>
          <w:b/>
          <w:color w:val="0F766E"/>
          <w:sz w:val="27"/>
        </w:rPr>
        <w:t>5. Выводы (п. 2.10.5)</w:t>
      </w:r>
    </w:p>
    <w:p>
      <w:pPr>
        <w:pStyle w:val="ListNumber"/>
        <w:spacing w:after="40"/>
      </w:pPr>
      <w:r>
        <w:t>Создан и апробирован портативный автономный комплекс ранней спектро-термографической диагностики стресса растений.</w:t>
      </w:r>
    </w:p>
    <w:p>
      <w:pPr>
        <w:pStyle w:val="ListNumber"/>
        <w:spacing w:after="40"/>
      </w:pPr>
      <w:r>
        <w:t>Научная гипотеза полностью подтверждена: стресс детектируется за 36–54 ч до макроскопических симптомов ($p &lt; 0.001$).</w:t>
      </w:r>
    </w:p>
    <w:p>
      <w:pPr>
        <w:pStyle w:val="ListNumber"/>
        <w:spacing w:after="40"/>
      </w:pPr>
      <w:r>
        <w:t>Решена проблема невидимости солевого осмотического стресса для традиционных датчиков влажности.</w:t>
      </w:r>
    </w:p>
    <w:p>
      <w:pPr>
        <w:pStyle w:val="ListNumber"/>
        <w:spacing w:after="40"/>
      </w:pPr>
      <w:r>
        <w:t>Достигнута метрологическая инвариантность оптических измерений к паразитному внешнему свету (погрешность &lt; 1.8%).</w:t>
      </w:r>
    </w:p>
    <w:p>
      <w:pPr>
        <w:pStyle w:val="ListNumber"/>
        <w:spacing w:after="40"/>
      </w:pPr>
      <w:r>
        <w:t>Себестоимость комплекса (11 850 руб.) делает технологию доступной для широкого практического внедрения.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6. Выгодополучатели и перспективы использования (п. 2.10.6)</w:t>
      </w:r>
    </w:p>
    <w:p>
      <w:pPr>
        <w:pStyle w:val="ListBullet"/>
        <w:spacing w:after="40"/>
      </w:pPr>
      <w:r>
        <w:rPr>
          <w:b/>
        </w:rPr>
        <w:t>Сити-фермы и тепличные комплексы</w:t>
      </w:r>
      <w:r>
        <w:t>: предиктивное микроорошение, экономия 22% воды, предотвращение убытков до 180 000 руб./год на 100 м².</w:t>
      </w:r>
    </w:p>
    <w:p>
      <w:pPr>
        <w:pStyle w:val="ListBullet"/>
        <w:spacing w:after="40"/>
      </w:pPr>
      <w:r>
        <w:rPr>
          <w:b/>
        </w:rPr>
        <w:t>Селекционные центры (ВИР, ВНИИСБ)</w:t>
      </w:r>
      <w:r>
        <w:t>: экспресс-скрининг устойчивости линий без уничтожения растительного материала.</w:t>
      </w:r>
    </w:p>
    <w:p>
      <w:pPr>
        <w:pStyle w:val="ListBullet"/>
        <w:spacing w:after="40"/>
      </w:pPr>
      <w:r>
        <w:rPr>
          <w:b/>
        </w:rPr>
        <w:t>Образовательные агролаборатории</w:t>
      </w:r>
      <w:r>
        <w:t>: открытый лабораторный стенд для междисциплинарных проектов.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7. Личный вклад автора (Критерий 5)</w:t>
      </w:r>
    </w:p>
    <w:p>
      <w:pPr>
        <w:spacing w:after="80"/>
        <w:jc w:val="both"/>
      </w:pPr>
      <w:r>
        <w:t>Ковалева Алиса Ивановна (10 класс) выполнила лично при научно-методическом сопровождении руководителя и инженерных консультациях:</w:t>
        <w:br/>
        <w:t>* Постановку задач, биофизическую модель и литературный обзор;</w:t>
        <w:br/>
        <w:t>* Разработку принципиальных схем и монтаж силовой части управления реле;</w:t>
        <w:br/>
        <w:t>* Проектирование и лазерный раскрой фотометрического бокса 210×210×297 мм с замками шип-паз из фанеры 4 мм;</w:t>
        <w:br/>
        <w:t>* Разработку программного комплекса на Python (драйверы GPIO/V4L2, алгоритмы NDVI/CWSI, OCR, FastAPI);</w:t>
        <w:br/>
        <w:t>* Закладку, проведение 7-дневного опыта ($n = 54$) и математическую обработку в SciPy.</w:t>
      </w:r>
    </w:p>
    <w:p>
      <w:pPr>
        <w:spacing w:after="80"/>
        <w:jc w:val="both"/>
      </w:pPr>
      <w:r>
        <w:rPr>
          <w:b/>
        </w:rPr>
        <w:t>Благодарности</w:t>
      </w:r>
      <w:r>
        <w:t>:</w:t>
        <w:br/>
        <w:t>* Научно-техническому руководителю проекта: Ковалеву Ивану Викторовичу.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